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416A5B" w:rsidRDefault="00AC5975" w:rsidP="00FD074B">
      <w:pPr>
        <w:spacing w:before="0"/>
        <w:ind w:right="-142"/>
        <w:rPr>
          <w:sz w:val="12"/>
          <w:szCs w:val="12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FD074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FD074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43C00F4" wp14:editId="4CFD7B0A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FD074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FD074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FD07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1930BD">
        <w:t xml:space="preserve"> </w:t>
      </w:r>
      <w:r w:rsidR="00C63D7B">
        <w:t xml:space="preserve">23 janvier </w:t>
      </w:r>
      <w:r w:rsidR="00E7344C">
        <w:t>201</w:t>
      </w:r>
      <w:r w:rsidR="00C63D7B">
        <w:t>4</w:t>
      </w:r>
    </w:p>
    <w:p w:rsidR="00AC5975" w:rsidRPr="00416A5B" w:rsidRDefault="00AC5975" w:rsidP="00FD074B">
      <w:pPr>
        <w:pStyle w:val="Index1"/>
        <w:spacing w:before="0" w:after="24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F57CD">
              <w:rPr>
                <w:b/>
              </w:rPr>
              <w:t xml:space="preserve">Lettre collective TSB </w:t>
            </w:r>
            <w:r w:rsidR="00C63D7B">
              <w:rPr>
                <w:b/>
              </w:rPr>
              <w:t>3</w:t>
            </w:r>
            <w:r w:rsidR="00D95141">
              <w:rPr>
                <w:b/>
              </w:rPr>
              <w:t>/12</w:t>
            </w:r>
          </w:p>
          <w:p w:rsidR="00AC5975" w:rsidRPr="00AF57CD" w:rsidRDefault="00C63D7B" w:rsidP="00FD074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Cs/>
              </w:rPr>
              <w:t>Ho</w:t>
            </w:r>
            <w:r w:rsidRPr="00D014C5">
              <w:rPr>
                <w:bCs/>
              </w:rPr>
              <w:t>/</w:t>
            </w:r>
            <w:proofErr w:type="spellStart"/>
            <w:r w:rsidRPr="00D014C5">
              <w:rPr>
                <w:bCs/>
              </w:rPr>
              <w:t>L</w:t>
            </w:r>
            <w:r>
              <w:rPr>
                <w:bCs/>
              </w:rPr>
              <w:t>al</w:t>
            </w:r>
            <w:proofErr w:type="spellEnd"/>
          </w:p>
        </w:tc>
        <w:tc>
          <w:tcPr>
            <w:tcW w:w="4762" w:type="dxa"/>
          </w:tcPr>
          <w:p w:rsidR="00AC5975" w:rsidRPr="00AF57CD" w:rsidRDefault="00AC5975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AC5975" w:rsidP="00FD074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="00D95141">
              <w:rPr>
                <w:sz w:val="22"/>
                <w:szCs w:val="22"/>
              </w:rPr>
              <w:t>6356</w:t>
            </w:r>
          </w:p>
        </w:tc>
        <w:tc>
          <w:tcPr>
            <w:tcW w:w="4762" w:type="dxa"/>
          </w:tcPr>
          <w:p w:rsidR="00AC5975" w:rsidRPr="00AF57CD" w:rsidRDefault="00AC5975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 xml:space="preserve">+41 22 730 </w:t>
            </w:r>
            <w:proofErr w:type="gramStart"/>
            <w:r w:rsidRPr="00AF57CD">
              <w:rPr>
                <w:sz w:val="22"/>
              </w:rPr>
              <w:t>5853</w:t>
            </w:r>
            <w:r w:rsidRPr="00AF57CD">
              <w:rPr>
                <w:sz w:val="22"/>
              </w:rPr>
              <w:br/>
            </w:r>
            <w:hyperlink r:id="rId10" w:history="1">
              <w:r w:rsidR="00E7344C" w:rsidRPr="0073779B">
                <w:rPr>
                  <w:rStyle w:val="Hyperlink"/>
                  <w:sz w:val="22"/>
                </w:rPr>
                <w:t>tsbsg12@itu.int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Default="00E77BEC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AC5975" w:rsidRPr="00AC5975">
              <w:rPr>
                <w:lang w:val="fr-CH"/>
              </w:rPr>
              <w:tab/>
              <w:t>Aux administrations des Etats Membres de l'Union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E77BEC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E77BEC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 xml:space="preserve">aux Associés de l'UIT-T participant aux travaux de la Commission d'études </w:t>
            </w:r>
            <w:r w:rsidR="00D95141">
              <w:rPr>
                <w:lang w:val="fr-CH"/>
              </w:rPr>
              <w:t>12</w:t>
            </w:r>
            <w:r w:rsidR="00C17596">
              <w:rPr>
                <w:lang w:val="fr-CH"/>
              </w:rPr>
              <w:t>;</w:t>
            </w:r>
          </w:p>
          <w:p w:rsidR="00E77BEC" w:rsidRPr="00AC5975" w:rsidRDefault="00E77BEC" w:rsidP="00FD07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l'UIT-T</w:t>
            </w:r>
          </w:p>
        </w:tc>
      </w:tr>
    </w:tbl>
    <w:p w:rsidR="00AC5975" w:rsidRPr="00AC5975" w:rsidRDefault="00AC5975" w:rsidP="00FD074B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FD07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C17596" w:rsidRDefault="00AC5975" w:rsidP="00FD074B">
            <w:pPr>
              <w:tabs>
                <w:tab w:val="left" w:pos="4111"/>
              </w:tabs>
              <w:spacing w:before="0"/>
              <w:ind w:left="57"/>
            </w:pPr>
            <w:r w:rsidRPr="00AC5975">
              <w:rPr>
                <w:b/>
                <w:bCs/>
                <w:lang w:val="fr-CH"/>
              </w:rPr>
              <w:t>Réunio</w:t>
            </w:r>
            <w:r w:rsidR="00E77BEC">
              <w:rPr>
                <w:b/>
                <w:bCs/>
                <w:lang w:val="fr-CH"/>
              </w:rPr>
              <w:t xml:space="preserve">n </w:t>
            </w:r>
            <w:r w:rsidR="00CA2E52">
              <w:rPr>
                <w:b/>
                <w:bCs/>
                <w:lang w:val="fr-CH"/>
              </w:rPr>
              <w:t>du Groupe de travail</w:t>
            </w:r>
            <w:r w:rsidR="00E77BEC">
              <w:rPr>
                <w:b/>
                <w:bCs/>
                <w:lang w:val="fr-CH"/>
              </w:rPr>
              <w:t xml:space="preserve"> </w:t>
            </w:r>
            <w:r w:rsidR="00D95141">
              <w:rPr>
                <w:b/>
                <w:bCs/>
                <w:lang w:val="fr-CH"/>
              </w:rPr>
              <w:t>2/12</w:t>
            </w:r>
            <w:r w:rsidRPr="00AC5975">
              <w:rPr>
                <w:b/>
                <w:bCs/>
                <w:lang w:val="fr-CH"/>
              </w:rPr>
              <w:br/>
            </w:r>
            <w:r w:rsidR="00AE3786">
              <w:rPr>
                <w:b/>
                <w:bCs/>
              </w:rPr>
              <w:t>Sol</w:t>
            </w:r>
            <w:r w:rsidR="00940B99">
              <w:rPr>
                <w:b/>
                <w:bCs/>
              </w:rPr>
              <w:t xml:space="preserve">eure </w:t>
            </w:r>
            <w:r w:rsidR="00AE3786">
              <w:rPr>
                <w:b/>
                <w:bCs/>
              </w:rPr>
              <w:t>(</w:t>
            </w:r>
            <w:r w:rsidR="00D95141">
              <w:rPr>
                <w:b/>
                <w:bCs/>
              </w:rPr>
              <w:t>S</w:t>
            </w:r>
            <w:r w:rsidR="00AE3786">
              <w:rPr>
                <w:b/>
                <w:bCs/>
              </w:rPr>
              <w:t>uisse)</w:t>
            </w:r>
            <w:r w:rsidR="00D95141">
              <w:rPr>
                <w:b/>
                <w:bCs/>
              </w:rPr>
              <w:t xml:space="preserve">, le </w:t>
            </w:r>
            <w:r w:rsidR="00AE3786">
              <w:rPr>
                <w:b/>
                <w:bCs/>
              </w:rPr>
              <w:t xml:space="preserve">25 mars </w:t>
            </w:r>
            <w:r w:rsidR="00D95141">
              <w:rPr>
                <w:b/>
                <w:bCs/>
              </w:rPr>
              <w:t>201</w:t>
            </w:r>
            <w:r w:rsidR="00AE3786">
              <w:rPr>
                <w:b/>
                <w:bCs/>
              </w:rPr>
              <w:t>4</w:t>
            </w:r>
          </w:p>
        </w:tc>
      </w:tr>
    </w:tbl>
    <w:p w:rsidR="00AC5975" w:rsidRPr="00416A5B" w:rsidRDefault="00AC5975" w:rsidP="00FD074B">
      <w:pPr>
        <w:rPr>
          <w:sz w:val="12"/>
          <w:szCs w:val="12"/>
        </w:rPr>
      </w:pPr>
    </w:p>
    <w:p w:rsidR="00D95141" w:rsidRPr="00FB3089" w:rsidRDefault="00D95141" w:rsidP="00FD074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  <w:r w:rsidRPr="00FB3089">
        <w:rPr>
          <w:sz w:val="24"/>
          <w:szCs w:val="24"/>
        </w:rPr>
        <w:t>Madame, Monsieur,</w:t>
      </w:r>
    </w:p>
    <w:p w:rsidR="00D95141" w:rsidRPr="00FB3089" w:rsidRDefault="00FD074B" w:rsidP="00FD074B">
      <w:pPr>
        <w:rPr>
          <w:szCs w:val="24"/>
        </w:rPr>
      </w:pPr>
      <w:bookmarkStart w:id="0" w:name="suitetext"/>
      <w:bookmarkEnd w:id="0"/>
      <w:r>
        <w:rPr>
          <w:szCs w:val="24"/>
        </w:rPr>
        <w:t>A</w:t>
      </w:r>
      <w:r w:rsidR="00D95141" w:rsidRPr="00FB3089">
        <w:rPr>
          <w:szCs w:val="24"/>
        </w:rPr>
        <w:t xml:space="preserve"> l'aimable invitation </w:t>
      </w:r>
      <w:r w:rsidR="0086421A">
        <w:rPr>
          <w:szCs w:val="24"/>
        </w:rPr>
        <w:t xml:space="preserve">de </w:t>
      </w:r>
      <w:proofErr w:type="spellStart"/>
      <w:r w:rsidR="0086421A" w:rsidRPr="0086421A">
        <w:rPr>
          <w:szCs w:val="24"/>
        </w:rPr>
        <w:t>SwissQual</w:t>
      </w:r>
      <w:proofErr w:type="spellEnd"/>
      <w:r w:rsidR="0086421A" w:rsidRPr="0086421A">
        <w:rPr>
          <w:szCs w:val="24"/>
        </w:rPr>
        <w:t xml:space="preserve"> AG, </w:t>
      </w:r>
      <w:r w:rsidR="0086421A">
        <w:rPr>
          <w:szCs w:val="24"/>
        </w:rPr>
        <w:t xml:space="preserve">société du groupe </w:t>
      </w:r>
      <w:proofErr w:type="spellStart"/>
      <w:r w:rsidR="0086421A" w:rsidRPr="0086421A">
        <w:rPr>
          <w:szCs w:val="24"/>
        </w:rPr>
        <w:t>Rohde</w:t>
      </w:r>
      <w:proofErr w:type="spellEnd"/>
      <w:r w:rsidR="0086421A" w:rsidRPr="0086421A">
        <w:rPr>
          <w:szCs w:val="24"/>
        </w:rPr>
        <w:t xml:space="preserve"> &amp; Schwarz</w:t>
      </w:r>
      <w:r w:rsidR="00D95141" w:rsidRPr="00FB3089">
        <w:rPr>
          <w:szCs w:val="24"/>
        </w:rPr>
        <w:t xml:space="preserve">, et conformément à la décision prise lors de la dernière réunion de la Commission </w:t>
      </w:r>
      <w:r w:rsidR="009D470F">
        <w:rPr>
          <w:szCs w:val="24"/>
        </w:rPr>
        <w:t>d'études </w:t>
      </w:r>
      <w:r w:rsidR="00D95141" w:rsidRPr="00FB3089">
        <w:rPr>
          <w:szCs w:val="24"/>
        </w:rPr>
        <w:t xml:space="preserve">12 (Genève, </w:t>
      </w:r>
      <w:r w:rsidR="0086421A">
        <w:rPr>
          <w:szCs w:val="24"/>
        </w:rPr>
        <w:t xml:space="preserve">3-12 décembre </w:t>
      </w:r>
      <w:r w:rsidR="00D95141">
        <w:rPr>
          <w:szCs w:val="24"/>
        </w:rPr>
        <w:t>201</w:t>
      </w:r>
      <w:r w:rsidR="0086421A">
        <w:rPr>
          <w:szCs w:val="24"/>
        </w:rPr>
        <w:t>3</w:t>
      </w:r>
      <w:r w:rsidR="00D95141" w:rsidRPr="00FB3089">
        <w:rPr>
          <w:szCs w:val="24"/>
        </w:rPr>
        <w:t xml:space="preserve">), j'ai </w:t>
      </w:r>
      <w:r w:rsidR="00D95141">
        <w:rPr>
          <w:szCs w:val="24"/>
        </w:rPr>
        <w:t>l'honneur</w:t>
      </w:r>
      <w:r w:rsidR="00D95141" w:rsidRPr="00FB3089">
        <w:rPr>
          <w:szCs w:val="24"/>
        </w:rPr>
        <w:t xml:space="preserve"> de vous informer que le Groupe de travail 2/12 (Modèles objectifs et outils pour la qualité multimédia) de la Commission d'études 12 (Qualité de fonctionnement, qualité de service et qualité d'expérience) se réunira à </w:t>
      </w:r>
      <w:r w:rsidR="0086421A">
        <w:t>Sol</w:t>
      </w:r>
      <w:r w:rsidR="00940B99">
        <w:t xml:space="preserve">eure </w:t>
      </w:r>
      <w:r w:rsidR="0086421A">
        <w:t>(Suisse)</w:t>
      </w:r>
      <w:r w:rsidR="00D95141" w:rsidRPr="00D95141">
        <w:t xml:space="preserve"> le </w:t>
      </w:r>
      <w:r w:rsidR="0086421A">
        <w:t>25</w:t>
      </w:r>
      <w:r>
        <w:t> </w:t>
      </w:r>
      <w:r w:rsidR="0086421A">
        <w:t>mars</w:t>
      </w:r>
      <w:r>
        <w:t> </w:t>
      </w:r>
      <w:r w:rsidR="00D95141" w:rsidRPr="00D95141">
        <w:t>201</w:t>
      </w:r>
      <w:r w:rsidR="0086421A">
        <w:t>4</w:t>
      </w:r>
      <w:r w:rsidR="00D95141" w:rsidRPr="00FB3089">
        <w:rPr>
          <w:szCs w:val="24"/>
        </w:rPr>
        <w:t>.</w:t>
      </w:r>
    </w:p>
    <w:p w:rsidR="00D95141" w:rsidRPr="00E7344C" w:rsidRDefault="00D95141" w:rsidP="00FD074B">
      <w:pPr>
        <w:rPr>
          <w:szCs w:val="24"/>
          <w:lang w:val="fr-CH"/>
        </w:rPr>
      </w:pPr>
      <w:r>
        <w:rPr>
          <w:szCs w:val="24"/>
        </w:rPr>
        <w:t>L'objectif</w:t>
      </w:r>
      <w:r w:rsidRPr="00FB3089">
        <w:rPr>
          <w:szCs w:val="24"/>
        </w:rPr>
        <w:t xml:space="preserve"> du Groupe de travail 2/12</w:t>
      </w:r>
      <w:r>
        <w:rPr>
          <w:szCs w:val="24"/>
        </w:rPr>
        <w:t>, à cette réunion, est</w:t>
      </w:r>
      <w:r w:rsidRPr="00FB3089">
        <w:rPr>
          <w:szCs w:val="24"/>
        </w:rPr>
        <w:t xml:space="preserve"> de donner son consentement à </w:t>
      </w:r>
      <w:r>
        <w:rPr>
          <w:szCs w:val="24"/>
        </w:rPr>
        <w:t xml:space="preserve">deux </w:t>
      </w:r>
      <w:r w:rsidRPr="00FB3089">
        <w:rPr>
          <w:szCs w:val="24"/>
        </w:rPr>
        <w:t>Recommandation</w:t>
      </w:r>
      <w:r w:rsidR="00E7344C">
        <w:rPr>
          <w:szCs w:val="24"/>
        </w:rPr>
        <w:t>s</w:t>
      </w:r>
      <w:r w:rsidRPr="00FB3089">
        <w:rPr>
          <w:szCs w:val="24"/>
        </w:rPr>
        <w:t xml:space="preserve"> </w:t>
      </w:r>
      <w:r w:rsidR="00DD1B89">
        <w:rPr>
          <w:szCs w:val="24"/>
        </w:rPr>
        <w:t xml:space="preserve">révisées </w:t>
      </w:r>
      <w:r>
        <w:rPr>
          <w:szCs w:val="24"/>
        </w:rPr>
        <w:t xml:space="preserve">au titre de la Question </w:t>
      </w:r>
      <w:r w:rsidR="00DD1B89">
        <w:rPr>
          <w:szCs w:val="24"/>
        </w:rPr>
        <w:t>9</w:t>
      </w:r>
      <w:r>
        <w:rPr>
          <w:szCs w:val="24"/>
        </w:rPr>
        <w:t xml:space="preserve">/12: </w:t>
      </w:r>
      <w:r w:rsidRPr="00D95141">
        <w:rPr>
          <w:lang w:val="fr-CH"/>
        </w:rPr>
        <w:t>P.</w:t>
      </w:r>
      <w:r w:rsidR="00DD1B89">
        <w:rPr>
          <w:lang w:val="fr-CH"/>
        </w:rPr>
        <w:t xml:space="preserve">863 </w:t>
      </w:r>
      <w:r>
        <w:rPr>
          <w:lang w:val="fr-CH"/>
        </w:rPr>
        <w:t>et</w:t>
      </w:r>
      <w:r w:rsidRPr="00D95141">
        <w:rPr>
          <w:lang w:val="fr-CH"/>
        </w:rPr>
        <w:t xml:space="preserve"> P.</w:t>
      </w:r>
      <w:r w:rsidR="00DD1B89">
        <w:rPr>
          <w:lang w:val="fr-CH"/>
        </w:rPr>
        <w:t>863.1</w:t>
      </w:r>
      <w:r w:rsidR="00E7344C">
        <w:rPr>
          <w:szCs w:val="24"/>
          <w:lang w:val="fr-CH"/>
        </w:rPr>
        <w:t>.</w:t>
      </w:r>
    </w:p>
    <w:p w:rsidR="00D95141" w:rsidRPr="00FB3089" w:rsidRDefault="00D95141" w:rsidP="00FD074B">
      <w:pPr>
        <w:rPr>
          <w:szCs w:val="24"/>
        </w:rPr>
      </w:pPr>
      <w:r w:rsidRPr="00FB3089">
        <w:rPr>
          <w:szCs w:val="24"/>
        </w:rPr>
        <w:t>Cette réunion sera précédée d'une réunion d</w:t>
      </w:r>
      <w:r>
        <w:rPr>
          <w:szCs w:val="24"/>
        </w:rPr>
        <w:t>u</w:t>
      </w:r>
      <w:r w:rsidRPr="00FB3089">
        <w:rPr>
          <w:szCs w:val="24"/>
        </w:rPr>
        <w:t xml:space="preserve"> Groupe du Rapporteur pour l</w:t>
      </w:r>
      <w:r>
        <w:rPr>
          <w:szCs w:val="24"/>
        </w:rPr>
        <w:t>a</w:t>
      </w:r>
      <w:r w:rsidRPr="00FB3089">
        <w:rPr>
          <w:szCs w:val="24"/>
        </w:rPr>
        <w:t xml:space="preserve"> Question</w:t>
      </w:r>
      <w:r>
        <w:rPr>
          <w:szCs w:val="24"/>
        </w:rPr>
        <w:t xml:space="preserve"> </w:t>
      </w:r>
      <w:r w:rsidR="00DD1B89">
        <w:rPr>
          <w:szCs w:val="24"/>
        </w:rPr>
        <w:t>9</w:t>
      </w:r>
      <w:r w:rsidRPr="00FB3089">
        <w:rPr>
          <w:szCs w:val="24"/>
        </w:rPr>
        <w:t>/12</w:t>
      </w:r>
      <w:r>
        <w:rPr>
          <w:szCs w:val="24"/>
        </w:rPr>
        <w:t>, le</w:t>
      </w:r>
      <w:r w:rsidR="00DD1B89">
        <w:rPr>
          <w:szCs w:val="24"/>
        </w:rPr>
        <w:t xml:space="preserve">s 24 et 25 mars </w:t>
      </w:r>
      <w:r>
        <w:rPr>
          <w:szCs w:val="24"/>
        </w:rPr>
        <w:t>201</w:t>
      </w:r>
      <w:r w:rsidR="00DD1B89">
        <w:rPr>
          <w:szCs w:val="24"/>
        </w:rPr>
        <w:t>4</w:t>
      </w:r>
      <w:r>
        <w:rPr>
          <w:szCs w:val="24"/>
        </w:rPr>
        <w:t>, au même endroit.</w:t>
      </w:r>
    </w:p>
    <w:p w:rsidR="00251CB1" w:rsidRDefault="00D95141" w:rsidP="00FD074B">
      <w:pPr>
        <w:rPr>
          <w:lang w:val="fr-CH"/>
        </w:rPr>
      </w:pPr>
      <w:r w:rsidRPr="00FB3089">
        <w:rPr>
          <w:szCs w:val="24"/>
        </w:rPr>
        <w:t xml:space="preserve">Le Groupe de travail 2/12 débutera ses travaux à </w:t>
      </w:r>
      <w:r w:rsidR="00DD1B89">
        <w:rPr>
          <w:szCs w:val="24"/>
        </w:rPr>
        <w:t xml:space="preserve">14 h 30 </w:t>
      </w:r>
      <w:r w:rsidRPr="00FB3089">
        <w:rPr>
          <w:szCs w:val="24"/>
        </w:rPr>
        <w:t xml:space="preserve">le </w:t>
      </w:r>
      <w:r w:rsidR="00DD1B89">
        <w:rPr>
          <w:szCs w:val="24"/>
        </w:rPr>
        <w:t>25 mars</w:t>
      </w:r>
      <w:r w:rsidRPr="00FB3089">
        <w:rPr>
          <w:szCs w:val="24"/>
        </w:rPr>
        <w:t>. L'</w:t>
      </w:r>
      <w:r w:rsidR="009D470F">
        <w:rPr>
          <w:szCs w:val="24"/>
        </w:rPr>
        <w:t xml:space="preserve">enregistrement </w:t>
      </w:r>
      <w:r w:rsidRPr="00FB3089">
        <w:rPr>
          <w:szCs w:val="24"/>
        </w:rPr>
        <w:t xml:space="preserve">des participants commencera à </w:t>
      </w:r>
      <w:r w:rsidR="00DD1B89">
        <w:rPr>
          <w:szCs w:val="24"/>
        </w:rPr>
        <w:t>14 heures sur le lieu</w:t>
      </w:r>
      <w:r w:rsidR="006623A2">
        <w:rPr>
          <w:szCs w:val="24"/>
        </w:rPr>
        <w:t xml:space="preserve"> de la réunion.</w:t>
      </w:r>
      <w:r w:rsidR="00416A5B" w:rsidRPr="00FB3089">
        <w:rPr>
          <w:szCs w:val="24"/>
        </w:rPr>
        <w:t xml:space="preserve"> </w:t>
      </w:r>
      <w:r w:rsidRPr="00FB3089">
        <w:rPr>
          <w:szCs w:val="24"/>
        </w:rPr>
        <w:t>On trouvera</w:t>
      </w:r>
      <w:r>
        <w:rPr>
          <w:szCs w:val="24"/>
        </w:rPr>
        <w:t xml:space="preserve"> </w:t>
      </w:r>
      <w:r w:rsidRPr="00FB3089">
        <w:rPr>
          <w:szCs w:val="24"/>
        </w:rPr>
        <w:t>dans l'</w:t>
      </w:r>
      <w:r w:rsidRPr="00FB3089">
        <w:rPr>
          <w:b/>
          <w:szCs w:val="24"/>
        </w:rPr>
        <w:t>Annexe</w:t>
      </w:r>
      <w:r w:rsidRPr="00FB3089">
        <w:rPr>
          <w:szCs w:val="24"/>
        </w:rPr>
        <w:t xml:space="preserve"> </w:t>
      </w:r>
      <w:r w:rsidR="006623A2">
        <w:rPr>
          <w:b/>
          <w:bCs/>
          <w:szCs w:val="24"/>
        </w:rPr>
        <w:t>A</w:t>
      </w:r>
      <w:r w:rsidRPr="00FB3089">
        <w:rPr>
          <w:szCs w:val="24"/>
        </w:rPr>
        <w:t xml:space="preserve"> </w:t>
      </w:r>
      <w:r w:rsidR="006623A2">
        <w:rPr>
          <w:szCs w:val="24"/>
        </w:rPr>
        <w:t>un compléme</w:t>
      </w:r>
      <w:r w:rsidR="00DD1B89">
        <w:rPr>
          <w:szCs w:val="24"/>
        </w:rPr>
        <w:t>nt d'information sur la réunion.</w:t>
      </w:r>
      <w:r w:rsidR="006623A2">
        <w:rPr>
          <w:szCs w:val="24"/>
        </w:rPr>
        <w:t xml:space="preserve"> </w:t>
      </w:r>
      <w:r w:rsidR="00DD1B89">
        <w:rPr>
          <w:szCs w:val="24"/>
        </w:rPr>
        <w:t>D</w:t>
      </w:r>
      <w:r w:rsidRPr="00FB3089">
        <w:rPr>
          <w:szCs w:val="24"/>
        </w:rPr>
        <w:t>es informations d'ordre pratique</w:t>
      </w:r>
      <w:r w:rsidR="00DD1B89">
        <w:rPr>
          <w:szCs w:val="24"/>
        </w:rPr>
        <w:t xml:space="preserve"> (lieu de la réunion, hôtels, etc.) qui seront </w:t>
      </w:r>
      <w:r>
        <w:rPr>
          <w:szCs w:val="24"/>
        </w:rPr>
        <w:t>fournies par l'organisation invitante</w:t>
      </w:r>
      <w:r w:rsidR="00DD1B89">
        <w:rPr>
          <w:szCs w:val="24"/>
        </w:rPr>
        <w:t xml:space="preserve"> seront prochainement envoyées à la liste de diffusion pour la Question </w:t>
      </w:r>
      <w:r w:rsidR="00DD1B89" w:rsidRPr="00DD1B89">
        <w:rPr>
          <w:szCs w:val="24"/>
        </w:rPr>
        <w:t xml:space="preserve">9/12 </w:t>
      </w:r>
      <w:r w:rsidR="00DD1B89">
        <w:rPr>
          <w:szCs w:val="24"/>
        </w:rPr>
        <w:t>et publiées sur la page web de la CE 12 de l'UIT</w:t>
      </w:r>
      <w:r w:rsidR="00DD1B89">
        <w:rPr>
          <w:szCs w:val="24"/>
        </w:rPr>
        <w:noBreakHyphen/>
        <w:t xml:space="preserve">T à l'adresse </w:t>
      </w:r>
      <w:hyperlink r:id="rId11" w:history="1">
        <w:r w:rsidR="00DD1B89" w:rsidRPr="004E1F09">
          <w:rPr>
            <w:rStyle w:val="Hyperlink"/>
            <w:szCs w:val="24"/>
          </w:rPr>
          <w:t>http://www.itu.int/en/ITU-T/studygroups/2013-2016/12/Pages/default.aspx</w:t>
        </w:r>
      </w:hyperlink>
      <w:r w:rsidRPr="00425F51">
        <w:t>.</w:t>
      </w:r>
    </w:p>
    <w:p w:rsidR="006623A2" w:rsidRPr="00FB3089" w:rsidRDefault="006623A2" w:rsidP="00FD074B">
      <w:pPr>
        <w:rPr>
          <w:szCs w:val="24"/>
        </w:rPr>
      </w:pPr>
      <w:r w:rsidRPr="00FB3089">
        <w:rPr>
          <w:szCs w:val="24"/>
        </w:rPr>
        <w:t>Le projet d'</w:t>
      </w:r>
      <w:r w:rsidRPr="00416A5B">
        <w:rPr>
          <w:b/>
          <w:bCs/>
          <w:szCs w:val="24"/>
        </w:rPr>
        <w:t>ordre du jour</w:t>
      </w:r>
      <w:r w:rsidR="00DD1B89" w:rsidRPr="00DD1B89">
        <w:rPr>
          <w:szCs w:val="24"/>
        </w:rPr>
        <w:t xml:space="preserve"> de la réunion</w:t>
      </w:r>
      <w:r w:rsidRPr="00FB3089">
        <w:rPr>
          <w:szCs w:val="24"/>
        </w:rPr>
        <w:t xml:space="preserve">, établi par M. </w:t>
      </w:r>
      <w:r w:rsidR="00DD1B89">
        <w:rPr>
          <w:szCs w:val="24"/>
        </w:rPr>
        <w:t>Paul Barrett</w:t>
      </w:r>
      <w:r w:rsidRPr="00FB3089">
        <w:rPr>
          <w:szCs w:val="24"/>
        </w:rPr>
        <w:t>, Président du GT</w:t>
      </w:r>
      <w:r w:rsidR="00E7344C">
        <w:rPr>
          <w:szCs w:val="24"/>
        </w:rPr>
        <w:t xml:space="preserve"> </w:t>
      </w:r>
      <w:r w:rsidRPr="00FB3089">
        <w:rPr>
          <w:szCs w:val="24"/>
        </w:rPr>
        <w:t>2/12, figure dans l'</w:t>
      </w:r>
      <w:r w:rsidRPr="00FB3089">
        <w:rPr>
          <w:b/>
          <w:szCs w:val="24"/>
        </w:rPr>
        <w:t>Annexe</w:t>
      </w:r>
      <w:r w:rsidR="00416A5B">
        <w:rPr>
          <w:b/>
          <w:szCs w:val="24"/>
        </w:rPr>
        <w:t> </w:t>
      </w:r>
      <w:r w:rsidR="00DD1B89">
        <w:rPr>
          <w:b/>
          <w:szCs w:val="24"/>
        </w:rPr>
        <w:t>B</w:t>
      </w:r>
      <w:r w:rsidRPr="00FB3089">
        <w:rPr>
          <w:szCs w:val="24"/>
        </w:rPr>
        <w:t xml:space="preserve"> ci-après.</w:t>
      </w:r>
    </w:p>
    <w:p w:rsidR="00416A5B" w:rsidRDefault="00416A5B" w:rsidP="00FD074B">
      <w:pPr>
        <w:rPr>
          <w:lang w:val="fr-CH"/>
        </w:rPr>
      </w:pPr>
      <w:r>
        <w:rPr>
          <w:lang w:val="fr-CH"/>
        </w:rPr>
        <w:t>Je vous souhaite une réunion constructive et agréable.</w:t>
      </w:r>
    </w:p>
    <w:p w:rsidR="00251CB1" w:rsidRPr="00AC5975" w:rsidRDefault="00251CB1" w:rsidP="00FD074B">
      <w:pPr>
        <w:rPr>
          <w:lang w:val="fr-CH"/>
        </w:rPr>
      </w:pPr>
      <w:r w:rsidRPr="00AC5975">
        <w:rPr>
          <w:lang w:val="fr-CH"/>
        </w:rPr>
        <w:t>Veuillez agréer, Madame, Monsieur, l'assurance de ma considération distinguée.</w:t>
      </w:r>
    </w:p>
    <w:p w:rsidR="005D665F" w:rsidRDefault="00251CB1" w:rsidP="00FD074B">
      <w:pPr>
        <w:spacing w:before="560"/>
        <w:rPr>
          <w:lang w:val="fr-CH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p w:rsidR="00F62BCD" w:rsidRDefault="00251CB1" w:rsidP="00FD074B">
      <w:pPr>
        <w:spacing w:before="160"/>
        <w:rPr>
          <w:b/>
          <w:bCs/>
          <w:caps/>
          <w:sz w:val="28"/>
        </w:rPr>
      </w:pPr>
      <w:r w:rsidRPr="001C213A">
        <w:rPr>
          <w:b/>
          <w:bCs/>
        </w:rPr>
        <w:t>Annexes</w:t>
      </w:r>
      <w:r w:rsidRPr="00C17596">
        <w:rPr>
          <w:bCs/>
        </w:rPr>
        <w:t xml:space="preserve">: </w:t>
      </w:r>
      <w:r w:rsidR="00F62BCD">
        <w:rPr>
          <w:bCs/>
        </w:rPr>
        <w:t>2</w:t>
      </w:r>
      <w:r w:rsidR="00F62BCD">
        <w:rPr>
          <w:b/>
          <w:bCs/>
        </w:rPr>
        <w:br w:type="page"/>
      </w:r>
    </w:p>
    <w:p w:rsidR="00245038" w:rsidRPr="002C0AFB" w:rsidRDefault="00245038" w:rsidP="00FD074B">
      <w:pPr>
        <w:pStyle w:val="AnnexNo"/>
        <w:spacing w:before="240"/>
        <w:rPr>
          <w:b/>
          <w:bCs/>
        </w:rPr>
      </w:pPr>
      <w:r w:rsidRPr="002C0AFB">
        <w:rPr>
          <w:b/>
          <w:bCs/>
        </w:rPr>
        <w:lastRenderedPageBreak/>
        <w:t>ANNEXE A</w:t>
      </w:r>
    </w:p>
    <w:p w:rsidR="00245038" w:rsidRDefault="00245038" w:rsidP="00FD074B">
      <w:pPr>
        <w:jc w:val="center"/>
      </w:pPr>
      <w:r w:rsidRPr="000053F8">
        <w:t>(</w:t>
      </w:r>
      <w:proofErr w:type="gramStart"/>
      <w:r w:rsidR="00DD1B89">
        <w:t>de</w:t>
      </w:r>
      <w:proofErr w:type="gramEnd"/>
      <w:r w:rsidRPr="000053F8">
        <w:t xml:space="preserve"> la Lettre collective TSB </w:t>
      </w:r>
      <w:r w:rsidR="00DD1B89">
        <w:t>3</w:t>
      </w:r>
      <w:r w:rsidRPr="000053F8">
        <w:t>/12)</w:t>
      </w:r>
    </w:p>
    <w:p w:rsidR="00245038" w:rsidRPr="000053F8" w:rsidRDefault="00245038" w:rsidP="00FD074B">
      <w:pPr>
        <w:pStyle w:val="AnnexTitle"/>
      </w:pPr>
      <w:r w:rsidRPr="000053F8">
        <w:t>PRÉSENTATION DES CONTRIBUTIONS</w:t>
      </w:r>
    </w:p>
    <w:p w:rsidR="00245038" w:rsidRPr="000053F8" w:rsidRDefault="00245038" w:rsidP="00FD074B">
      <w:r w:rsidRPr="000053F8">
        <w:rPr>
          <w:b/>
        </w:rPr>
        <w:t>DÉLAIS DE SOUMISSION DES CONTRIBUTIONS</w:t>
      </w:r>
      <w:r w:rsidRPr="000053F8">
        <w:t>: Le délai de soumission des contributions est de 12 (douze) jours calendaires avant la réunion. Ces contributions, qui seront publiées sur le site web de la Commission d</w:t>
      </w:r>
      <w:r>
        <w:t>'</w:t>
      </w:r>
      <w:r w:rsidRPr="000053F8">
        <w:t xml:space="preserve">études 12, devront donc parvenir au TSB le </w:t>
      </w:r>
      <w:r w:rsidR="00F62BCD">
        <w:rPr>
          <w:b/>
          <w:bCs/>
        </w:rPr>
        <w:t xml:space="preserve">12 mars </w:t>
      </w:r>
      <w:r w:rsidRPr="000053F8">
        <w:rPr>
          <w:b/>
          <w:bCs/>
        </w:rPr>
        <w:t>201</w:t>
      </w:r>
      <w:r w:rsidR="00F62BCD">
        <w:rPr>
          <w:b/>
          <w:bCs/>
        </w:rPr>
        <w:t>4</w:t>
      </w:r>
      <w:r w:rsidRPr="000053F8">
        <w:t xml:space="preserve"> </w:t>
      </w:r>
      <w:r w:rsidRPr="000053F8">
        <w:rPr>
          <w:b/>
          <w:bCs/>
        </w:rPr>
        <w:t>au plus tard</w:t>
      </w:r>
      <w:r w:rsidRPr="000053F8">
        <w:t xml:space="preserve">. Les contributions reçues </w:t>
      </w:r>
      <w:r w:rsidRPr="000053F8">
        <w:rPr>
          <w:b/>
          <w:bCs/>
        </w:rPr>
        <w:t>deux</w:t>
      </w:r>
      <w:r w:rsidRPr="000053F8">
        <w:t xml:space="preserve"> mois au moins avant le début de la réunion pourront être traduites sur demande.</w:t>
      </w:r>
    </w:p>
    <w:p w:rsidR="00245038" w:rsidRPr="000053F8" w:rsidRDefault="00245038" w:rsidP="00FD074B">
      <w:pPr>
        <w:widowControl w:val="0"/>
      </w:pPr>
      <w:r w:rsidRPr="000053F8">
        <w:rPr>
          <w:b/>
          <w:bCs/>
        </w:rPr>
        <w:t>POSTAGE DIRECT/SOUMISSION DES DOCUMENTS</w:t>
      </w:r>
      <w:r w:rsidRPr="000053F8">
        <w:rPr>
          <w:bCs/>
        </w:rPr>
        <w:t>:</w:t>
      </w:r>
      <w:r w:rsidRPr="000053F8">
        <w:t xml:space="preserve"> Il existe un système de postage direct des contributions en ligne. Ce système permet aux Membres de l</w:t>
      </w:r>
      <w:r>
        <w:t>'</w:t>
      </w:r>
      <w:r w:rsidRPr="000053F8">
        <w:t>UIT-T de réserver des numéros de contribution et de charger ou modifier les contributions directement sur le serveur web de l</w:t>
      </w:r>
      <w:r>
        <w:t>'</w:t>
      </w:r>
      <w:r w:rsidRPr="000053F8">
        <w:t>UIT-T. Vous trouverez de plus amples informations et des indications sur ce système de postage direct à l</w:t>
      </w:r>
      <w:r>
        <w:t>'</w:t>
      </w:r>
      <w:r w:rsidRPr="000053F8">
        <w:t xml:space="preserve">adresse suivante: </w:t>
      </w:r>
      <w:hyperlink r:id="rId12" w:history="1">
        <w:r w:rsidRPr="000053F8">
          <w:rPr>
            <w:rStyle w:val="Hyperlink"/>
          </w:rPr>
          <w:t>http://itu.int/net/ITU-</w:t>
        </w:r>
        <w:r w:rsidRPr="000053F8">
          <w:rPr>
            <w:rStyle w:val="Hyperlink"/>
          </w:rPr>
          <w:t>T</w:t>
        </w:r>
        <w:r w:rsidRPr="000053F8">
          <w:rPr>
            <w:rStyle w:val="Hyperlink"/>
          </w:rPr>
          <w:t>/ddp/</w:t>
        </w:r>
      </w:hyperlink>
      <w:r w:rsidRPr="000053F8">
        <w:t xml:space="preserve">. En cas de </w:t>
      </w:r>
      <w:r w:rsidR="00F62BCD">
        <w:t>problème concernant la soumission des documents</w:t>
      </w:r>
      <w:r w:rsidRPr="000053F8">
        <w:t xml:space="preserve">, </w:t>
      </w:r>
      <w:proofErr w:type="spellStart"/>
      <w:r w:rsidRPr="000053F8">
        <w:t xml:space="preserve">veuillez </w:t>
      </w:r>
      <w:r w:rsidR="005B0FF0">
        <w:t>vous</w:t>
      </w:r>
      <w:proofErr w:type="spellEnd"/>
      <w:r w:rsidR="005B0FF0">
        <w:t xml:space="preserve"> adresser au </w:t>
      </w:r>
      <w:r w:rsidRPr="000053F8">
        <w:t xml:space="preserve">secrétariat de la </w:t>
      </w:r>
      <w:r w:rsidR="005B0FF0">
        <w:t>C</w:t>
      </w:r>
      <w:r w:rsidRPr="000053F8">
        <w:t>ommission d</w:t>
      </w:r>
      <w:r>
        <w:t>'</w:t>
      </w:r>
      <w:r w:rsidRPr="000053F8">
        <w:t>études à l</w:t>
      </w:r>
      <w:r>
        <w:t>'</w:t>
      </w:r>
      <w:r w:rsidRPr="000053F8">
        <w:t xml:space="preserve">adresse </w:t>
      </w:r>
      <w:hyperlink r:id="rId13" w:history="1">
        <w:r w:rsidRPr="005238AC">
          <w:rPr>
            <w:rStyle w:val="Hyperlink"/>
          </w:rPr>
          <w:t>tsbsg1</w:t>
        </w:r>
        <w:r w:rsidRPr="005238AC">
          <w:rPr>
            <w:rStyle w:val="Hyperlink"/>
          </w:rPr>
          <w:t>2</w:t>
        </w:r>
        <w:r w:rsidRPr="005238AC">
          <w:rPr>
            <w:rStyle w:val="Hyperlink"/>
          </w:rPr>
          <w:t>@itu.int</w:t>
        </w:r>
      </w:hyperlink>
      <w:r w:rsidRPr="000053F8">
        <w:t>.</w:t>
      </w:r>
    </w:p>
    <w:p w:rsidR="00245038" w:rsidRPr="000053F8" w:rsidRDefault="00245038" w:rsidP="00FD074B">
      <w:r w:rsidRPr="000053F8">
        <w:rPr>
          <w:b/>
          <w:bCs/>
        </w:rPr>
        <w:t>GABARITS:</w:t>
      </w:r>
      <w:r w:rsidRPr="000053F8">
        <w:t xml:space="preserve"> Pour élaborer votre contribution, veuillez utiliser l</w:t>
      </w:r>
      <w:r>
        <w:t>'</w:t>
      </w:r>
      <w:r w:rsidRPr="000053F8">
        <w:t>ensemble de gabarits (</w:t>
      </w:r>
      <w:proofErr w:type="spellStart"/>
      <w:r w:rsidRPr="000053F8">
        <w:rPr>
          <w:i/>
          <w:iCs/>
        </w:rPr>
        <w:t>templates</w:t>
      </w:r>
      <w:proofErr w:type="spellEnd"/>
      <w:r w:rsidRPr="000053F8">
        <w:t xml:space="preserve">) mis à votre disposition. Ces gabarits sont accessibles sur la page web de chaque </w:t>
      </w:r>
      <w:r w:rsidR="009D470F">
        <w:t>C</w:t>
      </w:r>
      <w:r w:rsidRPr="000053F8">
        <w:t>ommission d</w:t>
      </w:r>
      <w:r>
        <w:t>'</w:t>
      </w:r>
      <w:r w:rsidRPr="000053F8">
        <w:t>études de l</w:t>
      </w:r>
      <w:r>
        <w:t>'</w:t>
      </w:r>
      <w:r w:rsidRPr="000053F8">
        <w:t>UIT-T, sous "</w:t>
      </w:r>
      <w:proofErr w:type="spellStart"/>
      <w:r w:rsidRPr="000053F8">
        <w:t>Delegate</w:t>
      </w:r>
      <w:proofErr w:type="spellEnd"/>
      <w:r w:rsidRPr="000053F8">
        <w:t xml:space="preserve"> </w:t>
      </w:r>
      <w:proofErr w:type="spellStart"/>
      <w:r w:rsidRPr="000053F8">
        <w:t>resources</w:t>
      </w:r>
      <w:proofErr w:type="spellEnd"/>
      <w:r w:rsidRPr="000053F8">
        <w:t>"(</w:t>
      </w:r>
      <w:hyperlink r:id="rId14" w:history="1">
        <w:r w:rsidRPr="000053F8">
          <w:rPr>
            <w:rStyle w:val="Hyperlink"/>
          </w:rPr>
          <w:t>http://www.</w:t>
        </w:r>
        <w:r w:rsidRPr="000053F8">
          <w:rPr>
            <w:rStyle w:val="Hyperlink"/>
          </w:rPr>
          <w:t>i</w:t>
        </w:r>
        <w:r w:rsidRPr="000053F8">
          <w:rPr>
            <w:rStyle w:val="Hyperlink"/>
          </w:rPr>
          <w:t>tu.int/ITU-T/studygroups/templates</w:t>
        </w:r>
      </w:hyperlink>
      <w:r w:rsidRPr="000053F8">
        <w:t xml:space="preserve">). Le nom de la personne à contacter au sujet de la contribution, ses numéros de télécopie et de téléphone ainsi que son adresse électronique doivent figurer sur la page de couverture de </w:t>
      </w:r>
      <w:r w:rsidRPr="000053F8">
        <w:rPr>
          <w:u w:val="single"/>
        </w:rPr>
        <w:t>tous</w:t>
      </w:r>
      <w:r w:rsidRPr="000053F8">
        <w:t xml:space="preserve"> les documents.</w:t>
      </w:r>
    </w:p>
    <w:p w:rsidR="00245038" w:rsidRPr="000053F8" w:rsidRDefault="00245038" w:rsidP="00FD074B">
      <w:pPr>
        <w:pStyle w:val="AnnexTitle"/>
      </w:pPr>
      <w:r w:rsidRPr="000053F8">
        <w:t>MÉTHODES DE TRAVAIL ET INSTALLATIONS</w:t>
      </w:r>
    </w:p>
    <w:p w:rsidR="00245038" w:rsidRPr="000053F8" w:rsidRDefault="00245038" w:rsidP="00FD074B">
      <w:r w:rsidRPr="000053F8">
        <w:rPr>
          <w:b/>
          <w:bCs/>
        </w:rPr>
        <w:t>RÉUNIONS SANS PAPIER</w:t>
      </w:r>
      <w:r w:rsidRPr="000053F8">
        <w:rPr>
          <w:bCs/>
        </w:rPr>
        <w:t>:</w:t>
      </w:r>
      <w:r w:rsidRPr="000053F8">
        <w:t xml:space="preserve"> </w:t>
      </w:r>
      <w:r w:rsidR="005B0FF0">
        <w:t xml:space="preserve">Cette </w:t>
      </w:r>
      <w:r w:rsidRPr="000053F8">
        <w:t xml:space="preserve">réunion </w:t>
      </w:r>
      <w:r w:rsidR="005B0FF0">
        <w:t xml:space="preserve">de Groupe de travail </w:t>
      </w:r>
      <w:r w:rsidRPr="000053F8">
        <w:t>se déroulera sans document papier.</w:t>
      </w:r>
    </w:p>
    <w:p w:rsidR="00245038" w:rsidRPr="000053F8" w:rsidRDefault="00245038" w:rsidP="00FD074B">
      <w:pPr>
        <w:pStyle w:val="AnnexTitle"/>
      </w:pPr>
      <w:r w:rsidRPr="000053F8">
        <w:t>INSCRIPTION</w:t>
      </w:r>
      <w:r w:rsidR="005B0FF0">
        <w:t xml:space="preserve"> </w:t>
      </w:r>
      <w:r w:rsidRPr="000053F8">
        <w:t>et BOURSES</w:t>
      </w:r>
    </w:p>
    <w:p w:rsidR="00245038" w:rsidRPr="000053F8" w:rsidRDefault="00245038" w:rsidP="00FD074B">
      <w:r w:rsidRPr="000053F8">
        <w:rPr>
          <w:b/>
          <w:bCs/>
        </w:rPr>
        <w:t>INSCRIPTION</w:t>
      </w:r>
      <w:r w:rsidRPr="000053F8">
        <w:rPr>
          <w:bCs/>
        </w:rPr>
        <w:t>:</w:t>
      </w:r>
      <w:r w:rsidRPr="000053F8">
        <w:rPr>
          <w:b/>
          <w:bCs/>
        </w:rPr>
        <w:t xml:space="preserve"> </w:t>
      </w:r>
      <w:r w:rsidRPr="000053F8">
        <w:t>Afin de permettre au TSB de prendre les dispositions nécessaires, je vous saurais gré de bien vouloir lui faire parvenir par lettre, par télécopie (+41 22 730 5853) ou par courrier électronique (</w:t>
      </w:r>
      <w:hyperlink r:id="rId15" w:history="1">
        <w:r w:rsidRPr="000053F8">
          <w:rPr>
            <w:rStyle w:val="Hyperlink"/>
          </w:rPr>
          <w:t>tsbreg@</w:t>
        </w:r>
        <w:r w:rsidRPr="000053F8">
          <w:rPr>
            <w:rStyle w:val="Hyperlink"/>
          </w:rPr>
          <w:t>i</w:t>
        </w:r>
        <w:r w:rsidRPr="000053F8">
          <w:rPr>
            <w:rStyle w:val="Hyperlink"/>
          </w:rPr>
          <w:t>tu.int</w:t>
        </w:r>
      </w:hyperlink>
      <w:r w:rsidRPr="000053F8">
        <w:t xml:space="preserve">) </w:t>
      </w:r>
      <w:r w:rsidRPr="000053F8">
        <w:rPr>
          <w:b/>
          <w:bCs/>
        </w:rPr>
        <w:t xml:space="preserve">au plus tard le </w:t>
      </w:r>
      <w:r w:rsidR="00D07911">
        <w:rPr>
          <w:b/>
          <w:bCs/>
        </w:rPr>
        <w:t xml:space="preserve">25 février </w:t>
      </w:r>
      <w:r w:rsidRPr="000053F8">
        <w:rPr>
          <w:b/>
          <w:bCs/>
        </w:rPr>
        <w:t>201</w:t>
      </w:r>
      <w:r w:rsidR="00D07911">
        <w:rPr>
          <w:b/>
          <w:bCs/>
        </w:rPr>
        <w:t>4</w:t>
      </w:r>
      <w:r w:rsidRPr="000053F8"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245038" w:rsidRPr="000053F8" w:rsidRDefault="00245038" w:rsidP="00FD074B">
      <w:pPr>
        <w:rPr>
          <w:b/>
          <w:bCs/>
        </w:rPr>
      </w:pPr>
      <w:r w:rsidRPr="000053F8">
        <w:rPr>
          <w:b/>
          <w:bCs/>
        </w:rPr>
        <w:t>Veuillez noter que l</w:t>
      </w:r>
      <w:r w:rsidR="009D470F">
        <w:rPr>
          <w:b/>
          <w:bCs/>
        </w:rPr>
        <w:t>'</w:t>
      </w:r>
      <w:r w:rsidRPr="000053F8">
        <w:rPr>
          <w:b/>
          <w:bCs/>
        </w:rPr>
        <w:t xml:space="preserve">inscription </w:t>
      </w:r>
      <w:r w:rsidR="009D470F">
        <w:rPr>
          <w:b/>
          <w:bCs/>
        </w:rPr>
        <w:t xml:space="preserve">préalable </w:t>
      </w:r>
      <w:r w:rsidRPr="000053F8">
        <w:rPr>
          <w:b/>
          <w:bCs/>
        </w:rPr>
        <w:t>des participants aux réunions de l</w:t>
      </w:r>
      <w:r>
        <w:rPr>
          <w:b/>
          <w:bCs/>
        </w:rPr>
        <w:t>'</w:t>
      </w:r>
      <w:r w:rsidRPr="000053F8">
        <w:rPr>
          <w:b/>
          <w:bCs/>
        </w:rPr>
        <w:t xml:space="preserve">UIT-T se fait </w:t>
      </w:r>
      <w:r w:rsidRPr="000053F8">
        <w:rPr>
          <w:b/>
          <w:bCs/>
          <w:i/>
          <w:iCs/>
        </w:rPr>
        <w:t>en ligne</w:t>
      </w:r>
      <w:r w:rsidRPr="000053F8">
        <w:rPr>
          <w:b/>
          <w:bCs/>
        </w:rPr>
        <w:t xml:space="preserve"> sur le site web de l</w:t>
      </w:r>
      <w:r>
        <w:rPr>
          <w:b/>
          <w:bCs/>
        </w:rPr>
        <w:t>'</w:t>
      </w:r>
      <w:r w:rsidRPr="000053F8">
        <w:rPr>
          <w:b/>
          <w:bCs/>
        </w:rPr>
        <w:t xml:space="preserve">UIT-T </w:t>
      </w:r>
      <w:r w:rsidR="00D07911" w:rsidRPr="00D159D1">
        <w:rPr>
          <w:b/>
          <w:bCs/>
        </w:rPr>
        <w:t>(</w:t>
      </w:r>
      <w:hyperlink r:id="rId16" w:history="1">
        <w:r w:rsidR="00D07911" w:rsidRPr="00343690">
          <w:rPr>
            <w:rStyle w:val="Hyperlink"/>
          </w:rPr>
          <w:t>http://itu.int/</w:t>
        </w:r>
        <w:r w:rsidR="00D07911" w:rsidRPr="00343690">
          <w:rPr>
            <w:rStyle w:val="Hyperlink"/>
          </w:rPr>
          <w:t>I</w:t>
        </w:r>
        <w:r w:rsidR="00D07911" w:rsidRPr="00343690">
          <w:rPr>
            <w:rStyle w:val="Hyperlink"/>
          </w:rPr>
          <w:t>TU-T/go/sg12</w:t>
        </w:r>
      </w:hyperlink>
      <w:r w:rsidR="00D07911" w:rsidRPr="00D159D1">
        <w:rPr>
          <w:b/>
          <w:bCs/>
        </w:rPr>
        <w:t xml:space="preserve">). </w:t>
      </w:r>
    </w:p>
    <w:p w:rsidR="00245038" w:rsidRPr="000053F8" w:rsidRDefault="00245038" w:rsidP="00FD074B">
      <w:r w:rsidRPr="000053F8">
        <w:rPr>
          <w:b/>
          <w:bCs/>
        </w:rPr>
        <w:t>BOURSES</w:t>
      </w:r>
      <w:r w:rsidRPr="000053F8">
        <w:rPr>
          <w:bCs/>
        </w:rPr>
        <w:t xml:space="preserve">: </w:t>
      </w:r>
      <w:r w:rsidR="00D07911">
        <w:t>Aucune bourse</w:t>
      </w:r>
      <w:r w:rsidRPr="000053F8">
        <w:t xml:space="preserve"> </w:t>
      </w:r>
      <w:r w:rsidR="00D07911">
        <w:t xml:space="preserve">n'est accordée pour cette </w:t>
      </w:r>
      <w:r w:rsidRPr="000053F8">
        <w:t>réunion</w:t>
      </w:r>
      <w:r w:rsidRPr="00D07911">
        <w:t>.</w:t>
      </w:r>
    </w:p>
    <w:p w:rsidR="00245038" w:rsidRPr="000053F8" w:rsidRDefault="00245038" w:rsidP="00FD074B">
      <w:pPr>
        <w:pStyle w:val="headingb"/>
        <w:spacing w:after="240"/>
      </w:pPr>
      <w:r w:rsidRPr="000053F8">
        <w:t>PRINCIPALES ÉCHÉANCES (avant la réunion)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4648"/>
      </w:tblGrid>
      <w:tr w:rsidR="00245038" w:rsidRPr="000053F8" w:rsidTr="008B7110">
        <w:tc>
          <w:tcPr>
            <w:tcW w:w="2943" w:type="dxa"/>
          </w:tcPr>
          <w:p w:rsidR="00245038" w:rsidRPr="000053F8" w:rsidRDefault="00D07911" w:rsidP="00FD074B">
            <w:pPr>
              <w:pStyle w:val="TableText"/>
              <w:rPr>
                <w:b/>
              </w:rPr>
            </w:pPr>
            <w:r>
              <w:t xml:space="preserve">Deux mois </w:t>
            </w:r>
            <w:r w:rsidR="00245038" w:rsidRPr="000053F8">
              <w:t>avant la réunion</w:t>
            </w:r>
          </w:p>
        </w:tc>
        <w:tc>
          <w:tcPr>
            <w:tcW w:w="1985" w:type="dxa"/>
          </w:tcPr>
          <w:p w:rsidR="00245038" w:rsidRPr="000053F8" w:rsidRDefault="00D07911" w:rsidP="00FD074B">
            <w:pPr>
              <w:pStyle w:val="TableText"/>
            </w:pPr>
            <w:r>
              <w:t>25 janvier 2014</w:t>
            </w:r>
          </w:p>
        </w:tc>
        <w:tc>
          <w:tcPr>
            <w:tcW w:w="4648" w:type="dxa"/>
          </w:tcPr>
          <w:p w:rsidR="00245038" w:rsidRPr="000053F8" w:rsidRDefault="00245038" w:rsidP="00FD074B">
            <w:pPr>
              <w:pStyle w:val="TableText"/>
              <w:ind w:left="284" w:hanging="284"/>
              <w:rPr>
                <w:b/>
              </w:rPr>
            </w:pPr>
            <w:r w:rsidRPr="000053F8">
              <w:t>–</w:t>
            </w:r>
            <w:r w:rsidRPr="000053F8">
              <w:tab/>
              <w:t>soumission des contributions dont la traduction est demandée</w:t>
            </w:r>
          </w:p>
        </w:tc>
      </w:tr>
      <w:tr w:rsidR="00245038" w:rsidRPr="000053F8" w:rsidTr="008B7110">
        <w:tc>
          <w:tcPr>
            <w:tcW w:w="2943" w:type="dxa"/>
          </w:tcPr>
          <w:p w:rsidR="00245038" w:rsidRPr="000053F8" w:rsidRDefault="00245038" w:rsidP="00FD074B">
            <w:pPr>
              <w:pStyle w:val="TableText"/>
            </w:pPr>
            <w:r w:rsidRPr="000053F8">
              <w:t>Un mois avant la réunion</w:t>
            </w:r>
          </w:p>
        </w:tc>
        <w:tc>
          <w:tcPr>
            <w:tcW w:w="1985" w:type="dxa"/>
          </w:tcPr>
          <w:p w:rsidR="00245038" w:rsidRPr="000053F8" w:rsidRDefault="00D07911" w:rsidP="00FD074B">
            <w:pPr>
              <w:pStyle w:val="TableText"/>
            </w:pPr>
            <w:r>
              <w:t>25 février 2014</w:t>
            </w:r>
          </w:p>
        </w:tc>
        <w:tc>
          <w:tcPr>
            <w:tcW w:w="4648" w:type="dxa"/>
          </w:tcPr>
          <w:p w:rsidR="00245038" w:rsidRPr="000053F8" w:rsidRDefault="00245038" w:rsidP="00FD074B">
            <w:pPr>
              <w:pStyle w:val="TableText"/>
              <w:ind w:left="284" w:hanging="284"/>
            </w:pPr>
            <w:r w:rsidRPr="000053F8">
              <w:t>–</w:t>
            </w:r>
            <w:r w:rsidRPr="000053F8">
              <w:tab/>
              <w:t>inscription</w:t>
            </w:r>
            <w:r w:rsidR="00D07911">
              <w:t xml:space="preserve"> préalable</w:t>
            </w:r>
          </w:p>
        </w:tc>
      </w:tr>
      <w:tr w:rsidR="00245038" w:rsidRPr="000053F8" w:rsidTr="008B7110">
        <w:tc>
          <w:tcPr>
            <w:tcW w:w="2943" w:type="dxa"/>
          </w:tcPr>
          <w:p w:rsidR="00245038" w:rsidRPr="000053F8" w:rsidRDefault="00245038" w:rsidP="00FD074B">
            <w:pPr>
              <w:pStyle w:val="TableText"/>
            </w:pPr>
            <w:r w:rsidRPr="000053F8">
              <w:t>12 jours calendaires avant</w:t>
            </w:r>
            <w:r w:rsidRPr="000053F8">
              <w:br/>
              <w:t xml:space="preserve">la réunion </w:t>
            </w:r>
          </w:p>
        </w:tc>
        <w:tc>
          <w:tcPr>
            <w:tcW w:w="1985" w:type="dxa"/>
          </w:tcPr>
          <w:p w:rsidR="00245038" w:rsidRPr="000053F8" w:rsidRDefault="00D07911" w:rsidP="00FD074B">
            <w:pPr>
              <w:pStyle w:val="TableText"/>
            </w:pPr>
            <w:r>
              <w:t>12 mars 2014</w:t>
            </w:r>
          </w:p>
        </w:tc>
        <w:tc>
          <w:tcPr>
            <w:tcW w:w="4648" w:type="dxa"/>
          </w:tcPr>
          <w:p w:rsidR="00245038" w:rsidRPr="000053F8" w:rsidRDefault="00245038" w:rsidP="00FD074B">
            <w:pPr>
              <w:pStyle w:val="TableText"/>
              <w:ind w:left="284" w:hanging="284"/>
            </w:pPr>
            <w:r w:rsidRPr="000053F8">
              <w:t>–</w:t>
            </w:r>
            <w:r w:rsidRPr="000053F8">
              <w:tab/>
              <w:t>dernier délai pour la soumission des contributions</w:t>
            </w:r>
          </w:p>
        </w:tc>
      </w:tr>
    </w:tbl>
    <w:p w:rsidR="00245038" w:rsidRPr="000053F8" w:rsidRDefault="00A76676" w:rsidP="00FD074B">
      <w:pPr>
        <w:pStyle w:val="AnnexTitle"/>
        <w:widowControl w:val="0"/>
        <w:spacing w:before="120" w:after="0"/>
      </w:pPr>
      <w:r>
        <w:lastRenderedPageBreak/>
        <w:t>VISA</w:t>
      </w:r>
    </w:p>
    <w:p w:rsidR="00245038" w:rsidRPr="000053F8" w:rsidRDefault="00245038" w:rsidP="00FD074B">
      <w:pPr>
        <w:keepNext/>
        <w:keepLines/>
        <w:widowControl w:val="0"/>
      </w:pPr>
      <w:r w:rsidRPr="000053F8">
        <w:t>Nous vous rappelons que pour les ressortissants de certains pays, l</w:t>
      </w:r>
      <w:r>
        <w:t>'</w:t>
      </w:r>
      <w:r w:rsidRPr="000053F8">
        <w:t>entrée et le séjour sur le territoire de la Suisse sont soumis à l</w:t>
      </w:r>
      <w:r>
        <w:t>'</w:t>
      </w:r>
      <w:r w:rsidRPr="000053F8">
        <w:t>obtention d</w:t>
      </w:r>
      <w:r>
        <w:t>'</w:t>
      </w:r>
      <w:r w:rsidRPr="000053F8">
        <w:t xml:space="preserve">un visa. </w:t>
      </w:r>
      <w:r w:rsidRPr="000053F8">
        <w:rPr>
          <w:b/>
          <w:bCs/>
        </w:rPr>
        <w:t>Ce visa doit être demandé au moins six (6) semaines avant le début de la réunion</w:t>
      </w:r>
      <w:r w:rsidRPr="000053F8">
        <w:t xml:space="preserve"> et obtenu auprès de la représentation de la Suisse (ambassade ou consulat) dans votre pays ou, à défaut, dans le pays le plus proche de votre pays de départ. En cas de problème, l</w:t>
      </w:r>
      <w:r>
        <w:t>'</w:t>
      </w:r>
      <w:r w:rsidRPr="000053F8">
        <w:t>Union peut, sur demande officielle de l</w:t>
      </w:r>
      <w:r>
        <w:t>'</w:t>
      </w:r>
      <w:r w:rsidRPr="000053F8">
        <w:t>administration ou de l</w:t>
      </w:r>
      <w:r>
        <w:t>'</w:t>
      </w:r>
      <w:r w:rsidRPr="000053F8">
        <w:t>entité que vous représentez, intervenir auprès des autorités suisses compétentes pour faciliter l</w:t>
      </w:r>
      <w:r>
        <w:t>'</w:t>
      </w:r>
      <w:r w:rsidRPr="000053F8">
        <w:t xml:space="preserve">émission du visa mais uniquement pendant la période de </w:t>
      </w:r>
      <w:r w:rsidRPr="000053F8">
        <w:rPr>
          <w:b/>
        </w:rPr>
        <w:t xml:space="preserve">six </w:t>
      </w:r>
      <w:r w:rsidRPr="000053F8">
        <w:t>semaines susmentionnée. Cette demande doit préciser le nom et les fonctions, la date de naissance, le numéro ainsi que la date de délivrance et d</w:t>
      </w:r>
      <w:r>
        <w:t>'</w:t>
      </w:r>
      <w:r w:rsidRPr="000053F8">
        <w:t>expiration du passeport de la (des) personne(s) pour laquelle (lesquelles) le (les) visa(s) est (sont) demandé(s), et être accompagnée d</w:t>
      </w:r>
      <w:r>
        <w:t>'</w:t>
      </w:r>
      <w:r w:rsidRPr="000053F8">
        <w:t>une copie de la notification de confirmation d</w:t>
      </w:r>
      <w:r>
        <w:t>'</w:t>
      </w:r>
      <w:r w:rsidRPr="000053F8">
        <w:t>inscription approuvée pour la réunion en question de l</w:t>
      </w:r>
      <w:r>
        <w:t>'</w:t>
      </w:r>
      <w:r w:rsidRPr="000053F8">
        <w:t xml:space="preserve">UIT-T. Elle doit être envoyée au TSB, avec la mention </w:t>
      </w:r>
      <w:r w:rsidRPr="000053F8">
        <w:rPr>
          <w:b/>
          <w:bCs/>
        </w:rPr>
        <w:t>"demande de visa"</w:t>
      </w:r>
      <w:r w:rsidRPr="000053F8">
        <w:t>, par télécopie (N°: +41 22 730 5853) ou par courrier électronique (</w:t>
      </w:r>
      <w:hyperlink r:id="rId17" w:history="1">
        <w:r w:rsidRPr="000053F8">
          <w:rPr>
            <w:rStyle w:val="Hyperlink"/>
          </w:rPr>
          <w:t>tsbreg</w:t>
        </w:r>
        <w:bookmarkStart w:id="1" w:name="_GoBack"/>
        <w:bookmarkEnd w:id="1"/>
        <w:r w:rsidRPr="000053F8">
          <w:rPr>
            <w:rStyle w:val="Hyperlink"/>
          </w:rPr>
          <w:t>@</w:t>
        </w:r>
        <w:r w:rsidRPr="000053F8">
          <w:rPr>
            <w:rStyle w:val="Hyperlink"/>
          </w:rPr>
          <w:t>itu.int</w:t>
        </w:r>
      </w:hyperlink>
      <w:r w:rsidRPr="000053F8">
        <w:t>).</w:t>
      </w:r>
    </w:p>
    <w:p w:rsidR="00416A5B" w:rsidRDefault="00416A5B" w:rsidP="00FD074B">
      <w:pPr>
        <w:rPr>
          <w:b/>
          <w:bCs/>
          <w:lang w:val="fr-CH"/>
        </w:rPr>
        <w:sectPr w:rsidR="00416A5B" w:rsidSect="00416A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245038" w:rsidRPr="00FD074B" w:rsidRDefault="00245038" w:rsidP="00FD074B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D074B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245038" w:rsidRPr="00FD074B" w:rsidRDefault="00245038" w:rsidP="00FD074B">
      <w:pPr>
        <w:ind w:right="-194"/>
        <w:jc w:val="center"/>
        <w:rPr>
          <w:lang w:val="en-US"/>
        </w:rPr>
      </w:pPr>
      <w:r w:rsidRPr="00FD074B">
        <w:rPr>
          <w:lang w:val="en-US"/>
        </w:rPr>
        <w:t>(</w:t>
      </w:r>
      <w:proofErr w:type="gramStart"/>
      <w:r w:rsidRPr="00FD074B">
        <w:rPr>
          <w:lang w:val="en-US"/>
        </w:rPr>
        <w:t>to</w:t>
      </w:r>
      <w:proofErr w:type="gramEnd"/>
      <w:r w:rsidRPr="00FD074B">
        <w:rPr>
          <w:lang w:val="en-US"/>
        </w:rPr>
        <w:t xml:space="preserve"> TSB Collective letter 3/12)</w:t>
      </w:r>
    </w:p>
    <w:p w:rsidR="00245038" w:rsidRPr="00FD074B" w:rsidRDefault="00245038" w:rsidP="00FD074B">
      <w:pPr>
        <w:ind w:right="-194"/>
        <w:jc w:val="center"/>
        <w:rPr>
          <w:lang w:val="en-US"/>
        </w:rPr>
      </w:pPr>
    </w:p>
    <w:p w:rsidR="00245038" w:rsidRPr="00FD074B" w:rsidRDefault="00245038" w:rsidP="00FD074B">
      <w:pPr>
        <w:ind w:right="-194"/>
        <w:jc w:val="center"/>
        <w:rPr>
          <w:lang w:val="en-US"/>
        </w:rPr>
      </w:pPr>
    </w:p>
    <w:p w:rsidR="00245038" w:rsidRPr="00FD074B" w:rsidRDefault="00245038" w:rsidP="00FD074B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D074B">
        <w:rPr>
          <w:rFonts w:asciiTheme="majorBidi" w:hAnsiTheme="majorBidi" w:cstheme="majorBidi"/>
          <w:b/>
          <w:bCs/>
          <w:sz w:val="28"/>
          <w:szCs w:val="28"/>
          <w:lang w:val="en-US"/>
        </w:rPr>
        <w:t>Draft agenda</w:t>
      </w:r>
    </w:p>
    <w:p w:rsidR="00245038" w:rsidRPr="00FD074B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p w:rsidR="00245038" w:rsidRPr="00B04A5C" w:rsidRDefault="00245038" w:rsidP="00FD074B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</w:pPr>
      <w:r>
        <w:t>Tuesday, 25 March 2014, 1430 hours</w:t>
      </w:r>
    </w:p>
    <w:p w:rsidR="00245038" w:rsidRDefault="00245038" w:rsidP="00FD074B">
      <w:pPr>
        <w:pStyle w:val="N2-Num2"/>
        <w:tabs>
          <w:tab w:val="clear" w:pos="0"/>
          <w:tab w:val="clear" w:pos="72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3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1.</w:t>
      </w:r>
      <w:r>
        <w:rPr>
          <w:rFonts w:ascii="Times New Roman" w:hAnsi="Times New Roman"/>
          <w:lang w:val="en-GB"/>
        </w:rPr>
        <w:tab/>
        <w:t>Opening</w:t>
      </w:r>
    </w:p>
    <w:p w:rsidR="00245038" w:rsidRPr="00FD074B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n-US"/>
        </w:rPr>
      </w:pPr>
      <w:r w:rsidRPr="00FD074B">
        <w:rPr>
          <w:lang w:val="en-US"/>
        </w:rPr>
        <w:t>2.</w:t>
      </w:r>
      <w:r w:rsidRPr="00FD074B">
        <w:rPr>
          <w:lang w:val="en-US"/>
        </w:rPr>
        <w:tab/>
        <w:t>Approval of the Agenda</w:t>
      </w:r>
    </w:p>
    <w:p w:rsidR="00245038" w:rsidRPr="00FD074B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n-US"/>
        </w:rPr>
      </w:pPr>
      <w:r w:rsidRPr="00FD074B">
        <w:rPr>
          <w:lang w:val="en-US"/>
        </w:rPr>
        <w:t>3.</w:t>
      </w:r>
      <w:r w:rsidRPr="00FD074B">
        <w:rPr>
          <w:lang w:val="en-US"/>
        </w:rPr>
        <w:tab/>
        <w:t>Document allocation</w:t>
      </w:r>
    </w:p>
    <w:p w:rsidR="00245038" w:rsidRPr="00FD074B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n-US"/>
        </w:rPr>
      </w:pPr>
      <w:r w:rsidRPr="00FD074B">
        <w:rPr>
          <w:lang w:val="en-US"/>
        </w:rPr>
        <w:t>4.</w:t>
      </w:r>
      <w:r w:rsidRPr="00FD074B">
        <w:rPr>
          <w:lang w:val="en-US"/>
        </w:rPr>
        <w:tab/>
        <w:t xml:space="preserve">Consent of draft revised Recommendations ITU-T P.863 and P.863.1 </w:t>
      </w:r>
    </w:p>
    <w:p w:rsidR="00245038" w:rsidRPr="00FD074B" w:rsidRDefault="00245038" w:rsidP="00FD074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lang w:val="en-US"/>
        </w:rPr>
      </w:pPr>
      <w:r w:rsidRPr="00FD074B">
        <w:rPr>
          <w:lang w:val="en-US"/>
        </w:rPr>
        <w:t>5.</w:t>
      </w:r>
      <w:r w:rsidRPr="00FD074B">
        <w:rPr>
          <w:lang w:val="en-US"/>
        </w:rPr>
        <w:tab/>
        <w:t>Approval of liaison documents</w:t>
      </w:r>
    </w:p>
    <w:p w:rsidR="00245038" w:rsidRPr="00FD074B" w:rsidRDefault="00245038" w:rsidP="00FD074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lang w:val="en-US"/>
        </w:rPr>
      </w:pPr>
      <w:r w:rsidRPr="00FD074B">
        <w:rPr>
          <w:lang w:val="en-US"/>
        </w:rPr>
        <w:t>6.</w:t>
      </w:r>
      <w:r w:rsidRPr="00FD074B">
        <w:rPr>
          <w:lang w:val="en-US"/>
        </w:rPr>
        <w:tab/>
        <w:t>Any other business</w:t>
      </w:r>
    </w:p>
    <w:p w:rsidR="00245038" w:rsidRDefault="00245038" w:rsidP="00FD074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</w:pPr>
      <w:r>
        <w:t>7.</w:t>
      </w:r>
      <w:r>
        <w:tab/>
      </w:r>
      <w:proofErr w:type="spellStart"/>
      <w:r>
        <w:t>Closure</w:t>
      </w:r>
      <w:proofErr w:type="spellEnd"/>
      <w:r>
        <w:t xml:space="preserve"> of the meeting</w:t>
      </w:r>
    </w:p>
    <w:p w:rsidR="00245038" w:rsidRPr="004D1EC8" w:rsidRDefault="00245038" w:rsidP="00FD074B"/>
    <w:p w:rsidR="00245038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</w:p>
    <w:p w:rsidR="00245038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</w:p>
    <w:p w:rsidR="00245038" w:rsidRDefault="00245038" w:rsidP="00FD07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p w:rsidR="00416A5B" w:rsidRDefault="00416A5B" w:rsidP="00FD074B">
      <w:pPr>
        <w:rPr>
          <w:b/>
          <w:bCs/>
          <w:lang w:val="fr-CH"/>
        </w:rPr>
      </w:pPr>
    </w:p>
    <w:sectPr w:rsidR="00416A5B" w:rsidSect="00CA2E52">
      <w:footerReference w:type="first" r:id="rId24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FF" w:rsidRDefault="008B3FFF">
      <w:r>
        <w:separator/>
      </w:r>
    </w:p>
  </w:endnote>
  <w:endnote w:type="continuationSeparator" w:id="0">
    <w:p w:rsidR="008B3FFF" w:rsidRDefault="008B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52" w:rsidRDefault="00CA2E52" w:rsidP="00CA2E52">
    <w:pPr>
      <w:pStyle w:val="Footer"/>
    </w:pPr>
    <w:r>
      <w:t>ITU-T\COM-T\COM12\COLL\008F.DOC</w:t>
    </w:r>
  </w:p>
  <w:p w:rsidR="008B3FFF" w:rsidRPr="00CA2E52" w:rsidRDefault="008B3FFF" w:rsidP="00CA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FF" w:rsidRPr="002A2666" w:rsidRDefault="002A2666" w:rsidP="002A2666">
    <w:pPr>
      <w:pStyle w:val="Footer"/>
    </w:pPr>
    <w:r>
      <w:t>ITU-T\COM-T\COM12\COLL\003F.DOC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8B3FFF" w:rsidRPr="002A26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B3FFF" w:rsidRDefault="008B3FFF">
          <w:pPr>
            <w:pStyle w:val="itu"/>
          </w:pPr>
          <w:r>
            <w:tab/>
          </w:r>
          <w:hyperlink r:id="rId1" w:history="1">
            <w:r w:rsidR="00536A14" w:rsidRPr="00B173DC">
              <w:rPr>
                <w:rStyle w:val="Hyperlink"/>
              </w:rPr>
              <w:t>www</w:t>
            </w:r>
            <w:r w:rsidR="00536A14" w:rsidRPr="00B173DC">
              <w:rPr>
                <w:rStyle w:val="Hyperlink"/>
              </w:rPr>
              <w:t>.</w:t>
            </w:r>
            <w:r w:rsidR="00536A14" w:rsidRPr="00B173DC">
              <w:rPr>
                <w:rStyle w:val="Hyperlink"/>
              </w:rPr>
              <w:t>itu.int</w:t>
            </w:r>
          </w:hyperlink>
          <w:r w:rsidR="00536A14">
            <w:t xml:space="preserve"> 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</w:p>
      </w:tc>
      <w:tc>
        <w:tcPr>
          <w:tcW w:w="1131" w:type="pct"/>
        </w:tcPr>
        <w:p w:rsidR="008B3FFF" w:rsidRDefault="008B3FFF">
          <w:pPr>
            <w:pStyle w:val="itu"/>
          </w:pPr>
        </w:p>
      </w:tc>
    </w:tr>
  </w:tbl>
  <w:p w:rsidR="008B3FFF" w:rsidRPr="00FD074B" w:rsidRDefault="008B3FFF" w:rsidP="00FD074B">
    <w:pPr>
      <w:pStyle w:val="Footer"/>
      <w:rPr>
        <w:sz w:val="16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8B3FFF" w:rsidRPr="002A26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3FFF" w:rsidRDefault="008B3FF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B3FFF" w:rsidRDefault="008B3FFF">
          <w:pPr>
            <w:pStyle w:val="itu"/>
          </w:pPr>
          <w:r>
            <w:tab/>
            <w:t>www.itu.int</w:t>
          </w:r>
        </w:p>
      </w:tc>
    </w:tr>
    <w:tr w:rsidR="008B3FFF">
      <w:trPr>
        <w:cantSplit/>
      </w:trPr>
      <w:tc>
        <w:tcPr>
          <w:tcW w:w="1062" w:type="pct"/>
        </w:tcPr>
        <w:p w:rsidR="008B3FFF" w:rsidRDefault="008B3FF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B3FFF" w:rsidRDefault="008B3FF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B3FFF" w:rsidRDefault="008B3FFF">
          <w:pPr>
            <w:pStyle w:val="itu"/>
          </w:pPr>
        </w:p>
      </w:tc>
      <w:tc>
        <w:tcPr>
          <w:tcW w:w="1131" w:type="pct"/>
        </w:tcPr>
        <w:p w:rsidR="008B3FFF" w:rsidRDefault="008B3FFF">
          <w:pPr>
            <w:pStyle w:val="itu"/>
          </w:pPr>
        </w:p>
      </w:tc>
    </w:tr>
  </w:tbl>
  <w:p w:rsidR="008B3FFF" w:rsidRDefault="008B3FFF" w:rsidP="00497D0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FF" w:rsidRDefault="008B3FFF">
      <w:r>
        <w:t>____________________</w:t>
      </w:r>
    </w:p>
  </w:footnote>
  <w:footnote w:type="continuationSeparator" w:id="0">
    <w:p w:rsidR="008B3FFF" w:rsidRDefault="008B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414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FFF" w:rsidRDefault="008B3F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E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B3FFF" w:rsidRDefault="008B3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82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FFF" w:rsidRDefault="008B3F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FFF" w:rsidRDefault="008B3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FF" w:rsidRDefault="008B3FFF" w:rsidP="00E21575">
    <w:pPr>
      <w:pStyle w:val="Header"/>
    </w:pPr>
  </w:p>
  <w:p w:rsidR="008B3FFF" w:rsidRDefault="008B3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30BD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4B5D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5038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2666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C0B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3B96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16A5B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97D09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36A14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0FF0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7E7"/>
    <w:rsid w:val="00646DC2"/>
    <w:rsid w:val="006623A2"/>
    <w:rsid w:val="00667960"/>
    <w:rsid w:val="006703AE"/>
    <w:rsid w:val="00675CEF"/>
    <w:rsid w:val="00686E0F"/>
    <w:rsid w:val="00687813"/>
    <w:rsid w:val="006927DC"/>
    <w:rsid w:val="006A15C6"/>
    <w:rsid w:val="006C0557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67E6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54F22"/>
    <w:rsid w:val="0086421A"/>
    <w:rsid w:val="00871F51"/>
    <w:rsid w:val="00892810"/>
    <w:rsid w:val="0089465A"/>
    <w:rsid w:val="008A6379"/>
    <w:rsid w:val="008A69A3"/>
    <w:rsid w:val="008A6BD2"/>
    <w:rsid w:val="008B3FFF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0B99"/>
    <w:rsid w:val="00941C20"/>
    <w:rsid w:val="0094412C"/>
    <w:rsid w:val="009521B9"/>
    <w:rsid w:val="00954B25"/>
    <w:rsid w:val="00966A1F"/>
    <w:rsid w:val="00972ED8"/>
    <w:rsid w:val="009768B0"/>
    <w:rsid w:val="009876EB"/>
    <w:rsid w:val="0099368F"/>
    <w:rsid w:val="00994BE5"/>
    <w:rsid w:val="00997CD0"/>
    <w:rsid w:val="009C2588"/>
    <w:rsid w:val="009C783A"/>
    <w:rsid w:val="009D470F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676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3786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3D7B"/>
    <w:rsid w:val="00C64E19"/>
    <w:rsid w:val="00C72E27"/>
    <w:rsid w:val="00C738FE"/>
    <w:rsid w:val="00C773CD"/>
    <w:rsid w:val="00C8252D"/>
    <w:rsid w:val="00C8445F"/>
    <w:rsid w:val="00C90E6F"/>
    <w:rsid w:val="00CA2E52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07911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95141"/>
    <w:rsid w:val="00DA2736"/>
    <w:rsid w:val="00DC2963"/>
    <w:rsid w:val="00DC3E6E"/>
    <w:rsid w:val="00DD1B89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1575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344C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2BCD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074B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0">
    <w:name w:val="heading 0"/>
    <w:basedOn w:val="Heading1"/>
    <w:next w:val="Normal"/>
    <w:rsid w:val="00416A5B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416A5B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038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heading0">
    <w:name w:val="heading 0"/>
    <w:basedOn w:val="Heading1"/>
    <w:next w:val="Normal"/>
    <w:rsid w:val="00416A5B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416A5B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03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12@itu.int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sg1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12/Pages/default.aspx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sg12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studygroups/templates/index.html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8332-2834-49D7-B71E-9913CF0A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9</TotalTime>
  <Pages>4</Pages>
  <Words>978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6873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7</cp:revision>
  <cp:lastPrinted>2014-01-28T09:04:00Z</cp:lastPrinted>
  <dcterms:created xsi:type="dcterms:W3CDTF">2014-01-27T16:13:00Z</dcterms:created>
  <dcterms:modified xsi:type="dcterms:W3CDTF">2014-01-31T14:34:00Z</dcterms:modified>
</cp:coreProperties>
</file>