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75" w:rsidRPr="00A40FAD" w:rsidRDefault="00AC5975" w:rsidP="00F7339B">
      <w:pPr>
        <w:ind w:right="-143"/>
        <w:rPr>
          <w:rFonts w:asciiTheme="minorHAnsi" w:hAnsiTheme="minorHAnsi"/>
        </w:rPr>
      </w:pPr>
      <w:bookmarkStart w:id="0" w:name="_GoBack"/>
      <w:bookmarkEnd w:id="0"/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1984"/>
      </w:tblGrid>
      <w:tr w:rsidR="00D31F60" w:rsidRPr="00A40FAD" w:rsidTr="00D31F60">
        <w:trPr>
          <w:cantSplit/>
        </w:trPr>
        <w:tc>
          <w:tcPr>
            <w:tcW w:w="1560" w:type="dxa"/>
            <w:vAlign w:val="center"/>
          </w:tcPr>
          <w:p w:rsidR="00D31F60" w:rsidRPr="00A40FAD" w:rsidRDefault="00D31F60" w:rsidP="00F7339B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78A412A2" wp14:editId="496BD94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5D0BE6" w:rsidRPr="005D0BE6" w:rsidRDefault="005D0BE6" w:rsidP="00F7339B">
            <w:pPr>
              <w:spacing w:before="0"/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5D0BE6"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D31F60" w:rsidRPr="00A40FAD" w:rsidRDefault="005D0BE6" w:rsidP="00F7339B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5D0BE6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D31F60" w:rsidRPr="00A40FAD" w:rsidRDefault="00D31F60" w:rsidP="00F7339B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22DADACC" wp14:editId="4108958F">
                  <wp:extent cx="1247775" cy="935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5975" w:rsidRDefault="00AC5975" w:rsidP="00D0116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 w:after="240"/>
        <w:rPr>
          <w:rFonts w:asciiTheme="minorHAnsi" w:hAnsiTheme="minorHAnsi"/>
        </w:rPr>
      </w:pPr>
      <w:r w:rsidRPr="00A40FAD">
        <w:rPr>
          <w:rFonts w:asciiTheme="minorHAnsi" w:hAnsiTheme="minorHAnsi"/>
        </w:rPr>
        <w:tab/>
      </w:r>
      <w:r w:rsidR="00F7339B" w:rsidRPr="00A40FAD">
        <w:rPr>
          <w:rFonts w:asciiTheme="minorHAnsi" w:hAnsiTheme="minorHAnsi"/>
        </w:rPr>
        <w:t xml:space="preserve">Genève, </w:t>
      </w:r>
      <w:r w:rsidR="00F7339B" w:rsidRPr="00376C6D">
        <w:rPr>
          <w:rFonts w:asciiTheme="minorHAnsi" w:hAnsiTheme="minorHAnsi"/>
        </w:rPr>
        <w:t xml:space="preserve">le </w:t>
      </w:r>
      <w:r w:rsidR="00F7339B">
        <w:rPr>
          <w:rFonts w:asciiTheme="minorHAnsi" w:hAnsiTheme="minorHAnsi"/>
        </w:rPr>
        <w:t>10</w:t>
      </w:r>
      <w:r w:rsidR="00F7339B" w:rsidRPr="00376C6D">
        <w:rPr>
          <w:rFonts w:asciiTheme="minorHAnsi" w:hAnsiTheme="minorHAnsi"/>
        </w:rPr>
        <w:t xml:space="preserve"> </w:t>
      </w:r>
      <w:r w:rsidR="00F7339B">
        <w:rPr>
          <w:rFonts w:asciiTheme="minorHAnsi" w:hAnsiTheme="minorHAnsi"/>
        </w:rPr>
        <w:t>novem</w:t>
      </w:r>
      <w:r w:rsidR="00F7339B" w:rsidRPr="00376C6D">
        <w:rPr>
          <w:rFonts w:asciiTheme="minorHAnsi" w:hAnsiTheme="minorHAnsi"/>
        </w:rPr>
        <w:t>bre 2015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FA6B28" w:rsidRPr="001A288E" w:rsidTr="00E77BEC">
        <w:trPr>
          <w:cantSplit/>
          <w:trHeight w:val="340"/>
        </w:trPr>
        <w:tc>
          <w:tcPr>
            <w:tcW w:w="822" w:type="dxa"/>
          </w:tcPr>
          <w:p w:rsidR="00FA6B28" w:rsidRPr="001A288E" w:rsidRDefault="00FA6B28" w:rsidP="00F7339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1A288E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055" w:type="dxa"/>
          </w:tcPr>
          <w:p w:rsidR="00FA6B28" w:rsidRPr="001A288E" w:rsidRDefault="00FA6B28" w:rsidP="00F7339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1A288E">
              <w:rPr>
                <w:rFonts w:asciiTheme="minorHAnsi" w:hAnsiTheme="minorHAnsi"/>
                <w:b/>
                <w:szCs w:val="24"/>
              </w:rPr>
              <w:t xml:space="preserve">Addendum 1 à la </w:t>
            </w:r>
            <w:r w:rsidRPr="001A288E">
              <w:rPr>
                <w:rFonts w:asciiTheme="minorHAnsi" w:hAnsiTheme="minorHAnsi"/>
                <w:b/>
                <w:szCs w:val="24"/>
              </w:rPr>
              <w:br/>
              <w:t>Lettre collective TSB 9/11</w:t>
            </w:r>
          </w:p>
          <w:p w:rsidR="00FA6B28" w:rsidRPr="001A288E" w:rsidRDefault="00FA6B28" w:rsidP="00F7339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762" w:type="dxa"/>
            <w:gridSpan w:val="2"/>
            <w:vMerge w:val="restart"/>
          </w:tcPr>
          <w:p w:rsidR="00FA6B28" w:rsidRPr="001A288E" w:rsidRDefault="00FA6B28" w:rsidP="00F7339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1A288E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1A288E">
              <w:rPr>
                <w:rFonts w:asciiTheme="minorHAnsi" w:hAnsiTheme="minorHAnsi"/>
                <w:szCs w:val="24"/>
                <w:lang w:val="fr-CH"/>
              </w:rPr>
              <w:tab/>
              <w:t xml:space="preserve">Aux administrations des Etats Membres de l'Union; </w:t>
            </w:r>
          </w:p>
          <w:p w:rsidR="00FA6B28" w:rsidRPr="001A288E" w:rsidRDefault="00FA6B28" w:rsidP="00F7339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1A288E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1A288E">
              <w:rPr>
                <w:rFonts w:asciiTheme="minorHAnsi" w:hAnsiTheme="minorHAnsi"/>
                <w:szCs w:val="24"/>
                <w:lang w:val="fr-CH"/>
              </w:rPr>
              <w:tab/>
              <w:t xml:space="preserve">aux Membres du Secteur UIT-T; </w:t>
            </w:r>
          </w:p>
          <w:p w:rsidR="00FA6B28" w:rsidRPr="001A288E" w:rsidRDefault="00FA6B28" w:rsidP="00F7339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1A288E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1A288E">
              <w:rPr>
                <w:rFonts w:asciiTheme="minorHAnsi" w:hAnsiTheme="minorHAnsi"/>
                <w:szCs w:val="24"/>
                <w:lang w:val="fr-CH"/>
              </w:rPr>
              <w:tab/>
              <w:t>aux Associés de l'UIT-T participant aux tra</w:t>
            </w:r>
            <w:r w:rsidR="001A288E" w:rsidRPr="001A288E">
              <w:rPr>
                <w:rFonts w:asciiTheme="minorHAnsi" w:hAnsiTheme="minorHAnsi"/>
                <w:szCs w:val="24"/>
                <w:lang w:val="fr-CH"/>
              </w:rPr>
              <w:t>vaux de la Commission d'études 11</w:t>
            </w:r>
            <w:r w:rsidRPr="001A288E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FA6B28" w:rsidRPr="001A288E" w:rsidRDefault="00FA6B28" w:rsidP="00F7339B">
            <w:pPr>
              <w:spacing w:before="0"/>
              <w:ind w:left="226" w:hanging="169"/>
              <w:rPr>
                <w:rFonts w:asciiTheme="minorHAnsi" w:hAnsiTheme="minorHAnsi"/>
                <w:b/>
                <w:szCs w:val="24"/>
              </w:rPr>
            </w:pPr>
            <w:r w:rsidRPr="001A288E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1A288E">
              <w:rPr>
                <w:rFonts w:asciiTheme="minorHAnsi" w:hAnsiTheme="minorHAnsi"/>
                <w:szCs w:val="24"/>
                <w:lang w:val="fr-CH"/>
              </w:rPr>
              <w:tab/>
              <w:t>aux établissements universitaires participant aux travaux de l'UIT-T</w:t>
            </w:r>
          </w:p>
        </w:tc>
      </w:tr>
      <w:tr w:rsidR="00FA6B28" w:rsidRPr="001A288E" w:rsidTr="00E77BEC">
        <w:trPr>
          <w:cantSplit/>
        </w:trPr>
        <w:tc>
          <w:tcPr>
            <w:tcW w:w="822" w:type="dxa"/>
          </w:tcPr>
          <w:p w:rsidR="00FA6B28" w:rsidRPr="001A288E" w:rsidRDefault="00FA6B28" w:rsidP="00F7339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1A288E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4055" w:type="dxa"/>
          </w:tcPr>
          <w:p w:rsidR="00FA6B28" w:rsidRPr="001A288E" w:rsidRDefault="00FA6B28" w:rsidP="00F7339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1A288E">
              <w:rPr>
                <w:rFonts w:asciiTheme="minorHAnsi" w:hAnsiTheme="minorHAnsi"/>
                <w:szCs w:val="24"/>
              </w:rPr>
              <w:t>+41 22 730 5858</w:t>
            </w:r>
          </w:p>
        </w:tc>
        <w:tc>
          <w:tcPr>
            <w:tcW w:w="4762" w:type="dxa"/>
            <w:gridSpan w:val="2"/>
            <w:vMerge/>
          </w:tcPr>
          <w:p w:rsidR="00FA6B28" w:rsidRPr="001A288E" w:rsidRDefault="00FA6B28" w:rsidP="00F7339B">
            <w:pPr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FA6B28" w:rsidRPr="001A288E" w:rsidTr="00E77BEC">
        <w:trPr>
          <w:cantSplit/>
        </w:trPr>
        <w:tc>
          <w:tcPr>
            <w:tcW w:w="822" w:type="dxa"/>
          </w:tcPr>
          <w:p w:rsidR="00FA6B28" w:rsidRPr="001A288E" w:rsidRDefault="00FA6B28" w:rsidP="00F7339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1A288E">
              <w:rPr>
                <w:rFonts w:asciiTheme="minorHAnsi" w:hAnsiTheme="minorHAnsi"/>
                <w:szCs w:val="24"/>
              </w:rPr>
              <w:t>Fax:</w:t>
            </w:r>
            <w:r w:rsidRPr="001A288E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FA6B28" w:rsidRPr="001A288E" w:rsidRDefault="00FA6B28" w:rsidP="00F7339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1A288E">
              <w:rPr>
                <w:rFonts w:asciiTheme="minorHAnsi" w:hAnsiTheme="minorHAnsi"/>
                <w:szCs w:val="24"/>
              </w:rPr>
              <w:t>+41 22 730 5853</w:t>
            </w:r>
            <w:r w:rsidRPr="001A288E">
              <w:rPr>
                <w:rFonts w:asciiTheme="minorHAnsi" w:hAnsiTheme="minorHAnsi"/>
                <w:szCs w:val="24"/>
              </w:rPr>
              <w:br/>
            </w:r>
            <w:hyperlink r:id="rId10" w:history="1">
              <w:r w:rsidR="001A288E" w:rsidRPr="00A5296D">
                <w:rPr>
                  <w:rStyle w:val="Hyperlink"/>
                  <w:szCs w:val="22"/>
                </w:rPr>
                <w:t>tsbsg11@itu.int</w:t>
              </w:r>
            </w:hyperlink>
          </w:p>
        </w:tc>
        <w:tc>
          <w:tcPr>
            <w:tcW w:w="4762" w:type="dxa"/>
            <w:gridSpan w:val="2"/>
            <w:vMerge/>
          </w:tcPr>
          <w:p w:rsidR="00FA6B28" w:rsidRPr="001A288E" w:rsidRDefault="00FA6B28" w:rsidP="00F7339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FA6B28" w:rsidRPr="001A288E" w:rsidTr="00E77BEC">
        <w:trPr>
          <w:cantSplit/>
        </w:trPr>
        <w:tc>
          <w:tcPr>
            <w:tcW w:w="822" w:type="dxa"/>
          </w:tcPr>
          <w:p w:rsidR="00FA6B28" w:rsidRPr="001A288E" w:rsidRDefault="00FA6B28" w:rsidP="00F7339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55" w:type="dxa"/>
          </w:tcPr>
          <w:p w:rsidR="00FA6B28" w:rsidRPr="001A288E" w:rsidRDefault="00FA6B28" w:rsidP="00F7339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62" w:type="dxa"/>
            <w:gridSpan w:val="2"/>
          </w:tcPr>
          <w:p w:rsidR="00FA6B28" w:rsidRPr="001A288E" w:rsidRDefault="00FA6B28" w:rsidP="00F7339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AC5975" w:rsidRPr="001A288E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1A288E" w:rsidRDefault="00AC5975" w:rsidP="001A288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1A288E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1A288E" w:rsidRDefault="00F7339B" w:rsidP="001A288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1A288E">
              <w:rPr>
                <w:rFonts w:asciiTheme="minorHAnsi" w:hAnsiTheme="minorHAnsi"/>
                <w:b/>
                <w:bCs/>
                <w:szCs w:val="24"/>
                <w:lang w:val="fr-CH"/>
              </w:rPr>
              <w:t>Réunion du Comité de direction de l'UIT</w:t>
            </w:r>
            <w:r w:rsidRPr="001A288E">
              <w:rPr>
                <w:rFonts w:asciiTheme="minorHAnsi" w:hAnsiTheme="minorHAnsi"/>
                <w:b/>
                <w:bCs/>
                <w:szCs w:val="24"/>
                <w:lang w:val="fr-CH"/>
              </w:rPr>
              <w:noBreakHyphen/>
              <w:t>T pour l'évaluation de la conformité (CASC), atelier sur la VoLTE et la ViLTE et atelier de la Coopération en matière de normalisation mondiale (WSC) sur l'évaluation de la conformité, parallèlement à la réunion de la Commission d'études 11 de l'UIT</w:t>
            </w:r>
            <w:r w:rsidRPr="001A288E">
              <w:rPr>
                <w:rFonts w:asciiTheme="minorHAnsi" w:hAnsiTheme="minorHAnsi"/>
                <w:b/>
                <w:bCs/>
                <w:szCs w:val="24"/>
                <w:lang w:val="fr-CH"/>
              </w:rPr>
              <w:noBreakHyphen/>
              <w:t>T (ou immédiatement avant)</w:t>
            </w:r>
          </w:p>
        </w:tc>
      </w:tr>
    </w:tbl>
    <w:p w:rsidR="00F7339B" w:rsidRPr="00DB4BC5" w:rsidRDefault="00F7339B" w:rsidP="00D0116B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1"/>
        <w:rPr>
          <w:rFonts w:asciiTheme="minorHAnsi" w:hAnsiTheme="minorHAnsi"/>
          <w:sz w:val="24"/>
        </w:rPr>
      </w:pPr>
      <w:r w:rsidRPr="00DB4BC5">
        <w:rPr>
          <w:rFonts w:asciiTheme="minorHAnsi" w:hAnsiTheme="minorHAnsi"/>
          <w:sz w:val="24"/>
        </w:rPr>
        <w:t>Madame, Monsieur,</w:t>
      </w:r>
    </w:p>
    <w:p w:rsidR="00F7339B" w:rsidRDefault="00F7339B" w:rsidP="00D0116B">
      <w:pPr>
        <w:spacing w:before="80"/>
        <w:ind w:right="-193"/>
        <w:rPr>
          <w:rFonts w:asciiTheme="minorHAnsi" w:hAnsiTheme="minorHAnsi"/>
          <w:lang w:val="fr-CH"/>
        </w:rPr>
      </w:pPr>
      <w:bookmarkStart w:id="2" w:name="suitetext"/>
      <w:bookmarkEnd w:id="2"/>
      <w:r>
        <w:rPr>
          <w:rFonts w:asciiTheme="minorHAnsi" w:hAnsiTheme="minorHAnsi"/>
          <w:lang w:val="fr-CH"/>
        </w:rPr>
        <w:t>L'objet du présent Addendum est de vous fournir des informations concernant des manifestations susceptibles de vous intéresser qui seront organisées au siège de l'UIT parallèlement à la réunion de la Commission d'études 11 (Genève, 2-11 décembre 2015) ou immédiatement avant celle-ci.</w:t>
      </w:r>
    </w:p>
    <w:p w:rsidR="00F7339B" w:rsidRDefault="00F7339B" w:rsidP="00D0116B">
      <w:pPr>
        <w:spacing w:before="80"/>
        <w:ind w:right="-193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Je souhaite attirer votre attention sur les manifestations suivantes:</w:t>
      </w:r>
    </w:p>
    <w:p w:rsidR="00F7339B" w:rsidRPr="003F15EF" w:rsidRDefault="00F7339B" w:rsidP="001A288E">
      <w:pPr>
        <w:ind w:left="794" w:right="-193" w:hanging="794"/>
        <w:rPr>
          <w:rFonts w:asciiTheme="minorHAnsi" w:hAnsiTheme="minorHAnsi"/>
          <w:i/>
          <w:iCs/>
          <w:szCs w:val="24"/>
          <w:lang w:val="fr-CH"/>
        </w:rPr>
      </w:pPr>
      <w:r w:rsidRPr="003F15EF">
        <w:rPr>
          <w:rFonts w:asciiTheme="minorHAnsi" w:hAnsiTheme="minorHAnsi"/>
          <w:szCs w:val="24"/>
          <w:lang w:val="fr-CH"/>
        </w:rPr>
        <w:t>1</w:t>
      </w:r>
      <w:r w:rsidR="001A288E">
        <w:rPr>
          <w:rFonts w:asciiTheme="minorHAnsi" w:hAnsiTheme="minorHAnsi"/>
          <w:szCs w:val="24"/>
          <w:lang w:val="fr-CH"/>
        </w:rPr>
        <w:t>)</w:t>
      </w:r>
      <w:r w:rsidRPr="003F15EF">
        <w:rPr>
          <w:rFonts w:asciiTheme="minorHAnsi" w:hAnsiTheme="minorHAnsi"/>
          <w:szCs w:val="24"/>
          <w:lang w:val="fr-CH"/>
        </w:rPr>
        <w:tab/>
        <w:t>Atelier de l'UIT</w:t>
      </w:r>
      <w:r w:rsidRPr="003F15EF">
        <w:rPr>
          <w:rFonts w:asciiTheme="minorHAnsi" w:hAnsiTheme="minorHAnsi"/>
          <w:szCs w:val="24"/>
          <w:lang w:val="fr-CH"/>
        </w:rPr>
        <w:noBreakHyphen/>
        <w:t>T sur l'</w:t>
      </w:r>
      <w:r w:rsidR="00FA6B28">
        <w:rPr>
          <w:rFonts w:asciiTheme="minorHAnsi" w:hAnsiTheme="minorHAnsi"/>
          <w:b/>
          <w:bCs/>
          <w:i/>
          <w:iCs/>
          <w:szCs w:val="24"/>
          <w:lang w:val="fr-CH"/>
        </w:rPr>
        <w:t>"</w:t>
      </w:r>
      <w:r w:rsidRPr="003F15EF">
        <w:rPr>
          <w:rFonts w:asciiTheme="minorHAnsi" w:hAnsiTheme="minorHAnsi"/>
          <w:b/>
          <w:bCs/>
          <w:i/>
          <w:iCs/>
          <w:szCs w:val="24"/>
          <w:lang w:val="fr-CH"/>
        </w:rPr>
        <w:t>Interopérabilité des services v</w:t>
      </w:r>
      <w:r w:rsidR="001A288E">
        <w:rPr>
          <w:rFonts w:asciiTheme="minorHAnsi" w:hAnsiTheme="minorHAnsi"/>
          <w:b/>
          <w:bCs/>
          <w:i/>
          <w:iCs/>
          <w:szCs w:val="24"/>
          <w:lang w:val="fr-CH"/>
        </w:rPr>
        <w:t>ocaux et vidéo dans des environ</w:t>
      </w:r>
      <w:r w:rsidRPr="003F15EF">
        <w:rPr>
          <w:rFonts w:asciiTheme="minorHAnsi" w:hAnsiTheme="minorHAnsi"/>
          <w:b/>
          <w:bCs/>
          <w:i/>
          <w:iCs/>
          <w:szCs w:val="24"/>
          <w:lang w:val="fr-CH"/>
        </w:rPr>
        <w:t>nements hybrides fixe-mobile, y compris les IMT évoluées (LTE)</w:t>
      </w:r>
      <w:r w:rsidR="00FA6B28">
        <w:rPr>
          <w:rFonts w:asciiTheme="minorHAnsi" w:hAnsiTheme="minorHAnsi"/>
          <w:b/>
          <w:bCs/>
          <w:i/>
          <w:iCs/>
          <w:szCs w:val="24"/>
          <w:lang w:val="fr-CH"/>
        </w:rPr>
        <w:t>"</w:t>
      </w:r>
      <w:r w:rsidR="001A288E">
        <w:rPr>
          <w:rFonts w:asciiTheme="minorHAnsi" w:hAnsiTheme="minorHAnsi"/>
          <w:b/>
          <w:bCs/>
          <w:i/>
          <w:iCs/>
          <w:szCs w:val="24"/>
          <w:lang w:val="fr-CH"/>
        </w:rPr>
        <w:t>, Genève, 1er décembre </w:t>
      </w:r>
      <w:r w:rsidRPr="003F15EF">
        <w:rPr>
          <w:rFonts w:asciiTheme="minorHAnsi" w:hAnsiTheme="minorHAnsi"/>
          <w:b/>
          <w:bCs/>
          <w:i/>
          <w:iCs/>
          <w:szCs w:val="24"/>
          <w:lang w:val="fr-CH"/>
        </w:rPr>
        <w:t>2015</w:t>
      </w:r>
    </w:p>
    <w:p w:rsidR="00F7339B" w:rsidRDefault="00F7339B" w:rsidP="00D0116B">
      <w:pPr>
        <w:spacing w:before="80"/>
        <w:ind w:right="-193"/>
        <w:rPr>
          <w:rFonts w:asciiTheme="minorHAnsi" w:hAnsiTheme="minorHAnsi"/>
          <w:szCs w:val="24"/>
          <w:lang w:val="fr-CH"/>
        </w:rPr>
      </w:pPr>
      <w:r>
        <w:rPr>
          <w:rFonts w:asciiTheme="minorHAnsi" w:hAnsiTheme="minorHAnsi"/>
          <w:lang w:val="fr-CH"/>
        </w:rPr>
        <w:t>A la suite de</w:t>
      </w:r>
      <w:r w:rsidRPr="00574396">
        <w:rPr>
          <w:rFonts w:asciiTheme="minorHAnsi" w:hAnsiTheme="minorHAnsi"/>
          <w:lang w:val="fr-CH"/>
        </w:rPr>
        <w:t xml:space="preserve"> l’appel à l’action </w:t>
      </w:r>
      <w:r>
        <w:rPr>
          <w:rFonts w:asciiTheme="minorHAnsi" w:hAnsiTheme="minorHAnsi"/>
          <w:lang w:val="fr-CH"/>
        </w:rPr>
        <w:t xml:space="preserve">lancé à la </w:t>
      </w:r>
      <w:r w:rsidRPr="00574396">
        <w:rPr>
          <w:rFonts w:asciiTheme="minorHAnsi" w:hAnsiTheme="minorHAnsi"/>
          <w:lang w:val="fr-CH"/>
        </w:rPr>
        <w:t>réunion des directeurs techniques</w:t>
      </w:r>
      <w:r>
        <w:rPr>
          <w:rFonts w:asciiTheme="minorHAnsi" w:hAnsiTheme="minorHAnsi"/>
          <w:lang w:val="fr-CH"/>
        </w:rPr>
        <w:t xml:space="preserve"> qui s’est tenue le 11 octobre 2015 à Hungexpo, à Budapest (Hongrie), l’Union internationale des télécommunications (UIT) organise un atelier d’une journée sur l'</w:t>
      </w:r>
      <w:r w:rsidR="00FA6B28">
        <w:rPr>
          <w:rFonts w:asciiTheme="minorHAnsi" w:hAnsiTheme="minorHAnsi"/>
          <w:lang w:val="fr-CH"/>
        </w:rPr>
        <w:t>"</w:t>
      </w:r>
      <w:r w:rsidRPr="00757D6F">
        <w:rPr>
          <w:rFonts w:asciiTheme="minorHAnsi" w:hAnsiTheme="minorHAnsi"/>
          <w:i/>
          <w:iCs/>
          <w:lang w:val="fr-CH"/>
        </w:rPr>
        <w:t xml:space="preserve">Interopérabilité des services </w:t>
      </w:r>
      <w:r w:rsidRPr="00757D6F">
        <w:rPr>
          <w:rFonts w:asciiTheme="minorHAnsi" w:hAnsiTheme="minorHAnsi"/>
          <w:i/>
          <w:iCs/>
          <w:lang w:val="fr-CH"/>
        </w:rPr>
        <w:lastRenderedPageBreak/>
        <w:t>vocaux et vidéo dans des environnements hybrides fixe-mobile, y compris les IMT évoluées (LTE)</w:t>
      </w:r>
      <w:r w:rsidR="00FA6B28">
        <w:rPr>
          <w:rFonts w:asciiTheme="minorHAnsi" w:hAnsiTheme="minorHAnsi"/>
          <w:i/>
          <w:iCs/>
          <w:lang w:val="fr-CH"/>
        </w:rPr>
        <w:t>"</w:t>
      </w:r>
      <w:r>
        <w:rPr>
          <w:rFonts w:asciiTheme="minorHAnsi" w:hAnsiTheme="minorHAnsi"/>
          <w:lang w:val="fr-CH"/>
        </w:rPr>
        <w:t>. Cet atelier aura lieu le </w:t>
      </w:r>
      <w:r w:rsidRPr="00757D6F">
        <w:rPr>
          <w:rFonts w:asciiTheme="minorHAnsi" w:hAnsiTheme="minorHAnsi"/>
          <w:lang w:val="fr-CH"/>
        </w:rPr>
        <w:t>1er</w:t>
      </w:r>
      <w:r>
        <w:rPr>
          <w:rFonts w:asciiTheme="minorHAnsi" w:hAnsiTheme="minorHAnsi"/>
          <w:lang w:val="fr-CH"/>
        </w:rPr>
        <w:t> décembre </w:t>
      </w:r>
      <w:r w:rsidRPr="00757D6F">
        <w:rPr>
          <w:rFonts w:asciiTheme="minorHAnsi" w:hAnsiTheme="minorHAnsi"/>
          <w:lang w:val="fr-CH"/>
        </w:rPr>
        <w:t xml:space="preserve">2015 </w:t>
      </w:r>
      <w:r>
        <w:rPr>
          <w:rFonts w:asciiTheme="minorHAnsi" w:hAnsiTheme="minorHAnsi"/>
          <w:lang w:val="fr-CH"/>
        </w:rPr>
        <w:t xml:space="preserve">au siège de l’UIT, immédiatement avant la réunion de la Commission d’études 11 de l’UIT-T (2-11 décembre 2015). Les participants aux activités de la CE 11 sont invités à prendre part à cette manifestation. Pour de plus amples informations, veuillez consulter la </w:t>
      </w:r>
      <w:hyperlink r:id="rId11" w:history="1">
        <w:r w:rsidRPr="00757D6F">
          <w:rPr>
            <w:rStyle w:val="Hyperlink"/>
            <w:rFonts w:asciiTheme="minorHAnsi" w:hAnsiTheme="minorHAnsi"/>
            <w:lang w:val="fr-CH"/>
          </w:rPr>
          <w:t>page web</w:t>
        </w:r>
      </w:hyperlink>
      <w:r>
        <w:rPr>
          <w:rFonts w:asciiTheme="minorHAnsi" w:hAnsiTheme="minorHAnsi"/>
          <w:lang w:val="fr-CH"/>
        </w:rPr>
        <w:t xml:space="preserve"> de l'atelier ou la </w:t>
      </w:r>
      <w:hyperlink r:id="rId12" w:history="1">
        <w:r>
          <w:rPr>
            <w:rStyle w:val="Hyperlink"/>
            <w:rFonts w:asciiTheme="minorHAnsi" w:hAnsiTheme="minorHAnsi"/>
            <w:lang w:val="fr-CH"/>
          </w:rPr>
          <w:t>Circulaire TSB</w:t>
        </w:r>
        <w:r w:rsidRPr="00757D6F">
          <w:rPr>
            <w:rStyle w:val="Hyperlink"/>
            <w:rFonts w:asciiTheme="minorHAnsi" w:hAnsiTheme="minorHAnsi"/>
            <w:lang w:val="fr-CH"/>
          </w:rPr>
          <w:t xml:space="preserve"> 179</w:t>
        </w:r>
      </w:hyperlink>
      <w:r w:rsidRPr="00376C6D">
        <w:rPr>
          <w:rFonts w:asciiTheme="minorHAnsi" w:hAnsiTheme="minorHAnsi"/>
          <w:szCs w:val="24"/>
          <w:lang w:val="fr-CH"/>
        </w:rPr>
        <w:t>.</w:t>
      </w:r>
    </w:p>
    <w:p w:rsidR="00F7339B" w:rsidRDefault="00F7339B" w:rsidP="001A288E">
      <w:pPr>
        <w:ind w:left="794" w:right="-193" w:hanging="794"/>
        <w:rPr>
          <w:rFonts w:asciiTheme="minorHAnsi" w:hAnsiTheme="minorHAnsi"/>
          <w:szCs w:val="24"/>
          <w:lang w:val="fr-CH"/>
        </w:rPr>
      </w:pPr>
      <w:r>
        <w:rPr>
          <w:rFonts w:asciiTheme="minorHAnsi" w:hAnsiTheme="minorHAnsi"/>
          <w:szCs w:val="24"/>
          <w:lang w:val="fr-CH"/>
        </w:rPr>
        <w:t>2</w:t>
      </w:r>
      <w:r w:rsidR="001A288E">
        <w:rPr>
          <w:rFonts w:asciiTheme="minorHAnsi" w:hAnsiTheme="minorHAnsi"/>
          <w:szCs w:val="24"/>
          <w:lang w:val="fr-CH"/>
        </w:rPr>
        <w:t>)</w:t>
      </w:r>
      <w:r>
        <w:rPr>
          <w:rFonts w:asciiTheme="minorHAnsi" w:hAnsiTheme="minorHAnsi"/>
          <w:szCs w:val="24"/>
          <w:lang w:val="fr-CH"/>
        </w:rPr>
        <w:tab/>
        <w:t>Atelier de la Coopération en matière de normalisation mondiale (WSC) sur l'</w:t>
      </w:r>
      <w:r w:rsidR="00FA6B28" w:rsidRPr="001A288E">
        <w:rPr>
          <w:rFonts w:asciiTheme="minorHAnsi" w:hAnsiTheme="minorHAnsi"/>
          <w:b/>
          <w:bCs/>
          <w:szCs w:val="24"/>
          <w:lang w:val="fr-CH"/>
        </w:rPr>
        <w:t>"</w:t>
      </w:r>
      <w:proofErr w:type="spellStart"/>
      <w:r w:rsidRPr="000A4CAF">
        <w:rPr>
          <w:rFonts w:asciiTheme="minorHAnsi" w:hAnsiTheme="minorHAnsi"/>
          <w:b/>
          <w:bCs/>
          <w:i/>
          <w:iCs/>
          <w:szCs w:val="24"/>
          <w:lang w:val="fr-CH"/>
        </w:rPr>
        <w:t>Evaluation</w:t>
      </w:r>
      <w:proofErr w:type="spellEnd"/>
      <w:r w:rsidRPr="000A4CAF">
        <w:rPr>
          <w:rFonts w:asciiTheme="minorHAnsi" w:hAnsiTheme="minorHAnsi"/>
          <w:b/>
          <w:bCs/>
          <w:i/>
          <w:iCs/>
          <w:szCs w:val="24"/>
          <w:lang w:val="fr-CH"/>
        </w:rPr>
        <w:t xml:space="preserve"> de la conformité</w:t>
      </w:r>
      <w:r w:rsidR="00FA6B28" w:rsidRPr="001A288E">
        <w:rPr>
          <w:rFonts w:asciiTheme="minorHAnsi" w:hAnsiTheme="minorHAnsi"/>
          <w:b/>
          <w:bCs/>
          <w:szCs w:val="24"/>
          <w:lang w:val="fr-CH"/>
        </w:rPr>
        <w:t>"</w:t>
      </w:r>
      <w:r w:rsidRPr="000A4CAF">
        <w:rPr>
          <w:rFonts w:asciiTheme="minorHAnsi" w:hAnsiTheme="minorHAnsi"/>
          <w:b/>
          <w:bCs/>
          <w:i/>
          <w:iCs/>
          <w:szCs w:val="24"/>
          <w:lang w:val="fr-CH"/>
        </w:rPr>
        <w:t>, Genève, 1</w:t>
      </w:r>
      <w:r w:rsidR="001A288E">
        <w:rPr>
          <w:rFonts w:asciiTheme="minorHAnsi" w:hAnsiTheme="minorHAnsi"/>
          <w:b/>
          <w:bCs/>
          <w:i/>
          <w:iCs/>
          <w:szCs w:val="24"/>
          <w:lang w:val="fr-CH"/>
        </w:rPr>
        <w:t>er</w:t>
      </w:r>
      <w:r w:rsidRPr="000A4CAF">
        <w:rPr>
          <w:rFonts w:asciiTheme="minorHAnsi" w:hAnsiTheme="minorHAnsi"/>
          <w:b/>
          <w:bCs/>
          <w:i/>
          <w:iCs/>
          <w:szCs w:val="24"/>
          <w:lang w:val="fr-CH"/>
        </w:rPr>
        <w:t>-2 décembre 2015</w:t>
      </w:r>
    </w:p>
    <w:p w:rsidR="00F7339B" w:rsidRDefault="00F7339B" w:rsidP="00D0116B">
      <w:pPr>
        <w:spacing w:before="80"/>
        <w:ind w:right="-193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 xml:space="preserve">Dans le cadre de la Coopération en matière de normalisation mondiale (WSC), la Commission électrotechnique internationale (CEI), l'Organisation internationale de la normalisation (ISO) </w:t>
      </w:r>
      <w:r w:rsidRPr="000E0FF5">
        <w:rPr>
          <w:rFonts w:ascii="Calibri" w:hAnsi="Calibri"/>
          <w:lang w:val="fr-CH"/>
        </w:rPr>
        <w:t>et l'Union internationale des télécommunications (UIT)</w:t>
      </w:r>
      <w:r>
        <w:rPr>
          <w:rFonts w:ascii="Calibri" w:hAnsi="Calibri"/>
          <w:lang w:val="fr-CH"/>
        </w:rPr>
        <w:t xml:space="preserve"> </w:t>
      </w:r>
      <w:r w:rsidRPr="000E0FF5">
        <w:rPr>
          <w:rFonts w:ascii="Calibri" w:hAnsi="Calibri"/>
          <w:lang w:val="fr-CH"/>
        </w:rPr>
        <w:t>organise</w:t>
      </w:r>
      <w:r>
        <w:rPr>
          <w:rFonts w:ascii="Calibri" w:hAnsi="Calibri"/>
          <w:lang w:val="fr-CH"/>
        </w:rPr>
        <w:t>nt</w:t>
      </w:r>
      <w:r w:rsidRPr="000E0FF5">
        <w:rPr>
          <w:rFonts w:ascii="Calibri" w:hAnsi="Calibri"/>
          <w:lang w:val="fr-CH"/>
        </w:rPr>
        <w:t xml:space="preserve"> un atelier sur l'</w:t>
      </w:r>
      <w:r w:rsidR="00FA6B28" w:rsidRPr="001A288E">
        <w:rPr>
          <w:rFonts w:ascii="Calibri" w:hAnsi="Calibri"/>
          <w:lang w:val="fr-CH"/>
        </w:rPr>
        <w:t>"</w:t>
      </w:r>
      <w:r w:rsidRPr="0004091B">
        <w:rPr>
          <w:rFonts w:ascii="Calibri" w:hAnsi="Calibri"/>
          <w:i/>
          <w:iCs/>
          <w:lang w:val="fr-CH"/>
        </w:rPr>
        <w:t>Evaluation de la conformité</w:t>
      </w:r>
      <w:r w:rsidR="00FA6B28" w:rsidRPr="001A288E">
        <w:rPr>
          <w:rFonts w:ascii="Calibri" w:hAnsi="Calibri"/>
          <w:lang w:val="fr-CH"/>
        </w:rPr>
        <w:t>"</w:t>
      </w:r>
      <w:r>
        <w:rPr>
          <w:rFonts w:ascii="Calibri" w:hAnsi="Calibri"/>
          <w:lang w:val="fr-CH"/>
        </w:rPr>
        <w:t>. Cet atelier</w:t>
      </w:r>
      <w:r w:rsidRPr="000E0FF5">
        <w:rPr>
          <w:rFonts w:ascii="Calibri" w:hAnsi="Calibri"/>
          <w:lang w:val="fr-CH"/>
        </w:rPr>
        <w:t xml:space="preserve"> aura lieu les 1</w:t>
      </w:r>
      <w:r w:rsidRPr="00680151">
        <w:rPr>
          <w:rFonts w:ascii="Calibri" w:hAnsi="Calibri"/>
          <w:lang w:val="fr-CH"/>
        </w:rPr>
        <w:t>er</w:t>
      </w:r>
      <w:r w:rsidRPr="000E0FF5">
        <w:rPr>
          <w:rFonts w:ascii="Calibri" w:hAnsi="Calibri"/>
          <w:lang w:val="fr-CH"/>
        </w:rPr>
        <w:t xml:space="preserve"> et 2 (jusqu'à 13 heures) décembre </w:t>
      </w:r>
      <w:r>
        <w:rPr>
          <w:rFonts w:ascii="Calibri" w:hAnsi="Calibri"/>
          <w:lang w:val="fr-CH"/>
        </w:rPr>
        <w:t>2015</w:t>
      </w:r>
      <w:r w:rsidRPr="000E0FF5">
        <w:rPr>
          <w:rFonts w:ascii="Calibri" w:hAnsi="Calibri"/>
          <w:lang w:val="fr-CH"/>
        </w:rPr>
        <w:t xml:space="preserve"> </w:t>
      </w:r>
      <w:r>
        <w:rPr>
          <w:rFonts w:ascii="Calibri" w:hAnsi="Calibri"/>
          <w:lang w:val="fr-CH"/>
        </w:rPr>
        <w:t xml:space="preserve">au Palais des Nations, </w:t>
      </w:r>
      <w:r w:rsidRPr="000E0FF5">
        <w:rPr>
          <w:rFonts w:ascii="Calibri" w:hAnsi="Calibri"/>
          <w:lang w:val="fr-CH"/>
        </w:rPr>
        <w:t>siège de l'Office des Nations Unies à Genève (ONUG) (Suisse)</w:t>
      </w:r>
      <w:r>
        <w:rPr>
          <w:rFonts w:ascii="Calibri" w:hAnsi="Calibri"/>
          <w:lang w:val="fr-CH"/>
        </w:rPr>
        <w:t>.</w:t>
      </w:r>
      <w:r w:rsidR="001A288E">
        <w:rPr>
          <w:rFonts w:ascii="Calibri" w:hAnsi="Calibri"/>
          <w:lang w:val="fr-CH"/>
        </w:rPr>
        <w:t xml:space="preserve"> La distance qui sépare le lieu </w:t>
      </w:r>
      <w:r>
        <w:rPr>
          <w:rFonts w:ascii="Calibri" w:hAnsi="Calibri"/>
          <w:lang w:val="fr-CH"/>
        </w:rPr>
        <w:t xml:space="preserve">de l'atelier du siège de l'UIT peut être parcourue à pied. La réunion de la CE 11 commencera l'après-midi du 2 décembre 2015, immédiatement après la fin de l'atelier. Les experts de la CE 11 intéressés par le thème de l'atelier sont donc invités à y participer. Pour de plus amples informations, veuillez consulter la </w:t>
      </w:r>
      <w:hyperlink r:id="rId13" w:history="1">
        <w:r w:rsidRPr="00DF4D40">
          <w:rPr>
            <w:rStyle w:val="Hyperlink"/>
            <w:rFonts w:ascii="Calibri" w:hAnsi="Calibri"/>
            <w:lang w:val="fr-CH"/>
          </w:rPr>
          <w:t>page web</w:t>
        </w:r>
      </w:hyperlink>
      <w:r>
        <w:rPr>
          <w:rFonts w:ascii="Calibri" w:hAnsi="Calibri"/>
          <w:lang w:val="fr-CH"/>
        </w:rPr>
        <w:t xml:space="preserve"> de l'atelier ou la </w:t>
      </w:r>
      <w:hyperlink r:id="rId14" w:history="1">
        <w:r w:rsidRPr="00DF4D40">
          <w:rPr>
            <w:rStyle w:val="Hyperlink"/>
            <w:rFonts w:ascii="Calibri" w:hAnsi="Calibri"/>
            <w:lang w:val="fr-CH"/>
          </w:rPr>
          <w:t>Circulaire TSB 177</w:t>
        </w:r>
      </w:hyperlink>
      <w:r>
        <w:rPr>
          <w:rFonts w:ascii="Calibri" w:hAnsi="Calibri"/>
          <w:lang w:val="fr-CH"/>
        </w:rPr>
        <w:t>.</w:t>
      </w:r>
    </w:p>
    <w:p w:rsidR="00F7339B" w:rsidRDefault="00F7339B" w:rsidP="001A288E">
      <w:pPr>
        <w:ind w:left="794" w:hanging="794"/>
        <w:rPr>
          <w:rFonts w:asciiTheme="minorHAnsi" w:hAnsiTheme="minorHAnsi"/>
          <w:b/>
          <w:bCs/>
          <w:szCs w:val="24"/>
          <w:lang w:val="fr-CH"/>
        </w:rPr>
      </w:pPr>
      <w:r>
        <w:rPr>
          <w:rFonts w:asciiTheme="minorHAnsi" w:hAnsiTheme="minorHAnsi"/>
          <w:lang w:val="fr-CH"/>
        </w:rPr>
        <w:t>3</w:t>
      </w:r>
      <w:r w:rsidR="001A288E">
        <w:rPr>
          <w:rFonts w:asciiTheme="minorHAnsi" w:hAnsiTheme="minorHAnsi"/>
          <w:lang w:val="fr-CH"/>
        </w:rPr>
        <w:t>)</w:t>
      </w:r>
      <w:r>
        <w:rPr>
          <w:rFonts w:asciiTheme="minorHAnsi" w:hAnsiTheme="minorHAnsi"/>
          <w:lang w:val="fr-CH"/>
        </w:rPr>
        <w:tab/>
        <w:t xml:space="preserve">Première réunion du </w:t>
      </w:r>
      <w:r w:rsidR="00FA6B28" w:rsidRPr="001A288E">
        <w:rPr>
          <w:rFonts w:asciiTheme="minorHAnsi" w:hAnsiTheme="minorHAnsi"/>
          <w:b/>
          <w:bCs/>
          <w:lang w:val="fr-CH"/>
        </w:rPr>
        <w:t>"</w:t>
      </w:r>
      <w:r w:rsidRPr="00DF4D40">
        <w:rPr>
          <w:rFonts w:asciiTheme="minorHAnsi" w:hAnsiTheme="minorHAnsi"/>
          <w:b/>
          <w:bCs/>
          <w:i/>
          <w:iCs/>
          <w:szCs w:val="24"/>
          <w:lang w:val="fr-CH"/>
        </w:rPr>
        <w:t>Com</w:t>
      </w:r>
      <w:r>
        <w:rPr>
          <w:rFonts w:asciiTheme="minorHAnsi" w:hAnsiTheme="minorHAnsi"/>
          <w:b/>
          <w:bCs/>
          <w:i/>
          <w:iCs/>
          <w:szCs w:val="24"/>
          <w:lang w:val="fr-CH"/>
        </w:rPr>
        <w:t>ité</w:t>
      </w:r>
      <w:r w:rsidRPr="00DF4D40">
        <w:rPr>
          <w:rFonts w:asciiTheme="minorHAnsi" w:hAnsiTheme="minorHAnsi"/>
          <w:b/>
          <w:bCs/>
          <w:i/>
          <w:iCs/>
          <w:szCs w:val="24"/>
          <w:lang w:val="fr-CH"/>
        </w:rPr>
        <w:t xml:space="preserve"> de direction de l'UIT</w:t>
      </w:r>
      <w:r w:rsidRPr="00DF4D40">
        <w:rPr>
          <w:rFonts w:asciiTheme="minorHAnsi" w:hAnsiTheme="minorHAnsi"/>
          <w:b/>
          <w:bCs/>
          <w:i/>
          <w:iCs/>
          <w:szCs w:val="24"/>
          <w:lang w:val="fr-CH"/>
        </w:rPr>
        <w:noBreakHyphen/>
        <w:t>T pour l'évaluation de la conformité (CASC de l'UIT</w:t>
      </w:r>
      <w:r w:rsidRPr="00DF4D40">
        <w:rPr>
          <w:rFonts w:asciiTheme="minorHAnsi" w:hAnsiTheme="minorHAnsi"/>
          <w:b/>
          <w:bCs/>
          <w:i/>
          <w:iCs/>
          <w:szCs w:val="24"/>
          <w:lang w:val="fr-CH"/>
        </w:rPr>
        <w:noBreakHyphen/>
        <w:t>T)</w:t>
      </w:r>
      <w:r w:rsidR="00FA6B28" w:rsidRPr="001A288E">
        <w:rPr>
          <w:rFonts w:asciiTheme="minorHAnsi" w:hAnsiTheme="minorHAnsi"/>
          <w:b/>
          <w:bCs/>
          <w:szCs w:val="24"/>
          <w:lang w:val="fr-CH"/>
        </w:rPr>
        <w:t>"</w:t>
      </w:r>
      <w:r w:rsidRPr="00DF4D40">
        <w:rPr>
          <w:rFonts w:asciiTheme="minorHAnsi" w:hAnsiTheme="minorHAnsi"/>
          <w:b/>
          <w:bCs/>
          <w:i/>
          <w:iCs/>
          <w:szCs w:val="24"/>
          <w:lang w:val="fr-CH"/>
        </w:rPr>
        <w:t>, Genève, 3 décembre 2015</w:t>
      </w:r>
    </w:p>
    <w:p w:rsidR="00F7339B" w:rsidRDefault="00F7339B" w:rsidP="00D0116B">
      <w:pPr>
        <w:spacing w:before="80"/>
        <w:ind w:right="-193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 xml:space="preserve">La première réunion du </w:t>
      </w:r>
      <w:r w:rsidRPr="00297BC3">
        <w:rPr>
          <w:rFonts w:asciiTheme="minorHAnsi" w:hAnsiTheme="minorHAnsi"/>
          <w:b/>
          <w:bCs/>
          <w:lang w:val="fr-CH"/>
        </w:rPr>
        <w:t>Comité de direction de l'UIT</w:t>
      </w:r>
      <w:r w:rsidRPr="00297BC3">
        <w:rPr>
          <w:rFonts w:asciiTheme="minorHAnsi" w:hAnsiTheme="minorHAnsi"/>
          <w:b/>
          <w:bCs/>
          <w:lang w:val="fr-CH"/>
        </w:rPr>
        <w:noBreakHyphen/>
        <w:t>T pour l'évaluation de la conformité (CASC de l'UIT</w:t>
      </w:r>
      <w:r w:rsidRPr="00297BC3">
        <w:rPr>
          <w:rFonts w:asciiTheme="minorHAnsi" w:hAnsiTheme="minorHAnsi"/>
          <w:b/>
          <w:bCs/>
          <w:lang w:val="fr-CH"/>
        </w:rPr>
        <w:noBreakHyphen/>
        <w:t>T)</w:t>
      </w:r>
      <w:r>
        <w:rPr>
          <w:rFonts w:asciiTheme="minorHAnsi" w:hAnsiTheme="minorHAnsi"/>
          <w:lang w:val="fr-CH"/>
        </w:rPr>
        <w:t xml:space="preserve"> est programmée le jeudi 3 décembre 2015, parallèlement à la réunion de la CE 11 de l'UIT</w:t>
      </w:r>
      <w:r>
        <w:rPr>
          <w:rFonts w:asciiTheme="minorHAnsi" w:hAnsiTheme="minorHAnsi"/>
          <w:lang w:val="fr-CH"/>
        </w:rPr>
        <w:noBreakHyphen/>
        <w:t>T (2-11 décembre 2015). La réunion sera présidée par M. Isaac Boateng (Ghana), Président du CASC de l'UIT</w:t>
      </w:r>
      <w:r>
        <w:rPr>
          <w:rFonts w:asciiTheme="minorHAnsi" w:hAnsiTheme="minorHAnsi"/>
          <w:lang w:val="fr-CH"/>
        </w:rPr>
        <w:noBreakHyphen/>
        <w:t>T.</w:t>
      </w:r>
    </w:p>
    <w:p w:rsidR="00F7339B" w:rsidRDefault="00F7339B" w:rsidP="00D0116B">
      <w:pPr>
        <w:spacing w:before="80"/>
        <w:ind w:right="-193"/>
        <w:rPr>
          <w:rFonts w:asciiTheme="minorHAnsi" w:hAnsiTheme="minorHAnsi"/>
        </w:rPr>
      </w:pPr>
      <w:r>
        <w:rPr>
          <w:rFonts w:asciiTheme="minorHAnsi" w:hAnsiTheme="minorHAnsi"/>
          <w:lang w:val="fr-CH"/>
        </w:rPr>
        <w:t>Le Comité de direction de l'UIT</w:t>
      </w:r>
      <w:r>
        <w:rPr>
          <w:rFonts w:asciiTheme="minorHAnsi" w:hAnsiTheme="minorHAnsi"/>
          <w:lang w:val="fr-CH"/>
        </w:rPr>
        <w:noBreakHyphen/>
        <w:t>T pour l'évaluation de la conformité (</w:t>
      </w:r>
      <w:hyperlink r:id="rId15" w:history="1">
        <w:r w:rsidRPr="00A91F72">
          <w:rPr>
            <w:rStyle w:val="Hyperlink"/>
            <w:rFonts w:asciiTheme="minorHAnsi" w:hAnsiTheme="minorHAnsi"/>
            <w:lang w:val="fr-CH"/>
          </w:rPr>
          <w:t xml:space="preserve">CASC </w:t>
        </w:r>
        <w:r>
          <w:rPr>
            <w:rStyle w:val="Hyperlink"/>
            <w:rFonts w:asciiTheme="minorHAnsi" w:hAnsiTheme="minorHAnsi"/>
            <w:lang w:val="fr-CH"/>
          </w:rPr>
          <w:t>de l'</w:t>
        </w:r>
        <w:r w:rsidRPr="00A91F72">
          <w:rPr>
            <w:rStyle w:val="Hyperlink"/>
            <w:rFonts w:asciiTheme="minorHAnsi" w:hAnsiTheme="minorHAnsi"/>
            <w:lang w:val="fr-CH"/>
          </w:rPr>
          <w:t>UIT</w:t>
        </w:r>
        <w:r w:rsidRPr="00A91F72">
          <w:rPr>
            <w:rStyle w:val="Hyperlink"/>
            <w:rFonts w:asciiTheme="minorHAnsi" w:hAnsiTheme="minorHAnsi"/>
            <w:lang w:val="fr-CH"/>
          </w:rPr>
          <w:noBreakHyphen/>
          <w:t>T</w:t>
        </w:r>
      </w:hyperlink>
      <w:r>
        <w:rPr>
          <w:rFonts w:asciiTheme="minorHAnsi" w:hAnsiTheme="minorHAnsi"/>
          <w:lang w:val="fr-CH"/>
        </w:rPr>
        <w:t>) a été créé par la CE 11 de l'UIT</w:t>
      </w:r>
      <w:r>
        <w:rPr>
          <w:rFonts w:asciiTheme="minorHAnsi" w:hAnsiTheme="minorHAnsi"/>
          <w:lang w:val="fr-CH"/>
        </w:rPr>
        <w:noBreakHyphen/>
        <w:t xml:space="preserve">T en avril 2015, afin d'élaborer des procédures détaillées </w:t>
      </w:r>
      <w:r w:rsidRPr="00A91F72">
        <w:rPr>
          <w:rFonts w:asciiTheme="minorHAnsi" w:hAnsiTheme="minorHAnsi"/>
          <w:lang w:val="fr-CH"/>
        </w:rPr>
        <w:t>pour la mise en oeuvre d'une procédure de reconnaissance de laboratoires de tests à l'UIT</w:t>
      </w:r>
      <w:r w:rsidRPr="00A91F72">
        <w:rPr>
          <w:rFonts w:asciiTheme="minorHAnsi" w:hAnsiTheme="minorHAnsi"/>
          <w:lang w:val="fr-CH"/>
        </w:rPr>
        <w:noBreakHyphen/>
        <w:t>T</w:t>
      </w:r>
      <w:r>
        <w:rPr>
          <w:rFonts w:asciiTheme="minorHAnsi" w:hAnsiTheme="minorHAnsi"/>
          <w:lang w:val="fr-CH"/>
        </w:rPr>
        <w:t>. Le CASC de l'UIT</w:t>
      </w:r>
      <w:r>
        <w:rPr>
          <w:rFonts w:asciiTheme="minorHAnsi" w:hAnsiTheme="minorHAnsi"/>
          <w:lang w:val="fr-CH"/>
        </w:rPr>
        <w:noBreakHyphen/>
        <w:t xml:space="preserve">T mène ses travaux conformément à </w:t>
      </w:r>
      <w:r w:rsidRPr="00A91F72">
        <w:rPr>
          <w:rFonts w:asciiTheme="minorHAnsi" w:hAnsiTheme="minorHAnsi"/>
        </w:rPr>
        <w:t xml:space="preserve">la </w:t>
      </w:r>
      <w:r w:rsidRPr="00297BC3">
        <w:rPr>
          <w:rFonts w:asciiTheme="minorHAnsi" w:hAnsiTheme="minorHAnsi"/>
        </w:rPr>
        <w:t>ligne directrice</w:t>
      </w:r>
      <w:r w:rsidRPr="00A91F7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 la CE 11 de l'UIT</w:t>
      </w:r>
      <w:r>
        <w:rPr>
          <w:rFonts w:asciiTheme="minorHAnsi" w:hAnsiTheme="minorHAnsi"/>
        </w:rPr>
        <w:noBreakHyphen/>
        <w:t xml:space="preserve">T relative à une </w:t>
      </w:r>
      <w:r w:rsidR="00FA6B28">
        <w:rPr>
          <w:rFonts w:asciiTheme="minorHAnsi" w:hAnsiTheme="minorHAnsi"/>
        </w:rPr>
        <w:t>"</w:t>
      </w:r>
      <w:hyperlink r:id="rId16" w:history="1">
        <w:r w:rsidRPr="00297BC3">
          <w:rPr>
            <w:rStyle w:val="Hyperlink"/>
            <w:rFonts w:asciiTheme="minorHAnsi" w:hAnsiTheme="minorHAnsi"/>
          </w:rPr>
          <w:t>procédure de reconnaissance des laboratoires de tests</w:t>
        </w:r>
      </w:hyperlink>
      <w:r w:rsidR="00FA6B28">
        <w:rPr>
          <w:rFonts w:asciiTheme="minorHAnsi" w:hAnsiTheme="minorHAnsi"/>
        </w:rPr>
        <w:t>"</w:t>
      </w:r>
      <w:r>
        <w:rPr>
          <w:rFonts w:asciiTheme="minorHAnsi" w:hAnsiTheme="minorHAnsi"/>
        </w:rPr>
        <w:t xml:space="preserve">, qui décrit la procédure de haut niveau à suivre pour la reconnaissance de laboratoires de </w:t>
      </w:r>
      <w:r>
        <w:rPr>
          <w:rFonts w:asciiTheme="minorHAnsi" w:hAnsiTheme="minorHAnsi"/>
        </w:rPr>
        <w:lastRenderedPageBreak/>
        <w:t>tests habilités à effectuer des tests par rapport aux Recommandations UIT</w:t>
      </w:r>
      <w:r>
        <w:rPr>
          <w:rFonts w:asciiTheme="minorHAnsi" w:hAnsiTheme="minorHAnsi"/>
        </w:rPr>
        <w:noBreakHyphen/>
        <w:t>T. Les travaux du CASC de l'UIT</w:t>
      </w:r>
      <w:r>
        <w:rPr>
          <w:rFonts w:asciiTheme="minorHAnsi" w:hAnsiTheme="minorHAnsi"/>
        </w:rPr>
        <w:noBreakHyphen/>
        <w:t>T ont lieu sous les auspices de la CE 11 de l'UIT</w:t>
      </w:r>
      <w:r>
        <w:rPr>
          <w:rFonts w:asciiTheme="minorHAnsi" w:hAnsiTheme="minorHAnsi"/>
        </w:rPr>
        <w:noBreakHyphen/>
        <w:t>T, avec la participation d'experts de l'UIT</w:t>
      </w:r>
      <w:r>
        <w:rPr>
          <w:rFonts w:asciiTheme="minorHAnsi" w:hAnsiTheme="minorHAnsi"/>
        </w:rPr>
        <w:noBreakHyphen/>
        <w:t>T issus de toutes les commissions d'études de l'UIT</w:t>
      </w:r>
      <w:r>
        <w:rPr>
          <w:rFonts w:asciiTheme="minorHAnsi" w:hAnsiTheme="minorHAnsi"/>
        </w:rPr>
        <w:noBreakHyphen/>
        <w:t>T. Le CASC de l'UIT</w:t>
      </w:r>
      <w:r>
        <w:rPr>
          <w:rFonts w:asciiTheme="minorHAnsi" w:hAnsiTheme="minorHAnsi"/>
        </w:rPr>
        <w:noBreakHyphen/>
        <w:t>T suivra les règles et procédures de travail applicables à un groupe de travail et rendra compte de ses travaux à la séance plénière de la CE 11.</w:t>
      </w:r>
    </w:p>
    <w:p w:rsidR="00F7339B" w:rsidRPr="00DF4D40" w:rsidRDefault="00F7339B" w:rsidP="00D0116B">
      <w:pPr>
        <w:spacing w:before="80"/>
        <w:ind w:right="-193"/>
        <w:rPr>
          <w:rFonts w:asciiTheme="minorHAnsi" w:hAnsiTheme="minorHAnsi"/>
          <w:lang w:val="fr-CH"/>
        </w:rPr>
      </w:pPr>
      <w:r>
        <w:rPr>
          <w:rFonts w:asciiTheme="minorHAnsi" w:hAnsiTheme="minorHAnsi"/>
        </w:rPr>
        <w:t>La réunion du CASC de l'UIT</w:t>
      </w:r>
      <w:r>
        <w:rPr>
          <w:rFonts w:asciiTheme="minorHAnsi" w:hAnsiTheme="minorHAnsi"/>
        </w:rPr>
        <w:noBreakHyphen/>
        <w:t>T aura lieu le jeudi 3 décembre 2015 au siège de l'UIT à Genève. Elle s'ouvrira à 9 h 30 et se terminera à 12 h 30. Pour assister à la réunion, les délégués doivent s'inscrire à la réunion de la CE 11, qui est l'entité de rattachement du CASC de l'UIT</w:t>
      </w:r>
      <w:r>
        <w:rPr>
          <w:rFonts w:asciiTheme="minorHAnsi" w:hAnsiTheme="minorHAnsi"/>
        </w:rPr>
        <w:noBreakHyphen/>
        <w:t xml:space="preserve">T (voir la </w:t>
      </w:r>
      <w:hyperlink r:id="rId17" w:history="1">
        <w:r w:rsidRPr="00E54343">
          <w:rPr>
            <w:rStyle w:val="Hyperlink"/>
            <w:rFonts w:asciiTheme="minorHAnsi" w:hAnsiTheme="minorHAnsi"/>
          </w:rPr>
          <w:t>lettre d'invitation à la réunion de la CE 11</w:t>
        </w:r>
      </w:hyperlink>
      <w:r>
        <w:rPr>
          <w:rFonts w:asciiTheme="minorHAnsi" w:hAnsiTheme="minorHAnsi"/>
        </w:rPr>
        <w:t xml:space="preserve">). </w:t>
      </w:r>
      <w:r w:rsidRPr="00DB4BC5">
        <w:rPr>
          <w:rFonts w:asciiTheme="minorHAnsi" w:hAnsiTheme="minorHAnsi"/>
          <w:lang w:val="fr-CH"/>
        </w:rPr>
        <w:t>L</w:t>
      </w:r>
      <w:r>
        <w:rPr>
          <w:rFonts w:asciiTheme="minorHAnsi" w:hAnsiTheme="minorHAnsi"/>
          <w:lang w:val="fr-CH"/>
        </w:rPr>
        <w:t>'</w:t>
      </w:r>
      <w:r w:rsidRPr="00DB4BC5">
        <w:rPr>
          <w:rFonts w:asciiTheme="minorHAnsi" w:hAnsiTheme="minorHAnsi"/>
          <w:lang w:val="fr-CH"/>
        </w:rPr>
        <w:t>enregistrement des participants débutera à 8 h 30 à l</w:t>
      </w:r>
      <w:r>
        <w:rPr>
          <w:rFonts w:asciiTheme="minorHAnsi" w:hAnsiTheme="minorHAnsi"/>
          <w:lang w:val="fr-CH"/>
        </w:rPr>
        <w:t>'</w:t>
      </w:r>
      <w:r w:rsidRPr="00DB4BC5">
        <w:rPr>
          <w:rFonts w:asciiTheme="minorHAnsi" w:hAnsiTheme="minorHAnsi"/>
          <w:lang w:val="fr-CH"/>
        </w:rPr>
        <w:t>entrée Montbrillant. Les précisions relatives aux salles de réunion seront affichées sur les écrans placés aux entrées du siège de l</w:t>
      </w:r>
      <w:r>
        <w:rPr>
          <w:rFonts w:asciiTheme="minorHAnsi" w:hAnsiTheme="minorHAnsi"/>
          <w:lang w:val="fr-CH"/>
        </w:rPr>
        <w:t>'</w:t>
      </w:r>
      <w:r w:rsidRPr="00DB4BC5">
        <w:rPr>
          <w:rFonts w:asciiTheme="minorHAnsi" w:hAnsiTheme="minorHAnsi"/>
          <w:lang w:val="fr-CH"/>
        </w:rPr>
        <w:t>UIT.</w:t>
      </w:r>
    </w:p>
    <w:p w:rsidR="00F7339B" w:rsidRDefault="00F7339B" w:rsidP="00D0116B">
      <w:pPr>
        <w:spacing w:before="80"/>
        <w:ind w:right="-193"/>
        <w:rPr>
          <w:rFonts w:asciiTheme="minorHAnsi" w:hAnsiTheme="minorHAnsi"/>
          <w:bCs/>
          <w:szCs w:val="24"/>
          <w:lang w:val="fr-CH"/>
        </w:rPr>
      </w:pPr>
      <w:r w:rsidRPr="00376C6D">
        <w:rPr>
          <w:rFonts w:asciiTheme="minorHAnsi" w:hAnsiTheme="minorHAnsi"/>
          <w:szCs w:val="24"/>
          <w:lang w:val="fr-CH"/>
        </w:rPr>
        <w:t xml:space="preserve">Le projet </w:t>
      </w:r>
      <w:r w:rsidRPr="00E54343">
        <w:rPr>
          <w:rFonts w:asciiTheme="minorHAnsi" w:hAnsiTheme="minorHAnsi"/>
          <w:szCs w:val="24"/>
          <w:lang w:val="fr-CH"/>
        </w:rPr>
        <w:t>d'ordre du jour</w:t>
      </w:r>
      <w:r w:rsidRPr="00376C6D">
        <w:rPr>
          <w:rFonts w:asciiTheme="minorHAnsi" w:hAnsiTheme="minorHAnsi"/>
          <w:b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 xml:space="preserve">sera publié dans le Document </w:t>
      </w:r>
      <w:hyperlink r:id="rId18" w:history="1">
        <w:r w:rsidRPr="00E54343">
          <w:rPr>
            <w:rStyle w:val="Hyperlink"/>
            <w:rFonts w:asciiTheme="minorHAnsi" w:hAnsiTheme="minorHAnsi"/>
            <w:bCs/>
            <w:szCs w:val="24"/>
            <w:lang w:val="fr-CH"/>
          </w:rPr>
          <w:t>TD895 (GEN/11)</w:t>
        </w:r>
      </w:hyperlink>
      <w:r>
        <w:rPr>
          <w:rFonts w:asciiTheme="minorHAnsi" w:hAnsiTheme="minorHAnsi"/>
          <w:bCs/>
          <w:szCs w:val="24"/>
          <w:lang w:val="fr-CH"/>
        </w:rPr>
        <w:t xml:space="preserve"> et pourra également être consulté sur la </w:t>
      </w:r>
      <w:hyperlink r:id="rId19" w:history="1">
        <w:r w:rsidRPr="00913C4A">
          <w:rPr>
            <w:rStyle w:val="Hyperlink"/>
            <w:rFonts w:asciiTheme="minorHAnsi" w:hAnsiTheme="minorHAnsi"/>
            <w:bCs/>
            <w:szCs w:val="24"/>
            <w:lang w:val="fr-CH"/>
          </w:rPr>
          <w:t>page web</w:t>
        </w:r>
      </w:hyperlink>
      <w:r>
        <w:rPr>
          <w:rFonts w:asciiTheme="minorHAnsi" w:hAnsiTheme="minorHAnsi"/>
          <w:bCs/>
          <w:szCs w:val="24"/>
          <w:lang w:val="fr-CH"/>
        </w:rPr>
        <w:t xml:space="preserve"> du </w:t>
      </w:r>
      <w:r w:rsidRPr="00913C4A">
        <w:rPr>
          <w:rFonts w:asciiTheme="minorHAnsi" w:hAnsiTheme="minorHAnsi"/>
          <w:bCs/>
          <w:szCs w:val="24"/>
          <w:lang w:val="fr-CH"/>
        </w:rPr>
        <w:t>CASC</w:t>
      </w:r>
      <w:r>
        <w:rPr>
          <w:rFonts w:asciiTheme="minorHAnsi" w:hAnsiTheme="minorHAnsi"/>
          <w:bCs/>
          <w:szCs w:val="24"/>
          <w:lang w:val="fr-CH"/>
        </w:rPr>
        <w:t xml:space="preserve"> de l'UIT</w:t>
      </w:r>
      <w:r>
        <w:rPr>
          <w:rFonts w:asciiTheme="minorHAnsi" w:hAnsiTheme="minorHAnsi"/>
          <w:bCs/>
          <w:szCs w:val="24"/>
          <w:lang w:val="fr-CH"/>
        </w:rPr>
        <w:noBreakHyphen/>
        <w:t>T.</w:t>
      </w:r>
    </w:p>
    <w:p w:rsidR="00F7339B" w:rsidRDefault="00F7339B" w:rsidP="00D0116B">
      <w:pPr>
        <w:spacing w:before="80"/>
        <w:ind w:right="-193"/>
        <w:rPr>
          <w:rFonts w:asciiTheme="minorHAnsi" w:hAnsiTheme="minorHAnsi"/>
          <w:bCs/>
          <w:szCs w:val="24"/>
          <w:lang w:val="fr-CH"/>
        </w:rPr>
      </w:pPr>
      <w:r>
        <w:rPr>
          <w:rFonts w:asciiTheme="minorHAnsi" w:hAnsiTheme="minorHAnsi"/>
          <w:bCs/>
          <w:szCs w:val="24"/>
          <w:lang w:val="fr-CH"/>
        </w:rPr>
        <w:t>La participation à distance à la réunion du CASC de l'UIT</w:t>
      </w:r>
      <w:r>
        <w:rPr>
          <w:rFonts w:asciiTheme="minorHAnsi" w:hAnsiTheme="minorHAnsi"/>
          <w:bCs/>
          <w:szCs w:val="24"/>
          <w:lang w:val="fr-CH"/>
        </w:rPr>
        <w:noBreakHyphen/>
        <w:t>T sera possible sur demande. Afin que le secrétariat puisse communiquer à temps les modalités de participation à distance</w:t>
      </w:r>
      <w:r w:rsidRPr="00CB793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aux participants intéressés, ceux-ci sont priés de s'inscrire avant le vendredi 27 novembre 2015 et de demander les modalités de participation à distance au secrétariat de la CE 11 de l'UIT</w:t>
      </w:r>
      <w:r>
        <w:rPr>
          <w:rFonts w:asciiTheme="minorHAnsi" w:hAnsiTheme="minorHAnsi"/>
          <w:bCs/>
          <w:szCs w:val="24"/>
          <w:lang w:val="fr-CH"/>
        </w:rPr>
        <w:noBreakHyphen/>
        <w:t xml:space="preserve">T à l'adresse </w:t>
      </w:r>
      <w:hyperlink r:id="rId20" w:history="1">
        <w:r w:rsidRPr="000D579C">
          <w:rPr>
            <w:rStyle w:val="Hyperlink"/>
            <w:rFonts w:asciiTheme="minorHAnsi" w:hAnsiTheme="minorHAnsi"/>
            <w:bCs/>
            <w:szCs w:val="24"/>
            <w:lang w:val="fr-CH"/>
          </w:rPr>
          <w:t>tsbsg11@itu.int</w:t>
        </w:r>
      </w:hyperlink>
      <w:r>
        <w:rPr>
          <w:rFonts w:asciiTheme="minorHAnsi" w:hAnsiTheme="minorHAnsi"/>
          <w:bCs/>
          <w:szCs w:val="24"/>
          <w:lang w:val="fr-CH"/>
        </w:rPr>
        <w:t>.</w:t>
      </w:r>
    </w:p>
    <w:p w:rsidR="00F7339B" w:rsidRDefault="00F7339B" w:rsidP="00D0116B">
      <w:pPr>
        <w:spacing w:before="80"/>
        <w:ind w:right="-193"/>
        <w:rPr>
          <w:rFonts w:asciiTheme="minorHAnsi" w:hAnsiTheme="minorHAnsi"/>
          <w:bCs/>
          <w:szCs w:val="24"/>
          <w:lang w:val="fr-CH"/>
        </w:rPr>
      </w:pPr>
      <w:r>
        <w:rPr>
          <w:rFonts w:asciiTheme="minorHAnsi" w:hAnsiTheme="minorHAnsi"/>
          <w:bCs/>
          <w:szCs w:val="24"/>
          <w:lang w:val="fr-CH"/>
        </w:rPr>
        <w:t>La réunion du CASC de l'UIT</w:t>
      </w:r>
      <w:r>
        <w:rPr>
          <w:rFonts w:asciiTheme="minorHAnsi" w:hAnsiTheme="minorHAnsi"/>
          <w:bCs/>
          <w:szCs w:val="24"/>
          <w:lang w:val="fr-CH"/>
        </w:rPr>
        <w:noBreakHyphen/>
        <w:t>T se tiendra sans document papier.</w:t>
      </w:r>
    </w:p>
    <w:p w:rsidR="00F7339B" w:rsidRDefault="00F7339B" w:rsidP="00D0116B">
      <w:pPr>
        <w:spacing w:before="80"/>
        <w:ind w:right="-193"/>
        <w:rPr>
          <w:rFonts w:asciiTheme="minorHAnsi" w:hAnsiTheme="minorHAnsi"/>
          <w:bCs/>
          <w:szCs w:val="24"/>
          <w:lang w:val="fr-CH"/>
        </w:rPr>
      </w:pPr>
      <w:r>
        <w:rPr>
          <w:rFonts w:asciiTheme="minorHAnsi" w:hAnsiTheme="minorHAnsi"/>
          <w:bCs/>
          <w:szCs w:val="24"/>
          <w:lang w:val="fr-CH"/>
        </w:rPr>
        <w:t>La réunion aura lieu uniquement en anglais.</w:t>
      </w:r>
    </w:p>
    <w:p w:rsidR="00F7339B" w:rsidRPr="00376C6D" w:rsidRDefault="00F7339B" w:rsidP="00D0116B">
      <w:pPr>
        <w:spacing w:before="80"/>
        <w:ind w:right="-193"/>
        <w:rPr>
          <w:rFonts w:asciiTheme="minorHAnsi" w:hAnsiTheme="minorHAnsi"/>
          <w:szCs w:val="24"/>
          <w:lang w:val="fr-CH"/>
        </w:rPr>
      </w:pPr>
      <w:r w:rsidRPr="00CB7931">
        <w:rPr>
          <w:rFonts w:asciiTheme="minorHAnsi" w:hAnsiTheme="minorHAnsi"/>
          <w:szCs w:val="24"/>
          <w:lang w:val="fr-CH"/>
        </w:rPr>
        <w:t>Le délai pour la soumission des contributions est de 12 (douze) jours calendaires avant la tenue de la réunion</w:t>
      </w:r>
      <w:r>
        <w:rPr>
          <w:rFonts w:asciiTheme="minorHAnsi" w:hAnsiTheme="minorHAnsi"/>
          <w:szCs w:val="24"/>
          <w:lang w:val="fr-CH"/>
        </w:rPr>
        <w:t xml:space="preserve"> de la CE 11 de l'UIT</w:t>
      </w:r>
      <w:r>
        <w:rPr>
          <w:rFonts w:asciiTheme="minorHAnsi" w:hAnsiTheme="minorHAnsi"/>
          <w:szCs w:val="24"/>
          <w:lang w:val="fr-CH"/>
        </w:rPr>
        <w:noBreakHyphen/>
        <w:t>T</w:t>
      </w:r>
      <w:r w:rsidRPr="00CB7931">
        <w:rPr>
          <w:rFonts w:asciiTheme="minorHAnsi" w:hAnsiTheme="minorHAnsi"/>
          <w:szCs w:val="24"/>
          <w:lang w:val="fr-CH"/>
        </w:rPr>
        <w:t>. Ces contributions</w:t>
      </w:r>
      <w:r>
        <w:rPr>
          <w:rFonts w:asciiTheme="minorHAnsi" w:hAnsiTheme="minorHAnsi"/>
          <w:szCs w:val="24"/>
          <w:lang w:val="fr-CH"/>
        </w:rPr>
        <w:t>, qui</w:t>
      </w:r>
      <w:r w:rsidRPr="00CB7931">
        <w:rPr>
          <w:rFonts w:asciiTheme="minorHAnsi" w:hAnsiTheme="minorHAnsi"/>
          <w:szCs w:val="24"/>
          <w:lang w:val="fr-CH"/>
        </w:rPr>
        <w:t xml:space="preserve"> seront publiées sur le site web de la Commission d'études 11</w:t>
      </w:r>
      <w:r>
        <w:rPr>
          <w:rFonts w:asciiTheme="minorHAnsi" w:hAnsiTheme="minorHAnsi"/>
          <w:szCs w:val="24"/>
          <w:lang w:val="fr-CH"/>
        </w:rPr>
        <w:t>, devront donc parvenir au TSB le 19 novembre 2015 au plus tard. Pour de plus amples informations concernant les modalités de soumission des contributions, la procédure d'inscription à la réunion de la CE 11 de l'UIT</w:t>
      </w:r>
      <w:r>
        <w:rPr>
          <w:rFonts w:asciiTheme="minorHAnsi" w:hAnsiTheme="minorHAnsi"/>
          <w:szCs w:val="24"/>
          <w:lang w:val="fr-CH"/>
        </w:rPr>
        <w:noBreakHyphen/>
        <w:t>T, les demandes de visa</w:t>
      </w:r>
      <w:r w:rsidR="004B6E07">
        <w:rPr>
          <w:rFonts w:asciiTheme="minorHAnsi" w:hAnsiTheme="minorHAnsi"/>
          <w:szCs w:val="24"/>
          <w:lang w:val="fr-CH"/>
        </w:rPr>
        <w:t>, les équipements de réseau, la </w:t>
      </w:r>
      <w:r>
        <w:rPr>
          <w:rFonts w:asciiTheme="minorHAnsi" w:hAnsiTheme="minorHAnsi"/>
          <w:szCs w:val="24"/>
          <w:lang w:val="fr-CH"/>
        </w:rPr>
        <w:t xml:space="preserve">logistique, etc. veuillez consulter la </w:t>
      </w:r>
      <w:hyperlink r:id="rId21" w:history="1">
        <w:r w:rsidRPr="00CD0BBA">
          <w:rPr>
            <w:rStyle w:val="Hyperlink"/>
            <w:rFonts w:asciiTheme="minorHAnsi" w:hAnsiTheme="minorHAnsi"/>
            <w:szCs w:val="24"/>
            <w:lang w:val="fr-CH"/>
          </w:rPr>
          <w:t>lettre d'invitation à la réunion de la CE 11</w:t>
        </w:r>
      </w:hyperlink>
      <w:r w:rsidR="004B6E07">
        <w:rPr>
          <w:rFonts w:asciiTheme="minorHAnsi" w:hAnsiTheme="minorHAnsi"/>
          <w:szCs w:val="24"/>
          <w:lang w:val="fr-CH"/>
        </w:rPr>
        <w:t xml:space="preserve"> de l'UIT</w:t>
      </w:r>
      <w:r w:rsidR="004B6E07">
        <w:rPr>
          <w:rFonts w:asciiTheme="minorHAnsi" w:hAnsiTheme="minorHAnsi"/>
          <w:szCs w:val="24"/>
          <w:lang w:val="fr-CH"/>
        </w:rPr>
        <w:noBreakHyphen/>
        <w:t>T (Lettre </w:t>
      </w:r>
      <w:r>
        <w:rPr>
          <w:rFonts w:asciiTheme="minorHAnsi" w:hAnsiTheme="minorHAnsi"/>
          <w:szCs w:val="24"/>
          <w:lang w:val="fr-CH"/>
        </w:rPr>
        <w:t xml:space="preserve">collective </w:t>
      </w:r>
      <w:r w:rsidRPr="00F7339B">
        <w:rPr>
          <w:rFonts w:asciiTheme="minorHAnsi" w:hAnsiTheme="minorHAnsi"/>
        </w:rPr>
        <w:t>TSB 9/11).</w:t>
      </w:r>
    </w:p>
    <w:p w:rsidR="00F7339B" w:rsidRPr="00DB4BC5" w:rsidRDefault="00F7339B" w:rsidP="00D0116B">
      <w:pPr>
        <w:spacing w:before="80"/>
        <w:ind w:right="-193"/>
        <w:rPr>
          <w:rFonts w:asciiTheme="minorHAnsi" w:hAnsiTheme="minorHAnsi"/>
          <w:lang w:val="fr-CH"/>
        </w:rPr>
      </w:pPr>
      <w:r w:rsidRPr="00DB4BC5">
        <w:rPr>
          <w:rFonts w:asciiTheme="minorHAnsi" w:hAnsiTheme="minorHAnsi"/>
          <w:lang w:val="fr-CH"/>
        </w:rPr>
        <w:t>Veuillez agréer, Madame, Monsieur, l</w:t>
      </w:r>
      <w:r>
        <w:rPr>
          <w:rFonts w:asciiTheme="minorHAnsi" w:hAnsiTheme="minorHAnsi"/>
          <w:lang w:val="fr-CH"/>
        </w:rPr>
        <w:t>'</w:t>
      </w:r>
      <w:r w:rsidRPr="00DB4BC5">
        <w:rPr>
          <w:rFonts w:asciiTheme="minorHAnsi" w:hAnsiTheme="minorHAnsi"/>
          <w:lang w:val="fr-CH"/>
        </w:rPr>
        <w:t>assurance</w:t>
      </w:r>
      <w:r>
        <w:rPr>
          <w:rFonts w:asciiTheme="minorHAnsi" w:hAnsiTheme="minorHAnsi"/>
          <w:lang w:val="fr-CH"/>
        </w:rPr>
        <w:t xml:space="preserve"> de ma considération distinguée.</w:t>
      </w:r>
    </w:p>
    <w:p w:rsidR="005D665F" w:rsidRPr="00A40FAD" w:rsidRDefault="007743EE" w:rsidP="00D0116B">
      <w:pPr>
        <w:spacing w:before="1680"/>
        <w:rPr>
          <w:rFonts w:asciiTheme="minorHAnsi" w:hAnsiTheme="minorHAnsi"/>
          <w:lang w:val="fr-CH"/>
        </w:rPr>
      </w:pPr>
      <w:proofErr w:type="spellStart"/>
      <w:r w:rsidRPr="00D02F08">
        <w:rPr>
          <w:rFonts w:asciiTheme="minorHAnsi" w:hAnsiTheme="minorHAnsi"/>
        </w:rPr>
        <w:lastRenderedPageBreak/>
        <w:t>Chaesub</w:t>
      </w:r>
      <w:proofErr w:type="spellEnd"/>
      <w:r w:rsidRPr="00D02F08">
        <w:rPr>
          <w:rFonts w:asciiTheme="minorHAnsi" w:hAnsiTheme="minorHAnsi"/>
        </w:rPr>
        <w:t xml:space="preserve"> Lee</w:t>
      </w:r>
      <w:r w:rsidR="00251CB1" w:rsidRPr="00A40FAD">
        <w:rPr>
          <w:rFonts w:asciiTheme="minorHAnsi" w:hAnsiTheme="minorHAnsi"/>
          <w:lang w:val="fr-CH"/>
        </w:rPr>
        <w:br/>
        <w:t>Directeur du Bureau de la</w:t>
      </w:r>
      <w:r w:rsidR="001A288E">
        <w:rPr>
          <w:rFonts w:asciiTheme="minorHAnsi" w:hAnsiTheme="minorHAnsi"/>
          <w:lang w:val="fr-CH"/>
        </w:rPr>
        <w:t xml:space="preserve"> </w:t>
      </w:r>
      <w:r w:rsidR="00251CB1" w:rsidRPr="00A40FAD">
        <w:rPr>
          <w:rFonts w:asciiTheme="minorHAnsi" w:hAnsiTheme="minorHAnsi"/>
          <w:lang w:val="fr-CH"/>
        </w:rPr>
        <w:t xml:space="preserve">normalisation </w:t>
      </w:r>
      <w:r w:rsidR="001A288E">
        <w:rPr>
          <w:rFonts w:asciiTheme="minorHAnsi" w:hAnsiTheme="minorHAnsi"/>
          <w:lang w:val="fr-CH"/>
        </w:rPr>
        <w:br/>
      </w:r>
      <w:r w:rsidR="00251CB1" w:rsidRPr="00A40FAD">
        <w:rPr>
          <w:rFonts w:asciiTheme="minorHAnsi" w:hAnsiTheme="minorHAnsi"/>
          <w:lang w:val="fr-CH"/>
        </w:rPr>
        <w:t>des télécommunications</w:t>
      </w:r>
    </w:p>
    <w:sectPr w:rsidR="005D665F" w:rsidRPr="00A40FAD" w:rsidSect="00D0116B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type w:val="oddPage"/>
      <w:pgSz w:w="11907" w:h="16727" w:code="9"/>
      <w:pgMar w:top="1134" w:right="1089" w:bottom="1134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9B" w:rsidRDefault="00F7339B">
      <w:r>
        <w:separator/>
      </w:r>
    </w:p>
  </w:endnote>
  <w:endnote w:type="continuationSeparator" w:id="0">
    <w:p w:rsidR="00F7339B" w:rsidRDefault="00F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28" w:rsidRPr="00D0116B" w:rsidRDefault="00D0116B" w:rsidP="00D0116B">
    <w:pPr>
      <w:pStyle w:val="Footer"/>
      <w:rPr>
        <w:rFonts w:asciiTheme="minorHAnsi" w:hAnsiTheme="minorHAnsi"/>
        <w:lang w:val="fr-CH"/>
      </w:rPr>
    </w:pPr>
    <w:r w:rsidRPr="00D0116B">
      <w:rPr>
        <w:rFonts w:asciiTheme="minorHAnsi" w:hAnsiTheme="minorHAnsi"/>
      </w:rPr>
      <w:t>ITU-T\COM-T\COM11\COLL\009ADD1F.DOC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29E" w:rsidRDefault="00D0116B" w:rsidP="00FA6B28">
    <w:pPr>
      <w:pStyle w:val="Footer"/>
      <w:spacing w:before="120"/>
    </w:pPr>
    <w:fldSimple w:instr=" FILENAME \p  \* MERGEFORMAT ">
      <w:r w:rsidR="00FA6B28" w:rsidRPr="00FA6B28">
        <w:rPr>
          <w:noProof/>
          <w:sz w:val="16"/>
        </w:rPr>
        <w:t>P:\FRA\ITU-T</w:t>
      </w:r>
      <w:r w:rsidR="00FA6B28">
        <w:rPr>
          <w:noProof/>
        </w:rPr>
        <w:t>\COM-T\COM11\COLL\009ADD01F.docx</w:t>
      </w:r>
    </w:fldSimple>
    <w:r w:rsidR="00FA6B28">
      <w:rPr>
        <w:noProof/>
        <w:sz w:val="16"/>
      </w:rPr>
      <w:t xml:space="preserve"> (389946)</w:t>
    </w:r>
    <w:r w:rsidR="00FA6B28">
      <w:rPr>
        <w:sz w:val="16"/>
      </w:rPr>
      <w:tab/>
    </w:r>
    <w:r w:rsidR="00FA6B28">
      <w:rPr>
        <w:sz w:val="16"/>
      </w:rPr>
      <w:fldChar w:fldCharType="begin"/>
    </w:r>
    <w:r w:rsidR="00FA6B28">
      <w:rPr>
        <w:sz w:val="16"/>
      </w:rPr>
      <w:instrText xml:space="preserve"> SAVEDATE \@ DD.MM.YY </w:instrText>
    </w:r>
    <w:r w:rsidR="00FA6B28">
      <w:rPr>
        <w:sz w:val="16"/>
      </w:rPr>
      <w:fldChar w:fldCharType="separate"/>
    </w:r>
    <w:r w:rsidR="001C204A">
      <w:rPr>
        <w:noProof/>
        <w:sz w:val="16"/>
      </w:rPr>
      <w:t>07.01.16</w:t>
    </w:r>
    <w:r w:rsidR="00FA6B28">
      <w:rPr>
        <w:sz w:val="16"/>
      </w:rPr>
      <w:fldChar w:fldCharType="end"/>
    </w:r>
    <w:r w:rsidR="00FA6B28">
      <w:rPr>
        <w:sz w:val="16"/>
      </w:rPr>
      <w:tab/>
    </w:r>
    <w:r w:rsidR="00FA6B28">
      <w:rPr>
        <w:sz w:val="16"/>
      </w:rPr>
      <w:fldChar w:fldCharType="begin"/>
    </w:r>
    <w:r w:rsidR="00FA6B28">
      <w:rPr>
        <w:sz w:val="16"/>
      </w:rPr>
      <w:instrText xml:space="preserve"> PRINTDATE \@ DD.MM.YY </w:instrText>
    </w:r>
    <w:r w:rsidR="00FA6B28">
      <w:rPr>
        <w:sz w:val="16"/>
      </w:rPr>
      <w:fldChar w:fldCharType="separate"/>
    </w:r>
    <w:r w:rsidR="00FA6B28">
      <w:rPr>
        <w:noProof/>
        <w:sz w:val="16"/>
      </w:rPr>
      <w:t>20.02.12</w:t>
    </w:r>
    <w:r w:rsidR="00FA6B28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28" w:rsidRPr="00C618A5" w:rsidRDefault="00FA6B28" w:rsidP="00FA6B2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 w:rsidR="001A288E"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377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9B" w:rsidRDefault="00F7339B">
      <w:r>
        <w:t>____________________</w:t>
      </w:r>
    </w:p>
  </w:footnote>
  <w:footnote w:type="continuationSeparator" w:id="0">
    <w:p w:rsidR="00F7339B" w:rsidRDefault="00F73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918761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DB529E" w:rsidRPr="001A288E" w:rsidRDefault="00D0116B">
        <w:pPr>
          <w:pStyle w:val="Header"/>
          <w:rPr>
            <w:rFonts w:asciiTheme="minorHAnsi" w:hAnsiTheme="minorHAnsi"/>
            <w:sz w:val="18"/>
            <w:szCs w:val="18"/>
          </w:rPr>
        </w:pPr>
        <w:r>
          <w:t xml:space="preserve">- </w:t>
        </w:r>
        <w:r w:rsidR="00DB529E" w:rsidRPr="001A288E">
          <w:rPr>
            <w:rFonts w:asciiTheme="minorHAnsi" w:hAnsiTheme="minorHAnsi"/>
            <w:sz w:val="18"/>
            <w:szCs w:val="18"/>
          </w:rPr>
          <w:fldChar w:fldCharType="begin"/>
        </w:r>
        <w:r w:rsidR="00DB529E" w:rsidRPr="001A288E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DB529E" w:rsidRPr="001A288E">
          <w:rPr>
            <w:rFonts w:asciiTheme="minorHAnsi" w:hAnsiTheme="minorHAnsi"/>
            <w:sz w:val="18"/>
            <w:szCs w:val="18"/>
          </w:rPr>
          <w:fldChar w:fldCharType="separate"/>
        </w:r>
        <w:r w:rsidR="001C204A">
          <w:rPr>
            <w:rFonts w:asciiTheme="minorHAnsi" w:hAnsiTheme="minorHAnsi"/>
            <w:noProof/>
            <w:sz w:val="18"/>
            <w:szCs w:val="18"/>
          </w:rPr>
          <w:t>2</w:t>
        </w:r>
        <w:r w:rsidR="00DB529E" w:rsidRPr="001A288E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797007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FA6B28" w:rsidRPr="001A288E" w:rsidRDefault="00FA6B28">
        <w:pPr>
          <w:pStyle w:val="Header"/>
          <w:rPr>
            <w:rFonts w:asciiTheme="minorHAnsi" w:hAnsiTheme="minorHAnsi"/>
            <w:sz w:val="18"/>
            <w:szCs w:val="18"/>
          </w:rPr>
        </w:pPr>
        <w:r w:rsidRPr="001A288E">
          <w:rPr>
            <w:rFonts w:asciiTheme="minorHAnsi" w:hAnsiTheme="minorHAnsi"/>
            <w:sz w:val="18"/>
            <w:szCs w:val="18"/>
          </w:rPr>
          <w:fldChar w:fldCharType="begin"/>
        </w:r>
        <w:r w:rsidRPr="001A288E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1A288E">
          <w:rPr>
            <w:rFonts w:asciiTheme="minorHAnsi" w:hAnsiTheme="minorHAnsi"/>
            <w:sz w:val="18"/>
            <w:szCs w:val="18"/>
          </w:rPr>
          <w:fldChar w:fldCharType="separate"/>
        </w:r>
        <w:r w:rsidR="00D0116B">
          <w:rPr>
            <w:rFonts w:asciiTheme="minorHAnsi" w:hAnsiTheme="minorHAnsi"/>
            <w:noProof/>
            <w:sz w:val="18"/>
            <w:szCs w:val="18"/>
          </w:rPr>
          <w:t>3</w:t>
        </w:r>
        <w:r w:rsidRPr="001A288E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9B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288E"/>
    <w:rsid w:val="001A6B96"/>
    <w:rsid w:val="001A6F43"/>
    <w:rsid w:val="001B4832"/>
    <w:rsid w:val="001B5570"/>
    <w:rsid w:val="001B7D39"/>
    <w:rsid w:val="001C204A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6E07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0116B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B529E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339B"/>
    <w:rsid w:val="00F74365"/>
    <w:rsid w:val="00F77B28"/>
    <w:rsid w:val="00F812CF"/>
    <w:rsid w:val="00F922B4"/>
    <w:rsid w:val="00F92C27"/>
    <w:rsid w:val="00F94201"/>
    <w:rsid w:val="00FA1939"/>
    <w:rsid w:val="00FA3CBD"/>
    <w:rsid w:val="00FA6B28"/>
    <w:rsid w:val="00FA7F67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92A6CD8-C370-4006-9A69-093E92C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A288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A288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A288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A288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A288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A288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A288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A288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A288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A288E"/>
  </w:style>
  <w:style w:type="paragraph" w:styleId="TOC7">
    <w:name w:val="toc 7"/>
    <w:basedOn w:val="TOC3"/>
    <w:semiHidden/>
    <w:rsid w:val="001A288E"/>
  </w:style>
  <w:style w:type="paragraph" w:styleId="TOC6">
    <w:name w:val="toc 6"/>
    <w:basedOn w:val="TOC3"/>
    <w:semiHidden/>
    <w:rsid w:val="001A288E"/>
  </w:style>
  <w:style w:type="paragraph" w:styleId="TOC5">
    <w:name w:val="toc 5"/>
    <w:basedOn w:val="TOC3"/>
    <w:semiHidden/>
    <w:rsid w:val="001A288E"/>
  </w:style>
  <w:style w:type="paragraph" w:styleId="TOC4">
    <w:name w:val="toc 4"/>
    <w:basedOn w:val="TOC3"/>
    <w:semiHidden/>
    <w:rsid w:val="001A288E"/>
  </w:style>
  <w:style w:type="paragraph" w:styleId="TOC3">
    <w:name w:val="toc 3"/>
    <w:basedOn w:val="TOC2"/>
    <w:semiHidden/>
    <w:rsid w:val="001A288E"/>
    <w:pPr>
      <w:spacing w:before="80"/>
    </w:pPr>
  </w:style>
  <w:style w:type="paragraph" w:styleId="TOC2">
    <w:name w:val="toc 2"/>
    <w:basedOn w:val="TOC1"/>
    <w:semiHidden/>
    <w:rsid w:val="001A288E"/>
    <w:pPr>
      <w:spacing w:before="120"/>
    </w:pPr>
  </w:style>
  <w:style w:type="paragraph" w:styleId="TOC1">
    <w:name w:val="toc 1"/>
    <w:basedOn w:val="Normal"/>
    <w:semiHidden/>
    <w:rsid w:val="001A288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A288E"/>
    <w:pPr>
      <w:ind w:left="1698"/>
    </w:pPr>
  </w:style>
  <w:style w:type="paragraph" w:styleId="Index6">
    <w:name w:val="index 6"/>
    <w:basedOn w:val="Normal"/>
    <w:next w:val="Normal"/>
    <w:semiHidden/>
    <w:rsid w:val="001A288E"/>
    <w:pPr>
      <w:ind w:left="1415"/>
    </w:pPr>
  </w:style>
  <w:style w:type="paragraph" w:styleId="Index5">
    <w:name w:val="index 5"/>
    <w:basedOn w:val="Normal"/>
    <w:next w:val="Normal"/>
    <w:semiHidden/>
    <w:rsid w:val="001A288E"/>
    <w:pPr>
      <w:ind w:left="1132"/>
    </w:pPr>
  </w:style>
  <w:style w:type="paragraph" w:styleId="Index4">
    <w:name w:val="index 4"/>
    <w:basedOn w:val="Normal"/>
    <w:next w:val="Normal"/>
    <w:semiHidden/>
    <w:rsid w:val="001A288E"/>
    <w:pPr>
      <w:ind w:left="849"/>
    </w:pPr>
  </w:style>
  <w:style w:type="paragraph" w:styleId="Index3">
    <w:name w:val="index 3"/>
    <w:basedOn w:val="Normal"/>
    <w:next w:val="Normal"/>
    <w:semiHidden/>
    <w:rsid w:val="001A288E"/>
    <w:pPr>
      <w:ind w:left="566"/>
    </w:pPr>
  </w:style>
  <w:style w:type="paragraph" w:styleId="Index2">
    <w:name w:val="index 2"/>
    <w:basedOn w:val="Normal"/>
    <w:next w:val="Normal"/>
    <w:semiHidden/>
    <w:rsid w:val="001A288E"/>
    <w:pPr>
      <w:ind w:left="283"/>
    </w:pPr>
  </w:style>
  <w:style w:type="paragraph" w:styleId="Index1">
    <w:name w:val="index 1"/>
    <w:basedOn w:val="Normal"/>
    <w:next w:val="Normal"/>
    <w:semiHidden/>
    <w:rsid w:val="001A288E"/>
  </w:style>
  <w:style w:type="character" w:styleId="LineNumber">
    <w:name w:val="line number"/>
    <w:basedOn w:val="DefaultParagraphFont"/>
    <w:rsid w:val="001A288E"/>
  </w:style>
  <w:style w:type="paragraph" w:styleId="IndexHeading">
    <w:name w:val="index heading"/>
    <w:basedOn w:val="Normal"/>
    <w:next w:val="Index1"/>
    <w:semiHidden/>
    <w:rsid w:val="001A288E"/>
  </w:style>
  <w:style w:type="paragraph" w:styleId="Footer">
    <w:name w:val="footer"/>
    <w:basedOn w:val="Normal"/>
    <w:link w:val="FooterChar"/>
    <w:rsid w:val="001A2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A2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1A288E"/>
    <w:rPr>
      <w:position w:val="6"/>
      <w:sz w:val="16"/>
    </w:rPr>
  </w:style>
  <w:style w:type="paragraph" w:styleId="FootnoteText">
    <w:name w:val="footnote text"/>
    <w:basedOn w:val="Normal"/>
    <w:semiHidden/>
    <w:rsid w:val="001A288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A288E"/>
    <w:pPr>
      <w:ind w:left="794"/>
    </w:pPr>
  </w:style>
  <w:style w:type="paragraph" w:customStyle="1" w:styleId="TableLegend">
    <w:name w:val="Table_Legend"/>
    <w:basedOn w:val="TableText"/>
    <w:rsid w:val="001A288E"/>
    <w:pPr>
      <w:spacing w:before="120"/>
    </w:pPr>
  </w:style>
  <w:style w:type="paragraph" w:customStyle="1" w:styleId="TableText">
    <w:name w:val="Table_Text"/>
    <w:basedOn w:val="Normal"/>
    <w:rsid w:val="001A2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A288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A288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A288E"/>
    <w:pPr>
      <w:spacing w:before="80"/>
      <w:ind w:left="794" w:hanging="794"/>
    </w:pPr>
  </w:style>
  <w:style w:type="paragraph" w:customStyle="1" w:styleId="enumlev2">
    <w:name w:val="enumlev2"/>
    <w:basedOn w:val="enumlev1"/>
    <w:rsid w:val="001A288E"/>
    <w:pPr>
      <w:ind w:left="1191" w:hanging="397"/>
    </w:pPr>
  </w:style>
  <w:style w:type="paragraph" w:customStyle="1" w:styleId="enumlev3">
    <w:name w:val="enumlev3"/>
    <w:basedOn w:val="enumlev2"/>
    <w:rsid w:val="001A288E"/>
    <w:pPr>
      <w:ind w:left="1588"/>
    </w:pPr>
  </w:style>
  <w:style w:type="paragraph" w:customStyle="1" w:styleId="TableHead">
    <w:name w:val="Table_Head"/>
    <w:basedOn w:val="TableText"/>
    <w:rsid w:val="001A288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A2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A288E"/>
    <w:pPr>
      <w:spacing w:before="480"/>
    </w:pPr>
  </w:style>
  <w:style w:type="paragraph" w:customStyle="1" w:styleId="FigureTitle">
    <w:name w:val="Figure_Title"/>
    <w:basedOn w:val="TableTitle"/>
    <w:next w:val="Normal"/>
    <w:rsid w:val="001A288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A288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A288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A288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A288E"/>
  </w:style>
  <w:style w:type="paragraph" w:customStyle="1" w:styleId="AppendixRef">
    <w:name w:val="Appendix_Ref"/>
    <w:basedOn w:val="AnnexRef"/>
    <w:next w:val="AppendixTitle"/>
    <w:rsid w:val="001A288E"/>
  </w:style>
  <w:style w:type="paragraph" w:customStyle="1" w:styleId="AppendixTitle">
    <w:name w:val="Appendix_Title"/>
    <w:basedOn w:val="AnnexTitle"/>
    <w:next w:val="Normal"/>
    <w:rsid w:val="001A288E"/>
  </w:style>
  <w:style w:type="paragraph" w:customStyle="1" w:styleId="RefTitle">
    <w:name w:val="Ref_Title"/>
    <w:basedOn w:val="Normal"/>
    <w:next w:val="RefText"/>
    <w:rsid w:val="001A288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A288E"/>
    <w:pPr>
      <w:ind w:left="794" w:hanging="794"/>
    </w:pPr>
  </w:style>
  <w:style w:type="paragraph" w:customStyle="1" w:styleId="Equation">
    <w:name w:val="Equation"/>
    <w:basedOn w:val="Normal"/>
    <w:rsid w:val="001A288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A288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A288E"/>
    <w:pPr>
      <w:spacing w:before="320"/>
    </w:pPr>
  </w:style>
  <w:style w:type="paragraph" w:customStyle="1" w:styleId="call">
    <w:name w:val="call"/>
    <w:basedOn w:val="Normal"/>
    <w:next w:val="Normal"/>
    <w:rsid w:val="001A288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A288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A288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A288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A288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A288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A288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A288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A288E"/>
  </w:style>
  <w:style w:type="paragraph" w:customStyle="1" w:styleId="ITUbureau">
    <w:name w:val="ITU_bureau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A288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A288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A288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A288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A288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rsid w:val="001A288E"/>
    <w:rPr>
      <w:color w:val="0000FF"/>
      <w:u w:val="single"/>
    </w:rPr>
  </w:style>
  <w:style w:type="paragraph" w:customStyle="1" w:styleId="Qlist">
    <w:name w:val="Qlist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A288E"/>
    <w:pPr>
      <w:tabs>
        <w:tab w:val="left" w:pos="397"/>
      </w:tabs>
    </w:pPr>
  </w:style>
  <w:style w:type="paragraph" w:customStyle="1" w:styleId="FirstFooter">
    <w:name w:val="FirstFooter"/>
    <w:basedOn w:val="Footer"/>
    <w:rsid w:val="001A288E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A288E"/>
  </w:style>
  <w:style w:type="paragraph" w:styleId="BodyText0">
    <w:name w:val="Body Text"/>
    <w:basedOn w:val="Normal"/>
    <w:rsid w:val="001A288E"/>
    <w:pPr>
      <w:spacing w:after="120"/>
    </w:pPr>
  </w:style>
  <w:style w:type="character" w:styleId="PageNumber">
    <w:name w:val="page number"/>
    <w:basedOn w:val="DefaultParagraphFont"/>
    <w:rsid w:val="001A288E"/>
  </w:style>
  <w:style w:type="paragraph" w:customStyle="1" w:styleId="AnnexNo">
    <w:name w:val="Annex_No"/>
    <w:basedOn w:val="Normal"/>
    <w:next w:val="Normal"/>
    <w:rsid w:val="001A288E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1A288E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1A288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1A288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1A28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A288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1A288E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A288E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1A2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A288E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1A28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sccaworkshop.com/" TargetMode="External"/><Relationship Id="rId18" Type="http://schemas.openxmlformats.org/officeDocument/2006/relationships/hyperlink" Target="http://www.itu.int/md/T13-SG11-151202-TD-GEN-0895/en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itu.int/md/T13-SG11-COL-000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T13-TSB-CIR-0179/en" TargetMode="External"/><Relationship Id="rId17" Type="http://schemas.openxmlformats.org/officeDocument/2006/relationships/hyperlink" Target="http://www.itu.int/md/T13-SG11-COL-0009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3-2016/11/Documents/Guideline-TL-rec-pro.pdf" TargetMode="External"/><Relationship Id="rId20" Type="http://schemas.openxmlformats.org/officeDocument/2006/relationships/hyperlink" Target="mailto:tsbsg11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conformity-interoperability/20150112/Pages/default.asp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3-2016/11/Pages/CASC.aspx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https://www.itu.int/en/ITU-T/studygroups/2013-2016/11/Pages/CASC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md/T13-TSB-CIR-0177/en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98BB-9E1C-4BB5-A84F-FC7680E7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0</TotalTime>
  <Pages>2</Pages>
  <Words>1025</Words>
  <Characters>6217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7228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Acien, Clara</dc:creator>
  <cp:lastModifiedBy>Bettini, Nadine</cp:lastModifiedBy>
  <cp:revision>2</cp:revision>
  <cp:lastPrinted>2012-02-20T11:06:00Z</cp:lastPrinted>
  <dcterms:created xsi:type="dcterms:W3CDTF">2016-01-07T13:08:00Z</dcterms:created>
  <dcterms:modified xsi:type="dcterms:W3CDTF">2016-01-07T13:08:00Z</dcterms:modified>
</cp:coreProperties>
</file>