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8A25B" w14:textId="77777777" w:rsidR="001D7E58" w:rsidRDefault="001D7E58" w:rsidP="004023FC">
      <w:pPr>
        <w:spacing w:before="0"/>
      </w:pPr>
    </w:p>
    <w:tbl>
      <w:tblPr>
        <w:tblpPr w:leftFromText="181" w:rightFromText="181" w:vertAnchor="page" w:horzAnchor="margin" w:tblpY="111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1D7E58" w14:paraId="516F0CB1" w14:textId="77777777" w:rsidTr="004023FC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319825C" w14:textId="77777777" w:rsidR="001D7E58" w:rsidRPr="009A54D9" w:rsidRDefault="001D7E58" w:rsidP="004023FC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13C15DF7" wp14:editId="7C3E762A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54AABC4B" w14:textId="77777777" w:rsidR="001D7E58" w:rsidRDefault="001D7E58" w:rsidP="004023F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5065DEB" w14:textId="77777777" w:rsidR="001D7E58" w:rsidRPr="00F50108" w:rsidRDefault="001D7E58" w:rsidP="004023FC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504DBD96" w14:textId="77777777" w:rsidR="001D7E58" w:rsidRPr="00F50108" w:rsidRDefault="001D7E58" w:rsidP="004023F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3481442" wp14:editId="7F3DEA22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E58" w14:paraId="106DCFD5" w14:textId="77777777" w:rsidTr="004023FC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2C46BD0A" w14:textId="77777777" w:rsidR="001D7E58" w:rsidRDefault="001D7E58" w:rsidP="004023FC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30CF0133" w14:textId="77777777" w:rsidR="001D7E58" w:rsidRDefault="004023FC" w:rsidP="00725748">
            <w:pPr>
              <w:pStyle w:val="Tabletext"/>
              <w:spacing w:before="120" w:after="120"/>
            </w:pPr>
            <w:r>
              <w:t xml:space="preserve">Geneva, </w:t>
            </w:r>
            <w:r w:rsidR="000364A1">
              <w:t>10</w:t>
            </w:r>
            <w:r>
              <w:t xml:space="preserve"> </w:t>
            </w:r>
            <w:r w:rsidR="00725748">
              <w:t xml:space="preserve">November </w:t>
            </w:r>
            <w:r>
              <w:t>2015</w:t>
            </w:r>
          </w:p>
        </w:tc>
      </w:tr>
      <w:tr w:rsidR="001D7E58" w14:paraId="6DA82464" w14:textId="77777777" w:rsidTr="004023FC">
        <w:trPr>
          <w:cantSplit/>
          <w:trHeight w:val="746"/>
        </w:trPr>
        <w:tc>
          <w:tcPr>
            <w:tcW w:w="1098" w:type="dxa"/>
          </w:tcPr>
          <w:p w14:paraId="5FCACABC" w14:textId="77777777" w:rsidR="001D7E58" w:rsidRPr="00F36AC4" w:rsidRDefault="001D7E58" w:rsidP="004023FC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01D07C85" w14:textId="77777777" w:rsidR="001D7E58" w:rsidRPr="00F36AC4" w:rsidRDefault="001D7E58" w:rsidP="004023FC">
            <w:pPr>
              <w:pStyle w:val="Tabletext"/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  <w:t>TSB Collective letter 9/11</w:t>
            </w:r>
          </w:p>
        </w:tc>
        <w:tc>
          <w:tcPr>
            <w:tcW w:w="4394" w:type="dxa"/>
            <w:gridSpan w:val="2"/>
            <w:vMerge w:val="restart"/>
          </w:tcPr>
          <w:p w14:paraId="3645B536" w14:textId="77777777" w:rsidR="004023FC" w:rsidRDefault="004023FC" w:rsidP="004023FC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14:paraId="2B45A99E" w14:textId="77777777" w:rsidR="004023FC" w:rsidRDefault="004023FC" w:rsidP="004023FC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2A88EA71" w14:textId="77777777" w:rsidR="004023FC" w:rsidRDefault="004023FC" w:rsidP="004023FC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participating in the work of Study Group 11 and </w:t>
            </w:r>
          </w:p>
          <w:p w14:paraId="6196B4EF" w14:textId="41CD7007" w:rsidR="001D7E58" w:rsidRDefault="004023FC" w:rsidP="008A2B2E">
            <w:pPr>
              <w:pStyle w:val="Tabletext"/>
              <w:ind w:left="283" w:hanging="283"/>
            </w:pPr>
            <w:r>
              <w:t>-</w:t>
            </w:r>
            <w:r>
              <w:tab/>
              <w:t>To</w:t>
            </w:r>
            <w:r w:rsidR="008A2B2E">
              <w:rPr>
                <w:rStyle w:val="CommentReference"/>
              </w:rPr>
              <w:t xml:space="preserve"> </w:t>
            </w:r>
            <w:r w:rsidR="008A2B2E">
              <w:t>ITU</w:t>
            </w:r>
            <w:r>
              <w:t xml:space="preserve"> Academia</w:t>
            </w:r>
          </w:p>
        </w:tc>
      </w:tr>
      <w:tr w:rsidR="001D7E58" w14:paraId="60E2A67E" w14:textId="77777777" w:rsidTr="004023FC">
        <w:trPr>
          <w:cantSplit/>
          <w:trHeight w:val="221"/>
        </w:trPr>
        <w:tc>
          <w:tcPr>
            <w:tcW w:w="1098" w:type="dxa"/>
          </w:tcPr>
          <w:p w14:paraId="6688FBEC" w14:textId="77777777" w:rsidR="001D7E58" w:rsidRPr="00F36AC4" w:rsidRDefault="001D7E58" w:rsidP="004023FC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303586A5" w14:textId="77777777" w:rsidR="001D7E58" w:rsidRPr="00F36AC4" w:rsidRDefault="001D7E58" w:rsidP="004023FC">
            <w:pPr>
              <w:pStyle w:val="Tabletext"/>
              <w:rPr>
                <w:b/>
              </w:rPr>
            </w:pPr>
            <w:r w:rsidRPr="00F36AC4">
              <w:t>+41 22 730</w:t>
            </w:r>
            <w:r>
              <w:t xml:space="preserve"> 5858</w:t>
            </w:r>
          </w:p>
        </w:tc>
        <w:tc>
          <w:tcPr>
            <w:tcW w:w="4394" w:type="dxa"/>
            <w:gridSpan w:val="2"/>
            <w:vMerge/>
          </w:tcPr>
          <w:p w14:paraId="107B2FBA" w14:textId="77777777" w:rsidR="001D7E58" w:rsidRDefault="001D7E58" w:rsidP="004023FC">
            <w:pPr>
              <w:pStyle w:val="Tabletext"/>
              <w:ind w:left="142" w:hanging="142"/>
            </w:pPr>
          </w:p>
        </w:tc>
      </w:tr>
      <w:tr w:rsidR="001D7E58" w14:paraId="79749EA7" w14:textId="77777777" w:rsidTr="004023FC">
        <w:trPr>
          <w:cantSplit/>
          <w:trHeight w:val="282"/>
        </w:trPr>
        <w:tc>
          <w:tcPr>
            <w:tcW w:w="1098" w:type="dxa"/>
          </w:tcPr>
          <w:p w14:paraId="721A2B41" w14:textId="77777777" w:rsidR="001D7E58" w:rsidRPr="00F36AC4" w:rsidRDefault="001D7E58" w:rsidP="004023FC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70FA43A3" w14:textId="77777777" w:rsidR="001D7E58" w:rsidRPr="00F36AC4" w:rsidRDefault="001D7E58" w:rsidP="004023FC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4C01BB20" w14:textId="77777777" w:rsidR="001D7E58" w:rsidRDefault="001D7E58" w:rsidP="004023FC">
            <w:pPr>
              <w:pStyle w:val="Tabletext"/>
              <w:ind w:left="142" w:hanging="142"/>
            </w:pPr>
          </w:p>
        </w:tc>
      </w:tr>
      <w:tr w:rsidR="001D7E58" w14:paraId="049CA2F8" w14:textId="77777777" w:rsidTr="004023FC">
        <w:trPr>
          <w:cantSplit/>
          <w:trHeight w:val="376"/>
        </w:trPr>
        <w:tc>
          <w:tcPr>
            <w:tcW w:w="1098" w:type="dxa"/>
          </w:tcPr>
          <w:p w14:paraId="09F75951" w14:textId="77777777" w:rsidR="001D7E58" w:rsidRPr="00F36AC4" w:rsidRDefault="001D7E58" w:rsidP="004023FC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712A3A96" w14:textId="77777777" w:rsidR="001D7E58" w:rsidRPr="00F36AC4" w:rsidRDefault="003B4845" w:rsidP="004023FC">
            <w:pPr>
              <w:pStyle w:val="Tabletext"/>
            </w:pPr>
            <w:hyperlink r:id="rId10" w:history="1">
              <w:r w:rsidR="001D7E58" w:rsidRPr="00A5296D">
                <w:rPr>
                  <w:rStyle w:val="Hyperlink"/>
                  <w:szCs w:val="22"/>
                </w:rPr>
                <w:t>tsbsg11@itu.int</w:t>
              </w:r>
            </w:hyperlink>
            <w:r w:rsidR="001D7E58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7C16753D" w14:textId="77777777" w:rsidR="001D7E58" w:rsidRDefault="001D7E58" w:rsidP="004023FC">
            <w:pPr>
              <w:pStyle w:val="Tabletext"/>
              <w:ind w:left="283" w:hanging="283"/>
            </w:pPr>
          </w:p>
        </w:tc>
      </w:tr>
      <w:tr w:rsidR="001D7E58" w:rsidRPr="009B6449" w14:paraId="7AD081D1" w14:textId="77777777" w:rsidTr="004023FC">
        <w:trPr>
          <w:cantSplit/>
          <w:trHeight w:val="80"/>
        </w:trPr>
        <w:tc>
          <w:tcPr>
            <w:tcW w:w="1098" w:type="dxa"/>
          </w:tcPr>
          <w:p w14:paraId="0824B6AD" w14:textId="77777777" w:rsidR="001D7E58" w:rsidRPr="009B6449" w:rsidRDefault="001D7E58" w:rsidP="00D022F1">
            <w:pPr>
              <w:pStyle w:val="Tabletext"/>
              <w:spacing w:before="360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0380AF44" w14:textId="77777777" w:rsidR="001D7E58" w:rsidRPr="009B6449" w:rsidRDefault="004023FC" w:rsidP="00D022F1">
            <w:pPr>
              <w:pStyle w:val="Tabletext"/>
              <w:spacing w:before="360"/>
            </w:pPr>
            <w:bookmarkStart w:id="0" w:name="_GoBack"/>
            <w:r w:rsidRPr="009E0E56">
              <w:rPr>
                <w:b/>
                <w:bCs/>
              </w:rPr>
              <w:t xml:space="preserve">Meeting of </w:t>
            </w:r>
            <w:r>
              <w:rPr>
                <w:b/>
                <w:bCs/>
              </w:rPr>
              <w:t>ITU-T CASC</w:t>
            </w:r>
            <w:r w:rsidR="0031193C">
              <w:rPr>
                <w:b/>
                <w:bCs/>
              </w:rPr>
              <w:t xml:space="preserve"> and </w:t>
            </w:r>
            <w:proofErr w:type="spellStart"/>
            <w:r w:rsidR="0031193C">
              <w:rPr>
                <w:b/>
                <w:bCs/>
              </w:rPr>
              <w:t>VoLTE</w:t>
            </w:r>
            <w:proofErr w:type="spellEnd"/>
            <w:r w:rsidR="0031193C">
              <w:rPr>
                <w:b/>
                <w:bCs/>
              </w:rPr>
              <w:t>/</w:t>
            </w:r>
            <w:proofErr w:type="spellStart"/>
            <w:r w:rsidR="0031193C">
              <w:rPr>
                <w:b/>
                <w:bCs/>
              </w:rPr>
              <w:t>ViLTE</w:t>
            </w:r>
            <w:proofErr w:type="spellEnd"/>
            <w:r w:rsidR="0031193C">
              <w:rPr>
                <w:b/>
                <w:bCs/>
              </w:rPr>
              <w:t xml:space="preserve"> workshop</w:t>
            </w:r>
            <w:r w:rsidR="00725748">
              <w:rPr>
                <w:b/>
                <w:bCs/>
              </w:rPr>
              <w:t xml:space="preserve"> and </w:t>
            </w:r>
            <w:r w:rsidR="0031193C">
              <w:rPr>
                <w:b/>
                <w:bCs/>
              </w:rPr>
              <w:t>WSC workshop on conformity assessment</w:t>
            </w:r>
            <w:r>
              <w:rPr>
                <w:b/>
                <w:bCs/>
              </w:rPr>
              <w:t xml:space="preserve"> during </w:t>
            </w:r>
            <w:r w:rsidR="00725748">
              <w:rPr>
                <w:b/>
                <w:bCs/>
              </w:rPr>
              <w:t xml:space="preserve">(or back-to-back to) </w:t>
            </w:r>
            <w:r w:rsidR="0031193C">
              <w:rPr>
                <w:b/>
                <w:bCs/>
              </w:rPr>
              <w:t xml:space="preserve">ITU-T </w:t>
            </w:r>
            <w:r w:rsidRPr="009E0E56">
              <w:rPr>
                <w:b/>
                <w:bCs/>
              </w:rPr>
              <w:t xml:space="preserve">Study Group </w:t>
            </w:r>
            <w:r>
              <w:rPr>
                <w:b/>
                <w:bCs/>
              </w:rPr>
              <w:t>11 meeting</w:t>
            </w:r>
            <w:bookmarkEnd w:id="0"/>
          </w:p>
        </w:tc>
      </w:tr>
    </w:tbl>
    <w:p w14:paraId="2C111F05" w14:textId="77777777" w:rsidR="000B46FB" w:rsidRDefault="000B46FB" w:rsidP="004023FC">
      <w:pPr>
        <w:spacing w:before="0"/>
      </w:pPr>
      <w:r>
        <w:t>Dear Sir/Madam,</w:t>
      </w:r>
    </w:p>
    <w:p w14:paraId="27DFD278" w14:textId="77777777" w:rsidR="00725748" w:rsidRDefault="00725748" w:rsidP="00725748">
      <w:pPr>
        <w:rPr>
          <w:szCs w:val="24"/>
        </w:rPr>
      </w:pPr>
      <w:bookmarkStart w:id="1" w:name="suitetext"/>
      <w:bookmarkStart w:id="2" w:name="text"/>
      <w:bookmarkEnd w:id="1"/>
      <w:bookmarkEnd w:id="2"/>
      <w:r>
        <w:rPr>
          <w:szCs w:val="24"/>
        </w:rPr>
        <w:t>This addendum is issued to provide information about relevant events organized at ITU headquarters during (</w:t>
      </w:r>
      <w:r w:rsidRPr="00725748">
        <w:rPr>
          <w:szCs w:val="24"/>
        </w:rPr>
        <w:t xml:space="preserve">or back-to-back </w:t>
      </w:r>
      <w:r w:rsidR="000364A1">
        <w:rPr>
          <w:szCs w:val="24"/>
        </w:rPr>
        <w:t>with</w:t>
      </w:r>
      <w:r>
        <w:rPr>
          <w:szCs w:val="24"/>
        </w:rPr>
        <w:t>)</w:t>
      </w:r>
      <w:r w:rsidRPr="00725748">
        <w:rPr>
          <w:szCs w:val="24"/>
        </w:rPr>
        <w:t xml:space="preserve"> Study Group 11 meeting</w:t>
      </w:r>
      <w:r>
        <w:rPr>
          <w:szCs w:val="24"/>
        </w:rPr>
        <w:t>,</w:t>
      </w:r>
      <w:r w:rsidRPr="00725748">
        <w:rPr>
          <w:szCs w:val="24"/>
        </w:rPr>
        <w:t xml:space="preserve"> Geneva, 2-11 December 2015</w:t>
      </w:r>
      <w:r>
        <w:rPr>
          <w:szCs w:val="24"/>
        </w:rPr>
        <w:t>.</w:t>
      </w:r>
    </w:p>
    <w:p w14:paraId="5099FC4A" w14:textId="77777777" w:rsidR="00725748" w:rsidRDefault="00725748" w:rsidP="00725748">
      <w:pPr>
        <w:rPr>
          <w:szCs w:val="24"/>
        </w:rPr>
      </w:pPr>
      <w:r>
        <w:rPr>
          <w:szCs w:val="24"/>
        </w:rPr>
        <w:t>I wish to draw your attention to the following events:</w:t>
      </w:r>
    </w:p>
    <w:p w14:paraId="3E7093A6" w14:textId="77777777" w:rsidR="00016663" w:rsidRDefault="00725748" w:rsidP="00DE039E">
      <w:pPr>
        <w:ind w:left="709" w:hanging="709"/>
        <w:rPr>
          <w:b/>
          <w:bCs/>
          <w:szCs w:val="24"/>
          <w:lang w:val="en-US"/>
        </w:rPr>
      </w:pPr>
      <w:r>
        <w:rPr>
          <w:szCs w:val="24"/>
          <w:lang w:val="en-US"/>
        </w:rPr>
        <w:t>1</w:t>
      </w:r>
      <w:r>
        <w:rPr>
          <w:szCs w:val="24"/>
          <w:lang w:val="en-US"/>
        </w:rPr>
        <w:tab/>
      </w:r>
      <w:r w:rsidR="00016663">
        <w:rPr>
          <w:szCs w:val="24"/>
          <w:lang w:val="en-US"/>
        </w:rPr>
        <w:t>ITU-T W</w:t>
      </w:r>
      <w:r w:rsidR="00016663" w:rsidRPr="00725748">
        <w:rPr>
          <w:szCs w:val="24"/>
          <w:lang w:val="en-US"/>
        </w:rPr>
        <w:t xml:space="preserve">orkshop on </w:t>
      </w:r>
      <w:r w:rsidR="0031193C" w:rsidRPr="00FF35B6">
        <w:rPr>
          <w:b/>
          <w:bCs/>
          <w:i/>
          <w:iCs/>
          <w:szCs w:val="24"/>
          <w:lang w:val="en-US"/>
        </w:rPr>
        <w:t>“</w:t>
      </w:r>
      <w:r w:rsidR="00016663" w:rsidRPr="00FF35B6">
        <w:rPr>
          <w:b/>
          <w:bCs/>
          <w:i/>
          <w:iCs/>
          <w:szCs w:val="24"/>
          <w:lang w:val="en-US"/>
        </w:rPr>
        <w:t>Voice and Video Services Interoperability Over Fixed-Mobile Hybrid Environments, Including IMT-Advanced (LTE)</w:t>
      </w:r>
      <w:r w:rsidR="0031193C" w:rsidRPr="0031193C">
        <w:rPr>
          <w:b/>
          <w:bCs/>
          <w:i/>
          <w:iCs/>
          <w:szCs w:val="24"/>
          <w:lang w:val="en-US"/>
        </w:rPr>
        <w:t>”</w:t>
      </w:r>
      <w:r w:rsidR="00016663" w:rsidRPr="0031193C">
        <w:rPr>
          <w:b/>
          <w:bCs/>
          <w:i/>
          <w:iCs/>
          <w:szCs w:val="24"/>
          <w:lang w:val="en-US"/>
        </w:rPr>
        <w:t xml:space="preserve">, Geneva, </w:t>
      </w:r>
      <w:r w:rsidR="00016663" w:rsidRPr="00FF35B6">
        <w:rPr>
          <w:b/>
          <w:bCs/>
          <w:i/>
          <w:iCs/>
          <w:szCs w:val="24"/>
          <w:lang w:val="en-US"/>
        </w:rPr>
        <w:t>1 December 2015</w:t>
      </w:r>
    </w:p>
    <w:p w14:paraId="7FDD2F4D" w14:textId="77777777" w:rsidR="00725748" w:rsidRPr="00725748" w:rsidRDefault="00725748" w:rsidP="00CF3197">
      <w:pPr>
        <w:tabs>
          <w:tab w:val="clear" w:pos="794"/>
        </w:tabs>
        <w:rPr>
          <w:szCs w:val="24"/>
          <w:lang w:val="en-US"/>
        </w:rPr>
      </w:pPr>
      <w:r w:rsidRPr="00725748">
        <w:rPr>
          <w:szCs w:val="24"/>
          <w:lang w:val="en-US"/>
        </w:rPr>
        <w:t xml:space="preserve">As a follow-up to the call for action by the CTO meeting held on 11 October 2015 at </w:t>
      </w:r>
      <w:proofErr w:type="spellStart"/>
      <w:r w:rsidRPr="00725748">
        <w:rPr>
          <w:szCs w:val="24"/>
          <w:lang w:val="en-US"/>
        </w:rPr>
        <w:t>Hungexpo</w:t>
      </w:r>
      <w:proofErr w:type="spellEnd"/>
      <w:r w:rsidRPr="00725748">
        <w:rPr>
          <w:szCs w:val="24"/>
          <w:lang w:val="en-US"/>
        </w:rPr>
        <w:t xml:space="preserve"> in Budapest, Hungary, the International Telecommunication Union (ITU) is organizing a one-day workshop on </w:t>
      </w:r>
      <w:r w:rsidR="0031193C" w:rsidRPr="00FF35B6">
        <w:rPr>
          <w:i/>
          <w:iCs/>
          <w:szCs w:val="24"/>
          <w:lang w:val="en-US"/>
        </w:rPr>
        <w:t>“</w:t>
      </w:r>
      <w:r w:rsidRPr="00FF35B6">
        <w:rPr>
          <w:i/>
          <w:iCs/>
          <w:szCs w:val="24"/>
          <w:lang w:val="en-US"/>
        </w:rPr>
        <w:t>Voice and Video Services Interoperability Over Fixed-Mobile Hybrid Environments, Including IMT-Advanced (LTE)</w:t>
      </w:r>
      <w:r w:rsidR="0031193C" w:rsidRPr="00FF35B6">
        <w:rPr>
          <w:i/>
          <w:iCs/>
          <w:szCs w:val="24"/>
          <w:lang w:val="en-US"/>
        </w:rPr>
        <w:t>”</w:t>
      </w:r>
      <w:r w:rsidR="00016663" w:rsidRPr="00FF35B6">
        <w:rPr>
          <w:szCs w:val="24"/>
          <w:lang w:val="en-US"/>
        </w:rPr>
        <w:t>. The workshop</w:t>
      </w:r>
      <w:r w:rsidRPr="00FF35B6">
        <w:rPr>
          <w:szCs w:val="24"/>
          <w:lang w:val="en-US"/>
        </w:rPr>
        <w:t xml:space="preserve"> </w:t>
      </w:r>
      <w:r w:rsidR="00016663" w:rsidRPr="00FF35B6">
        <w:rPr>
          <w:szCs w:val="24"/>
          <w:lang w:val="en-US"/>
        </w:rPr>
        <w:t>will t</w:t>
      </w:r>
      <w:r w:rsidR="00016663">
        <w:rPr>
          <w:szCs w:val="24"/>
          <w:lang w:val="en-US"/>
        </w:rPr>
        <w:t xml:space="preserve">ake place </w:t>
      </w:r>
      <w:r w:rsidRPr="00725748">
        <w:rPr>
          <w:szCs w:val="24"/>
          <w:lang w:val="en-US"/>
        </w:rPr>
        <w:t xml:space="preserve">at the ITU Headquarters </w:t>
      </w:r>
      <w:r w:rsidR="00016663">
        <w:rPr>
          <w:szCs w:val="24"/>
          <w:lang w:val="en-US"/>
        </w:rPr>
        <w:t>in Geneva on</w:t>
      </w:r>
      <w:r w:rsidR="00016663" w:rsidRPr="00016663">
        <w:rPr>
          <w:szCs w:val="24"/>
          <w:lang w:val="en-US"/>
        </w:rPr>
        <w:t xml:space="preserve"> 1 December 2015</w:t>
      </w:r>
      <w:r w:rsidR="00016663">
        <w:rPr>
          <w:szCs w:val="24"/>
          <w:lang w:val="en-US"/>
        </w:rPr>
        <w:t xml:space="preserve">, back-to-back to </w:t>
      </w:r>
      <w:r w:rsidRPr="00725748">
        <w:rPr>
          <w:szCs w:val="24"/>
          <w:lang w:val="en-US"/>
        </w:rPr>
        <w:t>ITU-T Study</w:t>
      </w:r>
      <w:r w:rsidR="00016663">
        <w:rPr>
          <w:szCs w:val="24"/>
          <w:lang w:val="en-US"/>
        </w:rPr>
        <w:t> </w:t>
      </w:r>
      <w:r w:rsidRPr="00725748">
        <w:rPr>
          <w:szCs w:val="24"/>
          <w:lang w:val="en-US"/>
        </w:rPr>
        <w:t>Group</w:t>
      </w:r>
      <w:r w:rsidR="00016663">
        <w:rPr>
          <w:szCs w:val="24"/>
          <w:lang w:val="en-US"/>
        </w:rPr>
        <w:t> </w:t>
      </w:r>
      <w:r w:rsidRPr="00725748">
        <w:rPr>
          <w:szCs w:val="24"/>
          <w:lang w:val="en-US"/>
        </w:rPr>
        <w:t>11 (2-11 December 2015).</w:t>
      </w:r>
      <w:r w:rsidR="00016663">
        <w:rPr>
          <w:szCs w:val="24"/>
          <w:lang w:val="en-US"/>
        </w:rPr>
        <w:t xml:space="preserve"> SG11 participants are invited to join this event.</w:t>
      </w:r>
      <w:r w:rsidRPr="00725748">
        <w:rPr>
          <w:szCs w:val="24"/>
          <w:lang w:val="en-US"/>
        </w:rPr>
        <w:t xml:space="preserve"> More details are available on the dedicated</w:t>
      </w:r>
      <w:r w:rsidR="00016663">
        <w:rPr>
          <w:szCs w:val="24"/>
          <w:lang w:val="en-US"/>
        </w:rPr>
        <w:t xml:space="preserve"> workshop</w:t>
      </w:r>
      <w:hyperlink r:id="rId11" w:history="1">
        <w:r w:rsidRPr="00725748">
          <w:rPr>
            <w:rStyle w:val="Hyperlink"/>
            <w:szCs w:val="24"/>
            <w:lang w:val="en-US"/>
          </w:rPr>
          <w:t xml:space="preserve"> web page</w:t>
        </w:r>
      </w:hyperlink>
      <w:r w:rsidR="00016663">
        <w:rPr>
          <w:szCs w:val="24"/>
        </w:rPr>
        <w:t xml:space="preserve">. Also please see </w:t>
      </w:r>
      <w:hyperlink r:id="rId12" w:history="1">
        <w:r w:rsidRPr="00725748">
          <w:rPr>
            <w:rStyle w:val="Hyperlink"/>
            <w:szCs w:val="24"/>
            <w:lang w:val="en-US"/>
          </w:rPr>
          <w:t>ITU-T TSB Circular 179</w:t>
        </w:r>
      </w:hyperlink>
      <w:r w:rsidRPr="00725748">
        <w:rPr>
          <w:szCs w:val="24"/>
          <w:lang w:val="en-US"/>
        </w:rPr>
        <w:t>.</w:t>
      </w:r>
    </w:p>
    <w:p w14:paraId="636CA1AB" w14:textId="77777777" w:rsidR="00016663" w:rsidRDefault="00725748" w:rsidP="00FF35B6">
      <w:pPr>
        <w:rPr>
          <w:szCs w:val="24"/>
          <w:lang w:val="en-US"/>
        </w:rPr>
      </w:pPr>
      <w:r>
        <w:rPr>
          <w:szCs w:val="24"/>
          <w:lang w:val="en-US"/>
        </w:rPr>
        <w:t>2</w:t>
      </w:r>
      <w:r>
        <w:rPr>
          <w:szCs w:val="24"/>
          <w:lang w:val="en-US"/>
        </w:rPr>
        <w:tab/>
      </w:r>
      <w:r w:rsidR="00016663">
        <w:rPr>
          <w:szCs w:val="24"/>
          <w:lang w:val="en-US"/>
        </w:rPr>
        <w:t xml:space="preserve">WSC </w:t>
      </w:r>
      <w:r w:rsidRPr="00725748">
        <w:rPr>
          <w:szCs w:val="24"/>
          <w:lang w:val="en-US"/>
        </w:rPr>
        <w:t xml:space="preserve">Workshop on </w:t>
      </w:r>
      <w:r w:rsidR="00016663" w:rsidRPr="00FF35B6">
        <w:rPr>
          <w:b/>
          <w:bCs/>
          <w:i/>
          <w:iCs/>
          <w:szCs w:val="24"/>
          <w:lang w:val="en-US"/>
        </w:rPr>
        <w:t>“</w:t>
      </w:r>
      <w:r w:rsidRPr="00FF35B6">
        <w:rPr>
          <w:b/>
          <w:bCs/>
          <w:i/>
          <w:iCs/>
          <w:szCs w:val="24"/>
          <w:lang w:val="en-US"/>
        </w:rPr>
        <w:t>Conformity Assessment</w:t>
      </w:r>
      <w:r w:rsidR="00016663" w:rsidRPr="00FF35B6">
        <w:rPr>
          <w:i/>
          <w:iCs/>
          <w:szCs w:val="24"/>
          <w:lang w:val="en-US"/>
        </w:rPr>
        <w:t>”,</w:t>
      </w:r>
      <w:r w:rsidR="00016663" w:rsidRPr="0031193C">
        <w:rPr>
          <w:b/>
          <w:bCs/>
          <w:i/>
          <w:iCs/>
          <w:szCs w:val="24"/>
          <w:lang w:val="en-US"/>
        </w:rPr>
        <w:t xml:space="preserve"> Geneva, </w:t>
      </w:r>
      <w:r w:rsidR="00016663" w:rsidRPr="00FF35B6">
        <w:rPr>
          <w:b/>
          <w:bCs/>
          <w:i/>
          <w:iCs/>
          <w:szCs w:val="24"/>
          <w:lang w:val="en-US"/>
        </w:rPr>
        <w:t>1-2 December</w:t>
      </w:r>
      <w:r w:rsidR="00016663" w:rsidRPr="00FF35B6">
        <w:rPr>
          <w:i/>
          <w:iCs/>
          <w:szCs w:val="24"/>
          <w:lang w:val="en-US"/>
        </w:rPr>
        <w:t xml:space="preserve"> </w:t>
      </w:r>
      <w:r w:rsidR="00016663" w:rsidRPr="00FF35B6">
        <w:rPr>
          <w:b/>
          <w:bCs/>
          <w:i/>
          <w:iCs/>
          <w:szCs w:val="24"/>
          <w:lang w:val="en-US"/>
        </w:rPr>
        <w:t>2015</w:t>
      </w:r>
    </w:p>
    <w:p w14:paraId="59831155" w14:textId="77777777" w:rsidR="000B102B" w:rsidRPr="00725748" w:rsidRDefault="00016663" w:rsidP="00CF3197">
      <w:pPr>
        <w:tabs>
          <w:tab w:val="clear" w:pos="794"/>
        </w:tabs>
        <w:rPr>
          <w:szCs w:val="24"/>
          <w:lang w:val="en-US"/>
        </w:rPr>
      </w:pPr>
      <w:r>
        <w:rPr>
          <w:szCs w:val="24"/>
          <w:lang w:val="en-US"/>
        </w:rPr>
        <w:t xml:space="preserve">As a World Standards Collaboration (WSC) initiative, the </w:t>
      </w:r>
      <w:r w:rsidR="000B102B" w:rsidRPr="00725748">
        <w:rPr>
          <w:szCs w:val="24"/>
          <w:lang w:val="en-US"/>
        </w:rPr>
        <w:t xml:space="preserve">International </w:t>
      </w:r>
      <w:proofErr w:type="spellStart"/>
      <w:r w:rsidR="000B102B" w:rsidRPr="00725748">
        <w:rPr>
          <w:szCs w:val="24"/>
          <w:lang w:val="en-US"/>
        </w:rPr>
        <w:t>Electrotechnical</w:t>
      </w:r>
      <w:proofErr w:type="spellEnd"/>
      <w:r w:rsidR="000B102B" w:rsidRPr="00725748">
        <w:rPr>
          <w:szCs w:val="24"/>
          <w:lang w:val="en-US"/>
        </w:rPr>
        <w:t xml:space="preserve"> Commission (IEC), the International Organization for Standardization (ISO) and the International Telecommunication Union (ITU)</w:t>
      </w:r>
      <w:r>
        <w:rPr>
          <w:szCs w:val="24"/>
          <w:lang w:val="en-US"/>
        </w:rPr>
        <w:t xml:space="preserve"> are organizing a workshop on</w:t>
      </w:r>
      <w:r w:rsidR="0031193C">
        <w:rPr>
          <w:szCs w:val="24"/>
          <w:lang w:val="en-US"/>
        </w:rPr>
        <w:t xml:space="preserve"> </w:t>
      </w:r>
      <w:r w:rsidR="0031193C" w:rsidRPr="00FF35B6">
        <w:rPr>
          <w:i/>
          <w:iCs/>
          <w:szCs w:val="24"/>
          <w:lang w:val="en-US"/>
        </w:rPr>
        <w:t>“</w:t>
      </w:r>
      <w:r w:rsidRPr="00FF35B6">
        <w:rPr>
          <w:i/>
          <w:iCs/>
          <w:szCs w:val="24"/>
          <w:lang w:val="en-US"/>
        </w:rPr>
        <w:t>Conformity Assessment</w:t>
      </w:r>
      <w:r w:rsidR="0031193C" w:rsidRPr="00FF35B6">
        <w:rPr>
          <w:i/>
          <w:iCs/>
          <w:szCs w:val="24"/>
          <w:lang w:val="en-US"/>
        </w:rPr>
        <w:t>”</w:t>
      </w:r>
      <w:r w:rsidR="000B102B" w:rsidRPr="00FF35B6">
        <w:rPr>
          <w:szCs w:val="24"/>
          <w:lang w:val="en-US"/>
        </w:rPr>
        <w:t>. This event</w:t>
      </w:r>
      <w:r>
        <w:rPr>
          <w:szCs w:val="24"/>
          <w:lang w:val="en-US"/>
        </w:rPr>
        <w:t xml:space="preserve"> </w:t>
      </w:r>
      <w:r w:rsidR="00725748" w:rsidRPr="00725748">
        <w:rPr>
          <w:szCs w:val="24"/>
          <w:lang w:val="en-US"/>
        </w:rPr>
        <w:t xml:space="preserve">is </w:t>
      </w:r>
      <w:r w:rsidR="000B102B">
        <w:rPr>
          <w:szCs w:val="24"/>
          <w:lang w:val="en-US"/>
        </w:rPr>
        <w:t>scheduled to</w:t>
      </w:r>
      <w:r w:rsidR="00725748" w:rsidRPr="00725748">
        <w:rPr>
          <w:szCs w:val="24"/>
          <w:lang w:val="en-US"/>
        </w:rPr>
        <w:t xml:space="preserve"> take place from 1 to 2 (1300 hours) December 2015 at the </w:t>
      </w:r>
      <w:proofErr w:type="spellStart"/>
      <w:r w:rsidR="00725748" w:rsidRPr="00725748">
        <w:rPr>
          <w:szCs w:val="24"/>
          <w:lang w:val="en-US"/>
        </w:rPr>
        <w:t>Palais</w:t>
      </w:r>
      <w:proofErr w:type="spellEnd"/>
      <w:r w:rsidR="00725748" w:rsidRPr="00725748">
        <w:rPr>
          <w:szCs w:val="24"/>
          <w:lang w:val="en-US"/>
        </w:rPr>
        <w:t xml:space="preserve"> des Nations which is the United Nations Office in Geneva (UNOG), Switzerland</w:t>
      </w:r>
      <w:r w:rsidR="000B102B">
        <w:rPr>
          <w:szCs w:val="24"/>
          <w:lang w:val="en-US"/>
        </w:rPr>
        <w:t>. The venue is located at w</w:t>
      </w:r>
      <w:r w:rsidR="000364A1">
        <w:rPr>
          <w:szCs w:val="24"/>
          <w:lang w:val="en-US"/>
        </w:rPr>
        <w:t>alk</w:t>
      </w:r>
      <w:r w:rsidR="000B102B">
        <w:rPr>
          <w:szCs w:val="24"/>
          <w:lang w:val="en-US"/>
        </w:rPr>
        <w:t>ing distance from ITU headquarters. SG11 meeting will start in the afternoon of 2 December 2015, immediately after the end of this event, therefore SG11 experts who are interested in this topic, are invited to join this event.</w:t>
      </w:r>
      <w:r w:rsidR="00725748" w:rsidRPr="00725748">
        <w:rPr>
          <w:szCs w:val="24"/>
          <w:lang w:val="en-US"/>
        </w:rPr>
        <w:t xml:space="preserve"> </w:t>
      </w:r>
      <w:r w:rsidR="000B102B" w:rsidRPr="00725748">
        <w:rPr>
          <w:szCs w:val="24"/>
          <w:lang w:val="en-US"/>
        </w:rPr>
        <w:t>More details are available on the dedicated</w:t>
      </w:r>
      <w:r w:rsidR="000B102B">
        <w:rPr>
          <w:szCs w:val="24"/>
          <w:lang w:val="en-US"/>
        </w:rPr>
        <w:t xml:space="preserve"> workshop</w:t>
      </w:r>
      <w:r w:rsidR="000B102B" w:rsidRPr="00FF35B6">
        <w:t xml:space="preserve"> </w:t>
      </w:r>
      <w:hyperlink r:id="rId13" w:history="1">
        <w:r w:rsidR="000B102B" w:rsidRPr="000B102B">
          <w:rPr>
            <w:rStyle w:val="Hyperlink"/>
            <w:szCs w:val="24"/>
            <w:lang w:val="en-US"/>
          </w:rPr>
          <w:t>web page</w:t>
        </w:r>
      </w:hyperlink>
      <w:r w:rsidR="000B102B">
        <w:rPr>
          <w:szCs w:val="24"/>
        </w:rPr>
        <w:t xml:space="preserve">. </w:t>
      </w:r>
      <w:r w:rsidR="000364A1">
        <w:rPr>
          <w:szCs w:val="24"/>
        </w:rPr>
        <w:t>Please a</w:t>
      </w:r>
      <w:r w:rsidR="000B102B">
        <w:rPr>
          <w:szCs w:val="24"/>
        </w:rPr>
        <w:t xml:space="preserve">lso see </w:t>
      </w:r>
      <w:hyperlink r:id="rId14" w:history="1">
        <w:r w:rsidR="000B102B" w:rsidRPr="00725748">
          <w:rPr>
            <w:rStyle w:val="Hyperlink"/>
            <w:szCs w:val="24"/>
            <w:lang w:val="en-US"/>
          </w:rPr>
          <w:t>ITU-T TSB Circular 17</w:t>
        </w:r>
        <w:r w:rsidR="000B102B">
          <w:rPr>
            <w:rStyle w:val="Hyperlink"/>
            <w:szCs w:val="24"/>
            <w:lang w:val="en-US"/>
          </w:rPr>
          <w:t>7</w:t>
        </w:r>
      </w:hyperlink>
      <w:r w:rsidR="000B102B" w:rsidRPr="00725748">
        <w:rPr>
          <w:szCs w:val="24"/>
          <w:lang w:val="en-US"/>
        </w:rPr>
        <w:t>.</w:t>
      </w:r>
    </w:p>
    <w:p w14:paraId="143CDF85" w14:textId="77777777" w:rsidR="00725748" w:rsidRDefault="00725748" w:rsidP="000364A1">
      <w:pPr>
        <w:keepNext/>
        <w:ind w:left="709" w:hanging="709"/>
        <w:rPr>
          <w:szCs w:val="24"/>
        </w:rPr>
      </w:pPr>
      <w:r>
        <w:rPr>
          <w:szCs w:val="24"/>
        </w:rPr>
        <w:lastRenderedPageBreak/>
        <w:t>3</w:t>
      </w:r>
      <w:r>
        <w:rPr>
          <w:szCs w:val="24"/>
        </w:rPr>
        <w:tab/>
        <w:t xml:space="preserve">First meeting of </w:t>
      </w:r>
      <w:r w:rsidR="0031193C" w:rsidRPr="00FF35B6">
        <w:rPr>
          <w:b/>
          <w:bCs/>
          <w:i/>
          <w:iCs/>
          <w:szCs w:val="24"/>
        </w:rPr>
        <w:t>“</w:t>
      </w:r>
      <w:r w:rsidRPr="00FF35B6">
        <w:rPr>
          <w:b/>
          <w:bCs/>
          <w:i/>
          <w:iCs/>
          <w:szCs w:val="24"/>
        </w:rPr>
        <w:t>ITU-T Conformity Assessment Steering Committee (ITU-T CASC)</w:t>
      </w:r>
      <w:r w:rsidR="0031193C" w:rsidRPr="0031193C">
        <w:rPr>
          <w:b/>
          <w:bCs/>
          <w:i/>
          <w:iCs/>
          <w:szCs w:val="24"/>
        </w:rPr>
        <w:t>”</w:t>
      </w:r>
      <w:r w:rsidRPr="00FF35B6">
        <w:rPr>
          <w:b/>
          <w:bCs/>
          <w:i/>
          <w:iCs/>
          <w:szCs w:val="24"/>
        </w:rPr>
        <w:t>, Geneva, 3 December 2015</w:t>
      </w:r>
    </w:p>
    <w:p w14:paraId="7E57AB88" w14:textId="20A01F2F" w:rsidR="0031193C" w:rsidRPr="0031193C" w:rsidRDefault="0031193C" w:rsidP="00C34AE7">
      <w:pPr>
        <w:tabs>
          <w:tab w:val="clear" w:pos="794"/>
        </w:tabs>
        <w:rPr>
          <w:szCs w:val="24"/>
          <w:lang w:val="en-US"/>
        </w:rPr>
      </w:pPr>
      <w:r w:rsidRPr="0031193C">
        <w:rPr>
          <w:szCs w:val="24"/>
          <w:lang w:val="en-US"/>
        </w:rPr>
        <w:t xml:space="preserve">The first meeting of the </w:t>
      </w:r>
      <w:r w:rsidRPr="0031193C">
        <w:rPr>
          <w:b/>
          <w:bCs/>
          <w:szCs w:val="24"/>
          <w:lang w:val="en-US"/>
        </w:rPr>
        <w:t>ITU-T Conformity Assessment Steering Committee</w:t>
      </w:r>
      <w:r w:rsidRPr="0031193C">
        <w:rPr>
          <w:szCs w:val="24"/>
          <w:lang w:val="en-US"/>
        </w:rPr>
        <w:t xml:space="preserve"> </w:t>
      </w:r>
      <w:r w:rsidRPr="0031193C">
        <w:rPr>
          <w:b/>
          <w:bCs/>
          <w:szCs w:val="24"/>
          <w:lang w:val="en-US"/>
        </w:rPr>
        <w:t xml:space="preserve">(ITU-T CASC) </w:t>
      </w:r>
      <w:r w:rsidRPr="0031193C">
        <w:rPr>
          <w:szCs w:val="24"/>
          <w:lang w:val="en-US"/>
        </w:rPr>
        <w:t>is scheduled to take place on Thursday 3 December 2015 during the meeting of ITU-T SG11 (2</w:t>
      </w:r>
      <w:r w:rsidR="00C34AE7">
        <w:rPr>
          <w:szCs w:val="24"/>
          <w:lang w:val="en-US"/>
        </w:rPr>
        <w:noBreakHyphen/>
      </w:r>
      <w:r w:rsidRPr="0031193C">
        <w:rPr>
          <w:szCs w:val="24"/>
          <w:lang w:val="en-US"/>
        </w:rPr>
        <w:t>11</w:t>
      </w:r>
      <w:r w:rsidR="00C34AE7">
        <w:rPr>
          <w:szCs w:val="24"/>
          <w:lang w:val="en-US"/>
        </w:rPr>
        <w:t> </w:t>
      </w:r>
      <w:r w:rsidRPr="0031193C">
        <w:rPr>
          <w:szCs w:val="24"/>
          <w:lang w:val="en-US"/>
        </w:rPr>
        <w:t xml:space="preserve">December 2015). The Chairman, Mr Isaac </w:t>
      </w:r>
      <w:proofErr w:type="spellStart"/>
      <w:r w:rsidRPr="0031193C">
        <w:rPr>
          <w:szCs w:val="24"/>
          <w:lang w:val="en-US"/>
        </w:rPr>
        <w:t>Boateng</w:t>
      </w:r>
      <w:proofErr w:type="spellEnd"/>
      <w:r w:rsidRPr="0031193C">
        <w:rPr>
          <w:szCs w:val="24"/>
          <w:lang w:val="en-US"/>
        </w:rPr>
        <w:t xml:space="preserve"> (Ghana), will chair the meeting.</w:t>
      </w:r>
    </w:p>
    <w:p w14:paraId="045C85C8" w14:textId="77777777" w:rsidR="005931B6" w:rsidRDefault="005931B6" w:rsidP="00CF3197">
      <w:pPr>
        <w:tabs>
          <w:tab w:val="clear" w:pos="794"/>
        </w:tabs>
        <w:rPr>
          <w:szCs w:val="24"/>
          <w:lang w:val="en-US"/>
        </w:rPr>
      </w:pPr>
      <w:r w:rsidRPr="00FF35B6">
        <w:rPr>
          <w:szCs w:val="24"/>
          <w:lang w:val="en-US"/>
        </w:rPr>
        <w:t>The Conformity Assessment Steering Committee (</w:t>
      </w:r>
      <w:hyperlink r:id="rId15" w:history="1">
        <w:r w:rsidRPr="00FF35B6">
          <w:rPr>
            <w:rStyle w:val="Hyperlink"/>
            <w:szCs w:val="24"/>
            <w:lang w:val="en-US"/>
          </w:rPr>
          <w:t>ITU-T CASC</w:t>
        </w:r>
      </w:hyperlink>
      <w:r w:rsidRPr="00FF35B6">
        <w:rPr>
          <w:szCs w:val="24"/>
          <w:lang w:val="en-US"/>
        </w:rPr>
        <w:t>)</w:t>
      </w:r>
      <w:r w:rsidRPr="005931B6">
        <w:rPr>
          <w:szCs w:val="24"/>
          <w:lang w:val="en-US"/>
        </w:rPr>
        <w:t xml:space="preserve"> was established in April 2015 by ITU</w:t>
      </w:r>
      <w:r w:rsidRPr="005931B6">
        <w:rPr>
          <w:szCs w:val="24"/>
          <w:lang w:val="en-US"/>
        </w:rPr>
        <w:noBreakHyphen/>
        <w:t>T SG11 to elaborate detailed procedures for the implementation of a test laboratory recognition procedure in ITU-T.</w:t>
      </w:r>
      <w:r>
        <w:rPr>
          <w:szCs w:val="24"/>
          <w:lang w:val="en-US"/>
        </w:rPr>
        <w:t xml:space="preserve"> </w:t>
      </w:r>
      <w:r w:rsidRPr="005931B6">
        <w:rPr>
          <w:szCs w:val="24"/>
          <w:lang w:val="en-US"/>
        </w:rPr>
        <w:t xml:space="preserve">The ITU-T CASC works in accordance with the ITU-T SG11 </w:t>
      </w:r>
      <w:hyperlink r:id="rId16" w:history="1">
        <w:r w:rsidRPr="005931B6">
          <w:rPr>
            <w:rStyle w:val="Hyperlink"/>
            <w:szCs w:val="24"/>
            <w:lang w:val="en-US"/>
          </w:rPr>
          <w:t>Guideline “Testing laboratories recognition procedure”</w:t>
        </w:r>
      </w:hyperlink>
      <w:r w:rsidRPr="005931B6">
        <w:rPr>
          <w:szCs w:val="24"/>
          <w:lang w:val="en-US"/>
        </w:rPr>
        <w:t xml:space="preserve"> which describes the high level procedure for recognition of Testing Laboratories that have competence for testing against ITU-T Recommendations.</w:t>
      </w:r>
      <w:r>
        <w:rPr>
          <w:szCs w:val="24"/>
          <w:lang w:val="en-US"/>
        </w:rPr>
        <w:t xml:space="preserve"> </w:t>
      </w:r>
      <w:r w:rsidRPr="005931B6">
        <w:rPr>
          <w:szCs w:val="24"/>
          <w:lang w:val="en-US"/>
        </w:rPr>
        <w:t>ITU-T CASC works under the auspices of ITU-T SG11 with the participation of ITU-T experts from all ITU-T SGs. The ITU-T CASC will follow the working rules and procedures which applies to a Working Party and reports to SG11 Plenary.</w:t>
      </w:r>
    </w:p>
    <w:p w14:paraId="6C85096B" w14:textId="77777777" w:rsidR="005931B6" w:rsidRPr="005931B6" w:rsidRDefault="005931B6" w:rsidP="00CF3197">
      <w:pPr>
        <w:tabs>
          <w:tab w:val="clear" w:pos="794"/>
        </w:tabs>
        <w:rPr>
          <w:szCs w:val="24"/>
          <w:lang w:val="en-US"/>
        </w:rPr>
      </w:pPr>
      <w:r w:rsidRPr="001D7E58">
        <w:rPr>
          <w:szCs w:val="24"/>
          <w:lang w:val="en-US"/>
        </w:rPr>
        <w:t xml:space="preserve">The meeting will open at 0930 on Thursday 3 December 2015 at ITU headquarters, Geneva, and it will be adjourned at 1230. To attend the ITU-T CASC meeting, delegates must register to the parent SG11 meeting, see </w:t>
      </w:r>
      <w:hyperlink r:id="rId17" w:history="1">
        <w:r w:rsidRPr="001D7E58">
          <w:rPr>
            <w:rStyle w:val="Hyperlink"/>
            <w:szCs w:val="24"/>
            <w:lang w:val="en-US"/>
          </w:rPr>
          <w:t>SG11 meeting announcement</w:t>
        </w:r>
      </w:hyperlink>
      <w:r w:rsidRPr="001D7E58">
        <w:rPr>
          <w:szCs w:val="24"/>
          <w:lang w:val="en-US"/>
        </w:rPr>
        <w:t xml:space="preserve">. Participant registration will begin at 0830 hours at the </w:t>
      </w:r>
      <w:proofErr w:type="spellStart"/>
      <w:r w:rsidRPr="001D7E58">
        <w:rPr>
          <w:szCs w:val="24"/>
          <w:lang w:val="en-US"/>
        </w:rPr>
        <w:t>Montbrillant</w:t>
      </w:r>
      <w:proofErr w:type="spellEnd"/>
      <w:r w:rsidRPr="001D7E58">
        <w:rPr>
          <w:szCs w:val="24"/>
          <w:lang w:val="en-US"/>
        </w:rPr>
        <w:t xml:space="preserve"> entrance. Detailed information concerning the meeting rooms will be displayed on screens at the entrances to ITU headquarters.</w:t>
      </w:r>
    </w:p>
    <w:p w14:paraId="46C73DD0" w14:textId="77777777" w:rsidR="005931B6" w:rsidRDefault="001D7E58" w:rsidP="00CF3197">
      <w:pPr>
        <w:tabs>
          <w:tab w:val="clear" w:pos="794"/>
        </w:tabs>
        <w:rPr>
          <w:szCs w:val="24"/>
        </w:rPr>
      </w:pPr>
      <w:r>
        <w:rPr>
          <w:szCs w:val="24"/>
        </w:rPr>
        <w:t>T</w:t>
      </w:r>
      <w:r w:rsidRPr="001D7E58">
        <w:rPr>
          <w:szCs w:val="24"/>
        </w:rPr>
        <w:t>he draf</w:t>
      </w:r>
      <w:r>
        <w:rPr>
          <w:szCs w:val="24"/>
        </w:rPr>
        <w:t xml:space="preserve">t agenda will be posted as </w:t>
      </w:r>
      <w:hyperlink r:id="rId18" w:history="1">
        <w:r w:rsidRPr="001D7E58">
          <w:rPr>
            <w:rStyle w:val="Hyperlink"/>
            <w:szCs w:val="24"/>
          </w:rPr>
          <w:t>TD895 (GEN/11)</w:t>
        </w:r>
      </w:hyperlink>
      <w:r w:rsidRPr="001D7E58">
        <w:rPr>
          <w:szCs w:val="24"/>
        </w:rPr>
        <w:t xml:space="preserve"> and will</w:t>
      </w:r>
      <w:r>
        <w:rPr>
          <w:szCs w:val="24"/>
        </w:rPr>
        <w:t xml:space="preserve"> also </w:t>
      </w:r>
      <w:r w:rsidRPr="001D7E58">
        <w:rPr>
          <w:szCs w:val="24"/>
        </w:rPr>
        <w:t xml:space="preserve">be made available from the ITU-T CASC dedicated </w:t>
      </w:r>
      <w:hyperlink r:id="rId19" w:history="1">
        <w:r w:rsidRPr="005931B6">
          <w:rPr>
            <w:rStyle w:val="Hyperlink"/>
            <w:szCs w:val="24"/>
          </w:rPr>
          <w:t>web</w:t>
        </w:r>
        <w:r w:rsidR="005931B6" w:rsidRPr="005931B6">
          <w:rPr>
            <w:rStyle w:val="Hyperlink"/>
            <w:szCs w:val="24"/>
          </w:rPr>
          <w:t xml:space="preserve"> </w:t>
        </w:r>
        <w:r w:rsidRPr="005931B6">
          <w:rPr>
            <w:rStyle w:val="Hyperlink"/>
            <w:szCs w:val="24"/>
          </w:rPr>
          <w:t>page</w:t>
        </w:r>
      </w:hyperlink>
      <w:r>
        <w:rPr>
          <w:szCs w:val="24"/>
        </w:rPr>
        <w:t xml:space="preserve">. </w:t>
      </w:r>
    </w:p>
    <w:p w14:paraId="649B3CC9" w14:textId="77777777" w:rsidR="005931B6" w:rsidRPr="005931B6" w:rsidRDefault="005931B6" w:rsidP="00CF3197">
      <w:pPr>
        <w:tabs>
          <w:tab w:val="clear" w:pos="794"/>
        </w:tabs>
        <w:rPr>
          <w:szCs w:val="24"/>
          <w:lang w:val="en-US"/>
        </w:rPr>
      </w:pPr>
      <w:r w:rsidRPr="00FF35B6">
        <w:rPr>
          <w:szCs w:val="24"/>
          <w:lang w:val="en-US"/>
        </w:rPr>
        <w:t>Remote participation to attend the ITU-T CASC</w:t>
      </w:r>
      <w:r w:rsidRPr="005931B6">
        <w:rPr>
          <w:szCs w:val="24"/>
          <w:lang w:val="en-US"/>
        </w:rPr>
        <w:t xml:space="preserve"> may be made available upon request. To enable the Secretariat to disseminate the remote participation details to registered participants in time, please register </w:t>
      </w:r>
      <w:r w:rsidRPr="00FF35B6">
        <w:rPr>
          <w:szCs w:val="24"/>
          <w:lang w:val="en-US"/>
        </w:rPr>
        <w:t xml:space="preserve">before Friday 27 November 2015 </w:t>
      </w:r>
      <w:r w:rsidRPr="005931B6">
        <w:rPr>
          <w:szCs w:val="24"/>
          <w:lang w:val="en-US"/>
        </w:rPr>
        <w:t>and request the remote participation details to</w:t>
      </w:r>
      <w:r w:rsidRPr="00FF35B6">
        <w:rPr>
          <w:szCs w:val="24"/>
          <w:lang w:val="en-US"/>
        </w:rPr>
        <w:t xml:space="preserve"> </w:t>
      </w:r>
      <w:r w:rsidRPr="005931B6">
        <w:rPr>
          <w:szCs w:val="24"/>
          <w:lang w:val="en-US"/>
        </w:rPr>
        <w:t xml:space="preserve">the secretariat of ITU-T SG11 at </w:t>
      </w:r>
      <w:hyperlink r:id="rId20" w:history="1">
        <w:r w:rsidRPr="005931B6">
          <w:rPr>
            <w:rStyle w:val="Hyperlink"/>
            <w:szCs w:val="24"/>
            <w:lang w:val="en-US"/>
          </w:rPr>
          <w:t>tsbsg11[at]itu.int</w:t>
        </w:r>
      </w:hyperlink>
      <w:r w:rsidRPr="005931B6">
        <w:rPr>
          <w:szCs w:val="24"/>
          <w:lang w:val="en-US"/>
        </w:rPr>
        <w:t>.</w:t>
      </w:r>
    </w:p>
    <w:p w14:paraId="3277DE43" w14:textId="77777777" w:rsidR="005931B6" w:rsidRPr="005931B6" w:rsidRDefault="005931B6" w:rsidP="00CF3197">
      <w:pPr>
        <w:tabs>
          <w:tab w:val="clear" w:pos="794"/>
        </w:tabs>
        <w:rPr>
          <w:szCs w:val="24"/>
          <w:lang w:val="en-US"/>
        </w:rPr>
      </w:pPr>
      <w:r w:rsidRPr="005931B6">
        <w:rPr>
          <w:szCs w:val="24"/>
          <w:lang w:val="en-US"/>
        </w:rPr>
        <w:t>The meeting of the ITU-T CASC will be paperless.</w:t>
      </w:r>
    </w:p>
    <w:p w14:paraId="3B9671C1" w14:textId="77777777" w:rsidR="005931B6" w:rsidRPr="005931B6" w:rsidRDefault="005931B6" w:rsidP="00CF3197">
      <w:pPr>
        <w:tabs>
          <w:tab w:val="clear" w:pos="794"/>
        </w:tabs>
        <w:rPr>
          <w:szCs w:val="24"/>
          <w:lang w:val="en-US"/>
        </w:rPr>
      </w:pPr>
      <w:r w:rsidRPr="005931B6">
        <w:rPr>
          <w:szCs w:val="24"/>
          <w:lang w:val="en-US"/>
        </w:rPr>
        <w:t>The meeting will be conducted in English only.</w:t>
      </w:r>
    </w:p>
    <w:p w14:paraId="1596C28C" w14:textId="77777777" w:rsidR="005931B6" w:rsidRDefault="005931B6" w:rsidP="00CF3197">
      <w:pPr>
        <w:tabs>
          <w:tab w:val="clear" w:pos="794"/>
        </w:tabs>
        <w:rPr>
          <w:szCs w:val="24"/>
        </w:rPr>
      </w:pPr>
      <w:r w:rsidRPr="005931B6">
        <w:rPr>
          <w:szCs w:val="24"/>
        </w:rPr>
        <w:t xml:space="preserve">The deadline for contributions is 12 (twelve) calendar days before the ITU-T SG11 meeting. Such contributions will be published on the Study Group 11 website and must therefore be submitted </w:t>
      </w:r>
      <w:r w:rsidRPr="00FF35B6">
        <w:rPr>
          <w:szCs w:val="24"/>
        </w:rPr>
        <w:t>not later than 19 November 2015</w:t>
      </w:r>
      <w:r w:rsidRPr="005931B6">
        <w:rPr>
          <w:szCs w:val="24"/>
        </w:rPr>
        <w:t xml:space="preserve">. For more information on how to submit a Contribution, </w:t>
      </w:r>
      <w:r>
        <w:rPr>
          <w:szCs w:val="24"/>
        </w:rPr>
        <w:t xml:space="preserve">registration to ITU-T SG11, </w:t>
      </w:r>
      <w:r w:rsidRPr="005931B6">
        <w:rPr>
          <w:szCs w:val="24"/>
        </w:rPr>
        <w:t xml:space="preserve">visa requests, network facilities, logistics etc., please see ITU-T </w:t>
      </w:r>
      <w:hyperlink r:id="rId21" w:history="1">
        <w:r w:rsidRPr="005931B6">
          <w:rPr>
            <w:rStyle w:val="Hyperlink"/>
            <w:szCs w:val="24"/>
            <w:lang w:val="en-US"/>
          </w:rPr>
          <w:t>SG11 meeting announcement</w:t>
        </w:r>
      </w:hyperlink>
      <w:r>
        <w:rPr>
          <w:szCs w:val="24"/>
        </w:rPr>
        <w:t xml:space="preserve"> (</w:t>
      </w:r>
      <w:r w:rsidRPr="005931B6">
        <w:rPr>
          <w:szCs w:val="24"/>
        </w:rPr>
        <w:t>TSB Collective letter 9/11</w:t>
      </w:r>
      <w:r>
        <w:rPr>
          <w:szCs w:val="24"/>
        </w:rPr>
        <w:t>).</w:t>
      </w:r>
    </w:p>
    <w:p w14:paraId="53B228A2" w14:textId="4DEA7CFB" w:rsidR="002B3FF9" w:rsidRDefault="002B3FF9" w:rsidP="00BD54CA">
      <w:pPr>
        <w:spacing w:before="240"/>
        <w:rPr>
          <w:szCs w:val="24"/>
        </w:rPr>
      </w:pPr>
      <w:r w:rsidRPr="00715A29">
        <w:rPr>
          <w:szCs w:val="24"/>
        </w:rPr>
        <w:t>Yours faithfully,</w:t>
      </w:r>
    </w:p>
    <w:p w14:paraId="4688114C" w14:textId="48EE135A" w:rsidR="005D12DA" w:rsidRPr="00715A29" w:rsidRDefault="005D12DA" w:rsidP="005D12DA">
      <w:pPr>
        <w:spacing w:before="480"/>
        <w:rPr>
          <w:szCs w:val="24"/>
        </w:rPr>
      </w:pPr>
    </w:p>
    <w:p w14:paraId="74CDBC65" w14:textId="77777777" w:rsidR="00384E5D" w:rsidRDefault="001D7E58" w:rsidP="005D12DA"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 w:rsidR="000B46FB">
        <w:br/>
        <w:t>Director of the Telecommunication</w:t>
      </w:r>
      <w:r w:rsidR="000B46FB">
        <w:br/>
        <w:t>Standardization Bureau</w:t>
      </w:r>
    </w:p>
    <w:sectPr w:rsidR="00384E5D" w:rsidSect="00FF35B6">
      <w:headerReference w:type="default" r:id="rId22"/>
      <w:footerReference w:type="default" r:id="rId23"/>
      <w:footerReference w:type="first" r:id="rId24"/>
      <w:type w:val="oddPage"/>
      <w:pgSz w:w="11907" w:h="16834" w:code="9"/>
      <w:pgMar w:top="851" w:right="1089" w:bottom="1276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63354" w14:textId="77777777" w:rsidR="00C323AF" w:rsidRDefault="00C323AF">
      <w:r>
        <w:separator/>
      </w:r>
    </w:p>
  </w:endnote>
  <w:endnote w:type="continuationSeparator" w:id="0">
    <w:p w14:paraId="48E78F59" w14:textId="77777777" w:rsidR="00C323AF" w:rsidRDefault="00C3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9C12B" w14:textId="77777777" w:rsidR="00FA124A" w:rsidRPr="00196AB1" w:rsidRDefault="001809AC" w:rsidP="000364A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E34BFC">
      <w:rPr>
        <w:lang w:val="fr-FR"/>
      </w:rPr>
      <w:t>1</w:t>
    </w:r>
    <w:r w:rsidR="000364A1">
      <w:rPr>
        <w:lang w:val="fr-FR"/>
      </w:rPr>
      <w:t>1</w:t>
    </w:r>
    <w:r w:rsidRPr="001809AC">
      <w:rPr>
        <w:lang w:val="fr-FR"/>
      </w:rPr>
      <w:t>\COLL\</w:t>
    </w:r>
    <w:r w:rsidR="00E34BFC">
      <w:rPr>
        <w:lang w:val="fr-FR"/>
      </w:rPr>
      <w:t>00</w:t>
    </w:r>
    <w:r w:rsidR="000364A1">
      <w:rPr>
        <w:lang w:val="fr-FR"/>
      </w:rPr>
      <w:t>9ADD1</w:t>
    </w:r>
    <w:r w:rsidRPr="001809AC">
      <w:rPr>
        <w:lang w:val="fr-FR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46E16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C6F0D" w14:textId="77777777" w:rsidR="00C323AF" w:rsidRDefault="00C323AF">
      <w:r>
        <w:t>____________________</w:t>
      </w:r>
    </w:p>
  </w:footnote>
  <w:footnote w:type="continuationSeparator" w:id="0">
    <w:p w14:paraId="03D600E3" w14:textId="77777777" w:rsidR="00C323AF" w:rsidRDefault="00C32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65157" w14:textId="77777777" w:rsidR="00C740E1" w:rsidRPr="00937D73" w:rsidRDefault="003B4845" w:rsidP="00937D73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  <w:r w:rsidR="00937D73">
      <w:rPr>
        <w:noProof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6FD5830"/>
    <w:multiLevelType w:val="hybridMultilevel"/>
    <w:tmpl w:val="92A67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0"/>
  </w:num>
  <w:num w:numId="14">
    <w:abstractNumId w:val="15"/>
  </w:num>
  <w:num w:numId="15">
    <w:abstractNumId w:val="12"/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55"/>
    <w:rsid w:val="000069D4"/>
    <w:rsid w:val="000103B1"/>
    <w:rsid w:val="00016663"/>
    <w:rsid w:val="000174AD"/>
    <w:rsid w:val="00024047"/>
    <w:rsid w:val="000305E1"/>
    <w:rsid w:val="00031F69"/>
    <w:rsid w:val="000364A1"/>
    <w:rsid w:val="000473DF"/>
    <w:rsid w:val="00053AD3"/>
    <w:rsid w:val="0005614E"/>
    <w:rsid w:val="000A7D55"/>
    <w:rsid w:val="000B102B"/>
    <w:rsid w:val="000B3CBB"/>
    <w:rsid w:val="000B46FB"/>
    <w:rsid w:val="000C0BE6"/>
    <w:rsid w:val="000C2E8E"/>
    <w:rsid w:val="000C732C"/>
    <w:rsid w:val="000D49FB"/>
    <w:rsid w:val="000E0E7C"/>
    <w:rsid w:val="000F1B4B"/>
    <w:rsid w:val="000F5F89"/>
    <w:rsid w:val="00124AE2"/>
    <w:rsid w:val="00126E71"/>
    <w:rsid w:val="0012744F"/>
    <w:rsid w:val="00137A73"/>
    <w:rsid w:val="00143335"/>
    <w:rsid w:val="00156DFF"/>
    <w:rsid w:val="00156F66"/>
    <w:rsid w:val="001809AC"/>
    <w:rsid w:val="00182528"/>
    <w:rsid w:val="0018500B"/>
    <w:rsid w:val="00196A19"/>
    <w:rsid w:val="00196AB1"/>
    <w:rsid w:val="00197CD7"/>
    <w:rsid w:val="001B6308"/>
    <w:rsid w:val="001C0948"/>
    <w:rsid w:val="001C3CDB"/>
    <w:rsid w:val="001D7E58"/>
    <w:rsid w:val="001E4CE9"/>
    <w:rsid w:val="001F12C0"/>
    <w:rsid w:val="00202DC1"/>
    <w:rsid w:val="002116EE"/>
    <w:rsid w:val="00223220"/>
    <w:rsid w:val="002309D8"/>
    <w:rsid w:val="0023388C"/>
    <w:rsid w:val="00263CE7"/>
    <w:rsid w:val="002645A8"/>
    <w:rsid w:val="00287BF1"/>
    <w:rsid w:val="002A7FE2"/>
    <w:rsid w:val="002B3FF9"/>
    <w:rsid w:val="002B711C"/>
    <w:rsid w:val="002C0244"/>
    <w:rsid w:val="002D1B4D"/>
    <w:rsid w:val="002E1B4F"/>
    <w:rsid w:val="002F2E67"/>
    <w:rsid w:val="002F6530"/>
    <w:rsid w:val="00301488"/>
    <w:rsid w:val="0031193C"/>
    <w:rsid w:val="00315546"/>
    <w:rsid w:val="0031577B"/>
    <w:rsid w:val="00330567"/>
    <w:rsid w:val="00351DA5"/>
    <w:rsid w:val="00383598"/>
    <w:rsid w:val="00384E5D"/>
    <w:rsid w:val="00386A9D"/>
    <w:rsid w:val="00391081"/>
    <w:rsid w:val="003B2789"/>
    <w:rsid w:val="003B362E"/>
    <w:rsid w:val="003B4845"/>
    <w:rsid w:val="003B7FF4"/>
    <w:rsid w:val="003C13CE"/>
    <w:rsid w:val="003C63C6"/>
    <w:rsid w:val="003E2518"/>
    <w:rsid w:val="003F0DED"/>
    <w:rsid w:val="003F2953"/>
    <w:rsid w:val="004023FC"/>
    <w:rsid w:val="004124D4"/>
    <w:rsid w:val="00413914"/>
    <w:rsid w:val="00423455"/>
    <w:rsid w:val="004314A2"/>
    <w:rsid w:val="004748F4"/>
    <w:rsid w:val="00483572"/>
    <w:rsid w:val="00496C72"/>
    <w:rsid w:val="004A4F1B"/>
    <w:rsid w:val="004B1EF7"/>
    <w:rsid w:val="004B3FAD"/>
    <w:rsid w:val="004C1CED"/>
    <w:rsid w:val="004D0D9E"/>
    <w:rsid w:val="004D3677"/>
    <w:rsid w:val="004E3CF9"/>
    <w:rsid w:val="004F7071"/>
    <w:rsid w:val="00501DCA"/>
    <w:rsid w:val="00501F4A"/>
    <w:rsid w:val="00513A47"/>
    <w:rsid w:val="005408DF"/>
    <w:rsid w:val="0055318D"/>
    <w:rsid w:val="00573344"/>
    <w:rsid w:val="00583F9B"/>
    <w:rsid w:val="00584AFA"/>
    <w:rsid w:val="00587BCA"/>
    <w:rsid w:val="005931B6"/>
    <w:rsid w:val="005D12DA"/>
    <w:rsid w:val="005D71A2"/>
    <w:rsid w:val="005E1223"/>
    <w:rsid w:val="005E5C10"/>
    <w:rsid w:val="005E70E3"/>
    <w:rsid w:val="005F2C78"/>
    <w:rsid w:val="006144E4"/>
    <w:rsid w:val="00624555"/>
    <w:rsid w:val="006318C1"/>
    <w:rsid w:val="00650299"/>
    <w:rsid w:val="006550C0"/>
    <w:rsid w:val="00655FC5"/>
    <w:rsid w:val="00687BD5"/>
    <w:rsid w:val="006B43D3"/>
    <w:rsid w:val="006D6AF4"/>
    <w:rsid w:val="007120FB"/>
    <w:rsid w:val="00715A29"/>
    <w:rsid w:val="00725748"/>
    <w:rsid w:val="007D2F64"/>
    <w:rsid w:val="007E51DC"/>
    <w:rsid w:val="00801031"/>
    <w:rsid w:val="00802953"/>
    <w:rsid w:val="00807FF1"/>
    <w:rsid w:val="00822581"/>
    <w:rsid w:val="008309DD"/>
    <w:rsid w:val="0083227A"/>
    <w:rsid w:val="00834A9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A0C02"/>
    <w:rsid w:val="008A2B2E"/>
    <w:rsid w:val="008B0087"/>
    <w:rsid w:val="008C26B8"/>
    <w:rsid w:val="008E2ECA"/>
    <w:rsid w:val="009273EC"/>
    <w:rsid w:val="00932E45"/>
    <w:rsid w:val="00936D00"/>
    <w:rsid w:val="00937D73"/>
    <w:rsid w:val="00942270"/>
    <w:rsid w:val="00943A8D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C4F01"/>
    <w:rsid w:val="009D1697"/>
    <w:rsid w:val="009D1DF9"/>
    <w:rsid w:val="009E13BC"/>
    <w:rsid w:val="009E4F80"/>
    <w:rsid w:val="009F2619"/>
    <w:rsid w:val="00A014F8"/>
    <w:rsid w:val="00A11DCA"/>
    <w:rsid w:val="00A5173C"/>
    <w:rsid w:val="00A57624"/>
    <w:rsid w:val="00A60FE3"/>
    <w:rsid w:val="00A61AEF"/>
    <w:rsid w:val="00A802F9"/>
    <w:rsid w:val="00A931C7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17747"/>
    <w:rsid w:val="00B4279B"/>
    <w:rsid w:val="00B45FC9"/>
    <w:rsid w:val="00B510E6"/>
    <w:rsid w:val="00B83461"/>
    <w:rsid w:val="00BA5BA7"/>
    <w:rsid w:val="00BB6531"/>
    <w:rsid w:val="00BC0075"/>
    <w:rsid w:val="00BC7CCF"/>
    <w:rsid w:val="00BD54CA"/>
    <w:rsid w:val="00BD67EF"/>
    <w:rsid w:val="00BE470B"/>
    <w:rsid w:val="00C018E7"/>
    <w:rsid w:val="00C323AF"/>
    <w:rsid w:val="00C32400"/>
    <w:rsid w:val="00C34AE7"/>
    <w:rsid w:val="00C57A91"/>
    <w:rsid w:val="00C60EEB"/>
    <w:rsid w:val="00C740E1"/>
    <w:rsid w:val="00C960B3"/>
    <w:rsid w:val="00CA0AE2"/>
    <w:rsid w:val="00CA2AA1"/>
    <w:rsid w:val="00CA4D9F"/>
    <w:rsid w:val="00CB43AF"/>
    <w:rsid w:val="00CC01C2"/>
    <w:rsid w:val="00CD59FA"/>
    <w:rsid w:val="00CF141F"/>
    <w:rsid w:val="00CF21F2"/>
    <w:rsid w:val="00CF3197"/>
    <w:rsid w:val="00D022F1"/>
    <w:rsid w:val="00D02712"/>
    <w:rsid w:val="00D214D0"/>
    <w:rsid w:val="00D6546B"/>
    <w:rsid w:val="00DA2F8E"/>
    <w:rsid w:val="00DB12F7"/>
    <w:rsid w:val="00DC36AC"/>
    <w:rsid w:val="00DC4133"/>
    <w:rsid w:val="00DC76FB"/>
    <w:rsid w:val="00DD4BED"/>
    <w:rsid w:val="00DE039E"/>
    <w:rsid w:val="00DE39F0"/>
    <w:rsid w:val="00DF0AF3"/>
    <w:rsid w:val="00E06CA9"/>
    <w:rsid w:val="00E17CCC"/>
    <w:rsid w:val="00E21FE2"/>
    <w:rsid w:val="00E27D7E"/>
    <w:rsid w:val="00E34935"/>
    <w:rsid w:val="00E34BFC"/>
    <w:rsid w:val="00E42E13"/>
    <w:rsid w:val="00E6257C"/>
    <w:rsid w:val="00E63C59"/>
    <w:rsid w:val="00E8747F"/>
    <w:rsid w:val="00E978B0"/>
    <w:rsid w:val="00EE32F5"/>
    <w:rsid w:val="00F05940"/>
    <w:rsid w:val="00F4644A"/>
    <w:rsid w:val="00F54DF5"/>
    <w:rsid w:val="00F85826"/>
    <w:rsid w:val="00FA124A"/>
    <w:rsid w:val="00FA21D2"/>
    <w:rsid w:val="00FC08DD"/>
    <w:rsid w:val="00FC2316"/>
    <w:rsid w:val="00FC2CFD"/>
    <w:rsid w:val="00FD06C7"/>
    <w:rsid w:val="00FE540B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10B1C20"/>
  <w15:docId w15:val="{60F5CD2D-F1D4-4B59-BCC5-6670C634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paragraph" w:customStyle="1" w:styleId="TableText0">
    <w:name w:val="Table_Text"/>
    <w:basedOn w:val="Normal"/>
    <w:rsid w:val="009F261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paragraph" w:customStyle="1" w:styleId="Default">
    <w:name w:val="Default"/>
    <w:rsid w:val="001D7E58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B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7BC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7BCA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7BCA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87BC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sccaworkshop.com/" TargetMode="External"/><Relationship Id="rId18" Type="http://schemas.openxmlformats.org/officeDocument/2006/relationships/hyperlink" Target="http://www.itu.int/md/T13-SG11-151202-TD-GEN-0895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md/T13-SG11-COL-000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T13-TSB-CIR-0179/en" TargetMode="External"/><Relationship Id="rId17" Type="http://schemas.openxmlformats.org/officeDocument/2006/relationships/hyperlink" Target="http://www.itu.int/md/T13-SG11-COL-0009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3-2016/11/Documents/Guideline-TL-rec-pro.pdf" TargetMode="External"/><Relationship Id="rId20" Type="http://schemas.openxmlformats.org/officeDocument/2006/relationships/hyperlink" Target="mailto:tsbsg11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conformity-interoperability/20150112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3-2016/11/Pages/CASC.aspx" TargetMode="External"/><Relationship Id="rId23" Type="http://schemas.openxmlformats.org/officeDocument/2006/relationships/footer" Target="footer1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https://www.itu.int/en/ITU-T/studygroups/2013-2016/11/Pages/CASC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md/T13-TSB-CIR-0177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es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B563-9214-4627-9A9F-9C5EAB54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0</TotalTime>
  <Pages>2</Pages>
  <Words>758</Words>
  <Characters>5081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Angeles-Leon De Vivero, Rosa</dc:creator>
  <cp:keywords/>
  <dc:description>SG11-Coll9EAdd1E.docx  For: _x000d_Document date: _x000d_Saved by R02 at 15:14:41 on 10/11/2015</dc:description>
  <cp:lastModifiedBy>Bettini, Nadine</cp:lastModifiedBy>
  <cp:revision>2</cp:revision>
  <cp:lastPrinted>2014-12-16T13:41:00Z</cp:lastPrinted>
  <dcterms:created xsi:type="dcterms:W3CDTF">2015-11-10T14:51:00Z</dcterms:created>
  <dcterms:modified xsi:type="dcterms:W3CDTF">2015-11-10T14:51:00Z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SG11-Coll9EAdd1E.docx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