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3D5ED6">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3D5ED6">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6DCEE2A5" wp14:editId="34D9C90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3D5ED6">
            <w:pPr>
              <w:tabs>
                <w:tab w:val="right" w:pos="8732"/>
              </w:tabs>
              <w:spacing w:before="0"/>
              <w:rPr>
                <w:rFonts w:ascii="Verdana" w:hAnsi="Verdana"/>
                <w:b/>
                <w:bCs/>
                <w:iCs/>
                <w:sz w:val="18"/>
                <w:szCs w:val="18"/>
              </w:rPr>
            </w:pPr>
          </w:p>
        </w:tc>
        <w:tc>
          <w:tcPr>
            <w:tcW w:w="3261" w:type="dxa"/>
            <w:vAlign w:val="center"/>
          </w:tcPr>
          <w:p w:rsidR="00F346AB" w:rsidRPr="00F50108" w:rsidRDefault="00F346AB" w:rsidP="003D5ED6">
            <w:pPr>
              <w:spacing w:before="0"/>
              <w:ind w:left="993" w:hanging="993"/>
              <w:jc w:val="right"/>
              <w:rPr>
                <w:rFonts w:ascii="Verdana" w:hAnsi="Verdana"/>
                <w:sz w:val="18"/>
                <w:szCs w:val="18"/>
                <w:lang w:val="en-US"/>
              </w:rPr>
            </w:pPr>
          </w:p>
        </w:tc>
      </w:tr>
    </w:tbl>
    <w:p w:rsidR="0063445E" w:rsidRDefault="0063445E" w:rsidP="003D5ED6">
      <w:pPr>
        <w:pStyle w:val="Index1"/>
        <w:tabs>
          <w:tab w:val="clear" w:pos="794"/>
          <w:tab w:val="clear" w:pos="1191"/>
          <w:tab w:val="clear" w:pos="1588"/>
          <w:tab w:val="clear" w:pos="1985"/>
          <w:tab w:val="left" w:pos="5387"/>
        </w:tabs>
        <w:rPr>
          <w:lang w:eastAsia="zh-CN"/>
        </w:rPr>
      </w:pPr>
    </w:p>
    <w:p w:rsidR="0063445E" w:rsidRDefault="0063445E" w:rsidP="00197D0E">
      <w:pPr>
        <w:pStyle w:val="Index1"/>
        <w:tabs>
          <w:tab w:val="clear" w:pos="794"/>
          <w:tab w:val="clear" w:pos="1191"/>
          <w:tab w:val="clear" w:pos="1588"/>
          <w:tab w:val="clear" w:pos="1985"/>
          <w:tab w:val="left" w:pos="5387"/>
        </w:tabs>
        <w:rPr>
          <w:lang w:eastAsia="zh-CN"/>
        </w:rPr>
      </w:pPr>
      <w:r>
        <w:rPr>
          <w:lang w:eastAsia="zh-CN"/>
        </w:rPr>
        <w:tab/>
      </w:r>
      <w:r w:rsidR="0025696A">
        <w:rPr>
          <w:rFonts w:hint="eastAsia"/>
          <w:sz w:val="23"/>
          <w:szCs w:val="23"/>
          <w:lang w:eastAsia="zh-CN"/>
        </w:rPr>
        <w:t>2012</w:t>
      </w:r>
      <w:r w:rsidR="0025696A" w:rsidRPr="0033229B">
        <w:rPr>
          <w:rFonts w:hint="eastAsia"/>
          <w:szCs w:val="24"/>
          <w:lang w:eastAsia="zh-CN"/>
        </w:rPr>
        <w:t>年</w:t>
      </w:r>
      <w:r w:rsidR="00197D0E">
        <w:rPr>
          <w:szCs w:val="24"/>
          <w:lang w:eastAsia="zh-CN"/>
        </w:rPr>
        <w:t>9</w:t>
      </w:r>
      <w:r w:rsidR="0025696A" w:rsidRPr="0033229B">
        <w:rPr>
          <w:rFonts w:hint="eastAsia"/>
          <w:szCs w:val="24"/>
          <w:lang w:eastAsia="zh-CN"/>
        </w:rPr>
        <w:t>月</w:t>
      </w:r>
      <w:r w:rsidR="00197D0E">
        <w:rPr>
          <w:szCs w:val="24"/>
          <w:lang w:eastAsia="zh-CN"/>
        </w:rPr>
        <w:t>25</w:t>
      </w:r>
      <w:r w:rsidR="0025696A" w:rsidRPr="0033229B">
        <w:rPr>
          <w:rFonts w:hint="eastAsia"/>
          <w:szCs w:val="24"/>
          <w:lang w:eastAsia="zh-CN"/>
        </w:rPr>
        <w:t>日，日内瓦</w:t>
      </w:r>
    </w:p>
    <w:p w:rsidR="0063445E" w:rsidRDefault="0063445E" w:rsidP="003D5ED6"/>
    <w:tbl>
      <w:tblPr>
        <w:tblW w:w="9980" w:type="dxa"/>
        <w:tblInd w:w="-107" w:type="dxa"/>
        <w:tblLayout w:type="fixed"/>
        <w:tblCellMar>
          <w:left w:w="0" w:type="dxa"/>
          <w:right w:w="0" w:type="dxa"/>
        </w:tblCellMar>
        <w:tblLook w:val="0000" w:firstRow="0" w:lastRow="0" w:firstColumn="0" w:lastColumn="0" w:noHBand="0" w:noVBand="0"/>
      </w:tblPr>
      <w:tblGrid>
        <w:gridCol w:w="115"/>
        <w:gridCol w:w="985"/>
        <w:gridCol w:w="8"/>
        <w:gridCol w:w="4436"/>
        <w:gridCol w:w="2643"/>
        <w:gridCol w:w="1793"/>
      </w:tblGrid>
      <w:tr w:rsidR="0063445E" w:rsidTr="00197D0E">
        <w:trPr>
          <w:gridBefore w:val="1"/>
          <w:wBefore w:w="115" w:type="dxa"/>
          <w:cantSplit/>
        </w:trPr>
        <w:tc>
          <w:tcPr>
            <w:tcW w:w="993" w:type="dxa"/>
            <w:gridSpan w:val="2"/>
          </w:tcPr>
          <w:p w:rsidR="0063445E" w:rsidRPr="00841612" w:rsidRDefault="0063445E" w:rsidP="003D5ED6">
            <w:pPr>
              <w:tabs>
                <w:tab w:val="left" w:pos="4111"/>
              </w:tabs>
              <w:spacing w:before="10"/>
              <w:rPr>
                <w:szCs w:val="24"/>
                <w:lang w:eastAsia="zh-CN"/>
              </w:rPr>
            </w:pPr>
            <w:r w:rsidRPr="00841612">
              <w:rPr>
                <w:rFonts w:hint="eastAsia"/>
                <w:szCs w:val="24"/>
                <w:lang w:eastAsia="zh-CN"/>
              </w:rPr>
              <w:t>文号：</w:t>
            </w:r>
          </w:p>
          <w:p w:rsidR="0063445E" w:rsidRPr="00841612" w:rsidRDefault="0063445E" w:rsidP="003D5ED6">
            <w:pPr>
              <w:tabs>
                <w:tab w:val="left" w:pos="4111"/>
              </w:tabs>
              <w:spacing w:before="10"/>
              <w:rPr>
                <w:szCs w:val="24"/>
              </w:rPr>
            </w:pPr>
          </w:p>
          <w:p w:rsidR="0063445E" w:rsidRPr="00841612" w:rsidRDefault="0063445E" w:rsidP="003D5ED6">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3D5ED6">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A05328" w:rsidRDefault="0025696A" w:rsidP="00197D0E">
            <w:pPr>
              <w:tabs>
                <w:tab w:val="left" w:pos="4111"/>
              </w:tabs>
              <w:spacing w:before="0"/>
              <w:ind w:left="57"/>
              <w:rPr>
                <w:b/>
                <w:lang w:eastAsia="zh-CN"/>
              </w:rPr>
            </w:pPr>
            <w:r>
              <w:rPr>
                <w:rFonts w:ascii="Futura Lt BT" w:hAnsi="Futura Lt BT" w:hint="eastAsia"/>
                <w:b/>
                <w:bCs/>
                <w:iCs/>
                <w:lang w:eastAsia="zh-CN"/>
              </w:rPr>
              <w:t>电信标准化局第</w:t>
            </w:r>
            <w:r w:rsidR="00197D0E">
              <w:rPr>
                <w:b/>
                <w:lang w:eastAsia="zh-CN"/>
              </w:rPr>
              <w:t>313</w:t>
            </w:r>
            <w:r>
              <w:rPr>
                <w:rFonts w:ascii="Futura Lt BT" w:hAnsi="Futura Lt BT" w:hint="eastAsia"/>
                <w:b/>
                <w:bCs/>
                <w:iCs/>
                <w:lang w:val="fr-CH" w:eastAsia="zh-CN"/>
              </w:rPr>
              <w:t>号</w:t>
            </w:r>
            <w:r>
              <w:rPr>
                <w:rFonts w:hint="eastAsia"/>
                <w:b/>
                <w:lang w:eastAsia="zh-CN"/>
              </w:rPr>
              <w:t>通函</w:t>
            </w:r>
          </w:p>
          <w:p w:rsidR="0063445E" w:rsidRPr="00841612" w:rsidRDefault="00837695" w:rsidP="00A05328">
            <w:pPr>
              <w:tabs>
                <w:tab w:val="left" w:pos="4111"/>
              </w:tabs>
              <w:spacing w:before="0"/>
              <w:ind w:left="57"/>
              <w:rPr>
                <w:b/>
                <w:szCs w:val="24"/>
                <w:lang w:eastAsia="zh-CN"/>
              </w:rPr>
            </w:pPr>
            <w:r>
              <w:rPr>
                <w:rFonts w:hint="eastAsia"/>
                <w:lang w:eastAsia="zh-CN"/>
              </w:rPr>
              <w:t>COM 1</w:t>
            </w:r>
            <w:r w:rsidR="00600E5C">
              <w:rPr>
                <w:lang w:eastAsia="zh-CN"/>
              </w:rPr>
              <w:t>7</w:t>
            </w:r>
            <w:r>
              <w:rPr>
                <w:rFonts w:hint="eastAsia"/>
                <w:lang w:eastAsia="zh-CN"/>
              </w:rPr>
              <w:t>/</w:t>
            </w:r>
            <w:r w:rsidR="00600E5C">
              <w:rPr>
                <w:lang w:eastAsia="zh-CN"/>
              </w:rPr>
              <w:t>MEU</w:t>
            </w:r>
          </w:p>
          <w:p w:rsidR="005C26FD" w:rsidRPr="00841612" w:rsidRDefault="0025696A" w:rsidP="00600E5C">
            <w:pPr>
              <w:tabs>
                <w:tab w:val="left" w:pos="4111"/>
              </w:tabs>
              <w:spacing w:before="80"/>
              <w:rPr>
                <w:szCs w:val="24"/>
                <w:lang w:val="en-US" w:eastAsia="zh-CN"/>
              </w:rPr>
            </w:pPr>
            <w:r>
              <w:rPr>
                <w:szCs w:val="24"/>
                <w:lang w:eastAsia="zh-CN"/>
              </w:rPr>
              <w:br/>
            </w:r>
            <w:r w:rsidR="00A5210E">
              <w:rPr>
                <w:lang w:eastAsia="zh-CN"/>
              </w:rPr>
              <w:t xml:space="preserve">+41 22 730 </w:t>
            </w:r>
            <w:r w:rsidR="00600E5C">
              <w:rPr>
                <w:lang w:eastAsia="zh-CN"/>
              </w:rPr>
              <w:t>5866</w:t>
            </w:r>
          </w:p>
          <w:p w:rsidR="0063445E" w:rsidRPr="00841612" w:rsidRDefault="00A5210E" w:rsidP="003D5ED6">
            <w:pPr>
              <w:tabs>
                <w:tab w:val="left" w:pos="4111"/>
              </w:tabs>
              <w:spacing w:before="40"/>
              <w:rPr>
                <w:szCs w:val="24"/>
                <w:lang w:eastAsia="zh-CN"/>
              </w:rPr>
            </w:pPr>
            <w:r>
              <w:rPr>
                <w:lang w:eastAsia="zh-CN"/>
              </w:rPr>
              <w:t>+41 22 730 5853</w:t>
            </w:r>
          </w:p>
        </w:tc>
        <w:tc>
          <w:tcPr>
            <w:tcW w:w="4436" w:type="dxa"/>
            <w:gridSpan w:val="2"/>
          </w:tcPr>
          <w:p w:rsidR="0025696A" w:rsidRDefault="0025696A" w:rsidP="001360BC">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Pr>
                <w:rFonts w:hint="eastAsia"/>
                <w:lang w:eastAsia="zh-CN"/>
              </w:rPr>
              <w:t>致国际电联各成员国主管部门</w:t>
            </w:r>
          </w:p>
          <w:p w:rsidR="00837695" w:rsidRDefault="00837695" w:rsidP="00197D0E">
            <w:pPr>
              <w:tabs>
                <w:tab w:val="clear" w:pos="794"/>
                <w:tab w:val="clear" w:pos="1191"/>
                <w:tab w:val="clear" w:pos="1588"/>
                <w:tab w:val="clear" w:pos="1985"/>
                <w:tab w:val="left" w:pos="274"/>
              </w:tabs>
              <w:spacing w:before="0"/>
              <w:rPr>
                <w:lang w:eastAsia="zh-CN"/>
              </w:rPr>
            </w:pPr>
          </w:p>
        </w:tc>
      </w:tr>
      <w:tr w:rsidR="0063445E" w:rsidTr="00197D0E">
        <w:trPr>
          <w:gridBefore w:val="1"/>
          <w:wBefore w:w="115" w:type="dxa"/>
          <w:cantSplit/>
        </w:trPr>
        <w:tc>
          <w:tcPr>
            <w:tcW w:w="993" w:type="dxa"/>
            <w:gridSpan w:val="2"/>
          </w:tcPr>
          <w:p w:rsidR="0063445E" w:rsidRPr="00841612" w:rsidRDefault="0063445E" w:rsidP="003D5ED6">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F50B99" w:rsidP="00600E5C">
            <w:pPr>
              <w:tabs>
                <w:tab w:val="left" w:pos="4111"/>
              </w:tabs>
              <w:spacing w:before="60"/>
              <w:rPr>
                <w:lang w:eastAsia="zh-CN"/>
              </w:rPr>
            </w:pPr>
            <w:hyperlink r:id="rId10" w:history="1">
              <w:r w:rsidR="00600E5C" w:rsidRPr="00A474A7">
                <w:rPr>
                  <w:rStyle w:val="Hyperlink"/>
                </w:rPr>
                <w:t>tsbjcacop@itu.int</w:t>
              </w:r>
            </w:hyperlink>
          </w:p>
          <w:p w:rsidR="007568DA" w:rsidRPr="00841612" w:rsidRDefault="007568DA" w:rsidP="003D5ED6">
            <w:pPr>
              <w:tabs>
                <w:tab w:val="left" w:pos="4111"/>
              </w:tabs>
              <w:spacing w:before="40"/>
              <w:rPr>
                <w:szCs w:val="24"/>
                <w:lang w:eastAsia="zh-CN"/>
              </w:rPr>
            </w:pPr>
          </w:p>
        </w:tc>
        <w:tc>
          <w:tcPr>
            <w:tcW w:w="4436" w:type="dxa"/>
            <w:gridSpan w:val="2"/>
          </w:tcPr>
          <w:p w:rsidR="00197D0E" w:rsidRPr="00197D0E" w:rsidRDefault="0025696A" w:rsidP="00197D0E">
            <w:pPr>
              <w:tabs>
                <w:tab w:val="clear" w:pos="794"/>
                <w:tab w:val="left" w:pos="284"/>
                <w:tab w:val="left" w:pos="4111"/>
              </w:tabs>
              <w:spacing w:before="0"/>
              <w:ind w:left="57"/>
              <w:rPr>
                <w:b/>
                <w:bCs/>
                <w:lang w:eastAsia="zh-CN"/>
              </w:rPr>
            </w:pPr>
            <w:r>
              <w:rPr>
                <w:rFonts w:hint="eastAsia"/>
                <w:b/>
                <w:bCs/>
                <w:lang w:eastAsia="zh-CN"/>
              </w:rPr>
              <w:t>抄送：</w:t>
            </w:r>
          </w:p>
          <w:p w:rsidR="00197D0E" w:rsidRDefault="00197D0E" w:rsidP="00AD3491">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197D0E" w:rsidRDefault="00197D0E" w:rsidP="00AD3491">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p>
          <w:p w:rsidR="00197D0E" w:rsidRPr="00197D0E" w:rsidRDefault="00197D0E" w:rsidP="00197D0E">
            <w:pPr>
              <w:tabs>
                <w:tab w:val="clear" w:pos="794"/>
                <w:tab w:val="clear" w:pos="1191"/>
                <w:tab w:val="clear" w:pos="1588"/>
                <w:tab w:val="clear" w:pos="1985"/>
                <w:tab w:val="left" w:pos="284"/>
              </w:tabs>
              <w:spacing w:before="0"/>
              <w:rPr>
                <w:lang w:val="en-US" w:eastAsia="zh-CN"/>
              </w:rPr>
            </w:pP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r>
              <w:rPr>
                <w:rFonts w:hint="eastAsia"/>
                <w:lang w:eastAsia="zh-CN"/>
              </w:rPr>
              <w:t>；</w:t>
            </w:r>
          </w:p>
          <w:p w:rsidR="0025696A" w:rsidRDefault="0025696A" w:rsidP="006A1765">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sidR="006A1765">
              <w:rPr>
                <w:rFonts w:hint="eastAsia"/>
                <w:lang w:val="en-US" w:eastAsia="zh-CN"/>
              </w:rPr>
              <w:t>第</w:t>
            </w:r>
            <w:r w:rsidR="006A1765">
              <w:rPr>
                <w:rFonts w:hint="eastAsia"/>
                <w:lang w:val="en-US" w:eastAsia="zh-CN"/>
              </w:rPr>
              <w:t>17</w:t>
            </w:r>
            <w:r>
              <w:rPr>
                <w:rFonts w:hint="eastAsia"/>
                <w:lang w:eastAsia="zh-CN"/>
              </w:rPr>
              <w:t>研究组正副主席；</w:t>
            </w:r>
          </w:p>
          <w:p w:rsidR="0025696A" w:rsidRDefault="0025696A" w:rsidP="003D5ED6">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电信发展局主任；</w:t>
            </w:r>
          </w:p>
          <w:p w:rsidR="006A1765" w:rsidRPr="00600E5C" w:rsidRDefault="00A73B72" w:rsidP="001360BC">
            <w:pPr>
              <w:tabs>
                <w:tab w:val="clear" w:pos="794"/>
                <w:tab w:val="clear" w:pos="1191"/>
                <w:tab w:val="clear" w:pos="1588"/>
                <w:tab w:val="clear" w:pos="1985"/>
                <w:tab w:val="left" w:pos="263"/>
              </w:tabs>
              <w:spacing w:before="0"/>
              <w:ind w:left="23" w:firstLine="14"/>
              <w:rPr>
                <w:lang w:val="en-US" w:eastAsia="zh-CN"/>
              </w:rPr>
            </w:pPr>
            <w:r>
              <w:rPr>
                <w:rFonts w:hint="eastAsia"/>
                <w:lang w:eastAsia="zh-CN"/>
              </w:rPr>
              <w:t>-</w:t>
            </w:r>
            <w:r>
              <w:rPr>
                <w:rFonts w:hint="eastAsia"/>
                <w:lang w:eastAsia="zh-CN"/>
              </w:rPr>
              <w:tab/>
            </w:r>
            <w:r w:rsidR="0025696A">
              <w:rPr>
                <w:rFonts w:hint="eastAsia"/>
                <w:lang w:eastAsia="zh-CN"/>
              </w:rPr>
              <w:t>无线电通信局主任</w:t>
            </w:r>
          </w:p>
          <w:p w:rsidR="0063445E" w:rsidRDefault="0063445E" w:rsidP="003D5ED6">
            <w:pPr>
              <w:tabs>
                <w:tab w:val="clear" w:pos="794"/>
                <w:tab w:val="clear" w:pos="1191"/>
                <w:tab w:val="clear" w:pos="1588"/>
                <w:tab w:val="clear" w:pos="1985"/>
                <w:tab w:val="left" w:pos="284"/>
              </w:tabs>
              <w:spacing w:before="0"/>
              <w:ind w:left="284" w:hanging="284"/>
              <w:rPr>
                <w:lang w:eastAsia="zh-CN"/>
              </w:rPr>
            </w:pPr>
          </w:p>
        </w:tc>
      </w:tr>
      <w:tr w:rsidR="00600E5C" w:rsidTr="00197D0E">
        <w:trPr>
          <w:gridBefore w:val="1"/>
          <w:wBefore w:w="115" w:type="dxa"/>
          <w:cantSplit/>
        </w:trPr>
        <w:tc>
          <w:tcPr>
            <w:tcW w:w="993" w:type="dxa"/>
            <w:gridSpan w:val="2"/>
          </w:tcPr>
          <w:p w:rsidR="00600E5C" w:rsidRPr="00841612" w:rsidRDefault="00600E5C" w:rsidP="003D5ED6">
            <w:pPr>
              <w:spacing w:before="40"/>
              <w:rPr>
                <w:szCs w:val="24"/>
                <w:lang w:eastAsia="zh-CN"/>
              </w:rPr>
            </w:pPr>
          </w:p>
        </w:tc>
        <w:tc>
          <w:tcPr>
            <w:tcW w:w="4436" w:type="dxa"/>
          </w:tcPr>
          <w:p w:rsidR="00600E5C" w:rsidRDefault="00600E5C" w:rsidP="00600E5C">
            <w:pPr>
              <w:tabs>
                <w:tab w:val="left" w:pos="4111"/>
              </w:tabs>
              <w:spacing w:before="60"/>
              <w:rPr>
                <w:lang w:eastAsia="zh-CN"/>
              </w:rPr>
            </w:pPr>
          </w:p>
        </w:tc>
        <w:tc>
          <w:tcPr>
            <w:tcW w:w="4436" w:type="dxa"/>
            <w:gridSpan w:val="2"/>
          </w:tcPr>
          <w:p w:rsidR="00600E5C" w:rsidRDefault="00600E5C" w:rsidP="003D5ED6">
            <w:pPr>
              <w:tabs>
                <w:tab w:val="clear" w:pos="794"/>
                <w:tab w:val="left" w:pos="284"/>
                <w:tab w:val="left" w:pos="4111"/>
              </w:tabs>
              <w:spacing w:before="0"/>
              <w:ind w:left="57"/>
              <w:rPr>
                <w:b/>
                <w:bCs/>
                <w:lang w:eastAsia="zh-CN"/>
              </w:rPr>
            </w:pPr>
          </w:p>
        </w:tc>
      </w:tr>
      <w:tr w:rsidR="0063445E" w:rsidTr="00197D0E">
        <w:tblPrEx>
          <w:tblCellMar>
            <w:left w:w="107" w:type="dxa"/>
            <w:right w:w="107" w:type="dxa"/>
          </w:tblCellMar>
        </w:tblPrEx>
        <w:trPr>
          <w:gridAfter w:val="1"/>
          <w:wAfter w:w="1793" w:type="dxa"/>
          <w:cantSplit/>
        </w:trPr>
        <w:tc>
          <w:tcPr>
            <w:tcW w:w="1100" w:type="dxa"/>
            <w:gridSpan w:val="2"/>
          </w:tcPr>
          <w:p w:rsidR="0063445E" w:rsidRDefault="0063445E" w:rsidP="003D5ED6">
            <w:pPr>
              <w:tabs>
                <w:tab w:val="left" w:pos="4111"/>
              </w:tabs>
              <w:spacing w:before="10"/>
              <w:ind w:left="57"/>
              <w:rPr>
                <w:sz w:val="22"/>
                <w:lang w:eastAsia="zh-CN"/>
              </w:rPr>
            </w:pPr>
            <w:r>
              <w:rPr>
                <w:rFonts w:hint="eastAsia"/>
                <w:sz w:val="22"/>
                <w:lang w:eastAsia="zh-CN"/>
              </w:rPr>
              <w:t>事由：</w:t>
            </w:r>
          </w:p>
        </w:tc>
        <w:tc>
          <w:tcPr>
            <w:tcW w:w="7087" w:type="dxa"/>
            <w:gridSpan w:val="3"/>
          </w:tcPr>
          <w:p w:rsidR="004113DC" w:rsidRDefault="004113DC" w:rsidP="006A1765">
            <w:pPr>
              <w:tabs>
                <w:tab w:val="left" w:pos="4111"/>
              </w:tabs>
              <w:spacing w:before="0"/>
              <w:ind w:left="57" w:right="28"/>
              <w:rPr>
                <w:b/>
                <w:lang w:eastAsia="zh-CN"/>
              </w:rPr>
            </w:pPr>
            <w:r>
              <w:rPr>
                <w:rFonts w:hint="eastAsia"/>
                <w:b/>
                <w:lang w:eastAsia="zh-CN"/>
              </w:rPr>
              <w:t>有关</w:t>
            </w:r>
            <w:r w:rsidR="00A60003">
              <w:rPr>
                <w:rFonts w:hint="eastAsia"/>
                <w:b/>
                <w:lang w:eastAsia="zh-CN"/>
              </w:rPr>
              <w:t>保护上网儿童</w:t>
            </w:r>
            <w:r>
              <w:rPr>
                <w:rFonts w:hint="eastAsia"/>
                <w:b/>
                <w:lang w:eastAsia="zh-CN"/>
              </w:rPr>
              <w:t>的联合协调活动（</w:t>
            </w:r>
            <w:r>
              <w:rPr>
                <w:b/>
                <w:lang w:eastAsia="zh-CN"/>
              </w:rPr>
              <w:t>JCA-C</w:t>
            </w:r>
            <w:r w:rsidR="00A60003">
              <w:rPr>
                <w:rFonts w:hint="eastAsia"/>
                <w:b/>
                <w:lang w:eastAsia="zh-CN"/>
              </w:rPr>
              <w:t>OP</w:t>
            </w:r>
            <w:r>
              <w:rPr>
                <w:rFonts w:hint="eastAsia"/>
                <w:b/>
                <w:lang w:eastAsia="zh-CN"/>
              </w:rPr>
              <w:t>）</w:t>
            </w:r>
          </w:p>
          <w:p w:rsidR="004113DC" w:rsidRDefault="004113DC" w:rsidP="003D5ED6">
            <w:pPr>
              <w:tabs>
                <w:tab w:val="left" w:pos="4111"/>
              </w:tabs>
              <w:spacing w:before="0"/>
              <w:ind w:left="57" w:right="28"/>
              <w:rPr>
                <w:lang w:eastAsia="zh-CN"/>
              </w:rPr>
            </w:pPr>
          </w:p>
        </w:tc>
      </w:tr>
    </w:tbl>
    <w:p w:rsidR="0025696A" w:rsidRDefault="0025696A" w:rsidP="003D5ED6">
      <w:pPr>
        <w:spacing w:before="100" w:after="20"/>
        <w:rPr>
          <w:lang w:eastAsia="zh-CN"/>
        </w:rPr>
      </w:pPr>
      <w:bookmarkStart w:id="2" w:name="StartTyping_E"/>
      <w:bookmarkEnd w:id="2"/>
      <w:r>
        <w:rPr>
          <w:rFonts w:hint="eastAsia"/>
          <w:lang w:eastAsia="zh-CN"/>
        </w:rPr>
        <w:t>尊敬的先生</w:t>
      </w:r>
      <w:r>
        <w:rPr>
          <w:rFonts w:hint="eastAsia"/>
          <w:lang w:eastAsia="zh-CN"/>
        </w:rPr>
        <w:t>/</w:t>
      </w:r>
      <w:r w:rsidR="00B42A2E">
        <w:rPr>
          <w:rFonts w:hint="eastAsia"/>
          <w:lang w:eastAsia="zh-CN"/>
        </w:rPr>
        <w:t>女士：</w:t>
      </w:r>
    </w:p>
    <w:p w:rsidR="00CD03A9" w:rsidRPr="00547D4A" w:rsidRDefault="00CD03A9" w:rsidP="00B42A2E">
      <w:pPr>
        <w:ind w:right="-170"/>
        <w:rPr>
          <w:lang w:eastAsia="zh-CN"/>
        </w:rPr>
      </w:pPr>
      <w:bookmarkStart w:id="3" w:name="suitetext"/>
      <w:bookmarkStart w:id="4" w:name="text"/>
      <w:bookmarkEnd w:id="3"/>
      <w:bookmarkEnd w:id="4"/>
      <w:r w:rsidRPr="00764748">
        <w:rPr>
          <w:bCs/>
          <w:lang w:eastAsia="zh-CN"/>
        </w:rPr>
        <w:t>1</w:t>
      </w:r>
      <w:r w:rsidRPr="00764748">
        <w:rPr>
          <w:lang w:eastAsia="zh-CN"/>
        </w:rPr>
        <w:tab/>
      </w:r>
      <w:r w:rsidR="007C3A55">
        <w:rPr>
          <w:rFonts w:hint="eastAsia"/>
          <w:lang w:eastAsia="zh-CN"/>
        </w:rPr>
        <w:t>由</w:t>
      </w:r>
      <w:r w:rsidR="007C3A55">
        <w:rPr>
          <w:rFonts w:hint="eastAsia"/>
          <w:lang w:eastAsia="zh-CN"/>
        </w:rPr>
        <w:t>ITU-T</w:t>
      </w:r>
      <w:r w:rsidR="007C3A55">
        <w:rPr>
          <w:rFonts w:hint="eastAsia"/>
          <w:lang w:eastAsia="zh-CN"/>
        </w:rPr>
        <w:t>第</w:t>
      </w:r>
      <w:r w:rsidR="007C3A55">
        <w:rPr>
          <w:rFonts w:hint="eastAsia"/>
          <w:lang w:eastAsia="zh-CN"/>
        </w:rPr>
        <w:t>17</w:t>
      </w:r>
      <w:r w:rsidR="007C3A55">
        <w:rPr>
          <w:rFonts w:hint="eastAsia"/>
          <w:lang w:eastAsia="zh-CN"/>
        </w:rPr>
        <w:t>研究组</w:t>
      </w:r>
      <w:r w:rsidR="00286323">
        <w:rPr>
          <w:rFonts w:hint="eastAsia"/>
          <w:lang w:eastAsia="zh-CN"/>
        </w:rPr>
        <w:t>提任</w:t>
      </w:r>
      <w:r w:rsidR="006C041C">
        <w:rPr>
          <w:rFonts w:hint="eastAsia"/>
          <w:lang w:eastAsia="zh-CN"/>
        </w:rPr>
        <w:t>主管组的保护上网儿童联合协调活动（</w:t>
      </w:r>
      <w:r w:rsidR="006C041C">
        <w:rPr>
          <w:rFonts w:hint="eastAsia"/>
          <w:lang w:eastAsia="zh-CN"/>
        </w:rPr>
        <w:t>JCA-COP</w:t>
      </w:r>
      <w:r w:rsidR="006C041C">
        <w:rPr>
          <w:rFonts w:hint="eastAsia"/>
          <w:lang w:eastAsia="zh-CN"/>
        </w:rPr>
        <w:t>）于</w:t>
      </w:r>
      <w:r w:rsidR="006C041C">
        <w:rPr>
          <w:rFonts w:hint="eastAsia"/>
          <w:lang w:eastAsia="zh-CN"/>
        </w:rPr>
        <w:t>2012</w:t>
      </w:r>
      <w:r w:rsidR="006C041C">
        <w:rPr>
          <w:rFonts w:hint="eastAsia"/>
          <w:lang w:eastAsia="zh-CN"/>
        </w:rPr>
        <w:t>年</w:t>
      </w:r>
      <w:r w:rsidR="006C041C">
        <w:rPr>
          <w:rFonts w:hint="eastAsia"/>
          <w:lang w:eastAsia="zh-CN"/>
        </w:rPr>
        <w:t>4</w:t>
      </w:r>
      <w:r w:rsidR="006C041C">
        <w:rPr>
          <w:rFonts w:hint="eastAsia"/>
          <w:lang w:eastAsia="zh-CN"/>
        </w:rPr>
        <w:t>月</w:t>
      </w:r>
      <w:r w:rsidR="006C041C">
        <w:rPr>
          <w:rFonts w:hint="eastAsia"/>
          <w:lang w:eastAsia="zh-CN"/>
        </w:rPr>
        <w:t>30</w:t>
      </w:r>
      <w:r w:rsidR="006C041C">
        <w:rPr>
          <w:rFonts w:hint="eastAsia"/>
          <w:lang w:eastAsia="zh-CN"/>
        </w:rPr>
        <w:t>日得到批准，目的是协调</w:t>
      </w:r>
      <w:r w:rsidR="006C041C">
        <w:rPr>
          <w:rFonts w:hint="eastAsia"/>
          <w:lang w:eastAsia="zh-CN"/>
        </w:rPr>
        <w:t>ITU-T</w:t>
      </w:r>
      <w:r w:rsidR="006C041C">
        <w:rPr>
          <w:rFonts w:hint="eastAsia"/>
          <w:lang w:eastAsia="zh-CN"/>
        </w:rPr>
        <w:t>内部的</w:t>
      </w:r>
      <w:r w:rsidR="006C041C">
        <w:rPr>
          <w:rFonts w:hint="eastAsia"/>
          <w:lang w:eastAsia="zh-CN"/>
        </w:rPr>
        <w:t>COP</w:t>
      </w:r>
      <w:r w:rsidR="006C041C">
        <w:rPr>
          <w:rFonts w:hint="eastAsia"/>
          <w:lang w:eastAsia="zh-CN"/>
        </w:rPr>
        <w:t>活动，了解保护上网儿童（</w:t>
      </w:r>
      <w:r w:rsidR="006C041C">
        <w:rPr>
          <w:rFonts w:hint="eastAsia"/>
          <w:lang w:eastAsia="zh-CN"/>
        </w:rPr>
        <w:t>COP</w:t>
      </w:r>
      <w:r w:rsidR="006C041C">
        <w:rPr>
          <w:rFonts w:hint="eastAsia"/>
          <w:lang w:eastAsia="zh-CN"/>
        </w:rPr>
        <w:t>）活动的现有范围，确保</w:t>
      </w:r>
      <w:r w:rsidR="006C041C">
        <w:rPr>
          <w:rFonts w:hint="eastAsia"/>
          <w:lang w:eastAsia="zh-CN"/>
        </w:rPr>
        <w:t>ITU-T</w:t>
      </w:r>
      <w:r w:rsidR="006C041C">
        <w:rPr>
          <w:rFonts w:hint="eastAsia"/>
          <w:lang w:eastAsia="zh-CN"/>
        </w:rPr>
        <w:t>内的讨论不会重复，或忽视国际电联以外正在开展的相关活动。有关</w:t>
      </w:r>
      <w:r w:rsidR="006C041C">
        <w:rPr>
          <w:rFonts w:hint="eastAsia"/>
          <w:lang w:eastAsia="zh-CN"/>
        </w:rPr>
        <w:t>JCA-COP</w:t>
      </w:r>
      <w:r w:rsidR="006C041C">
        <w:rPr>
          <w:rFonts w:hint="eastAsia"/>
          <w:lang w:eastAsia="zh-CN"/>
        </w:rPr>
        <w:t>职责的更多详细信息见本函</w:t>
      </w:r>
      <w:r w:rsidR="006C041C" w:rsidRPr="006C041C">
        <w:rPr>
          <w:rFonts w:hint="eastAsia"/>
          <w:b/>
          <w:bCs/>
          <w:lang w:eastAsia="zh-CN"/>
        </w:rPr>
        <w:t>附件</w:t>
      </w:r>
      <w:r w:rsidR="006C041C" w:rsidRPr="006C041C">
        <w:rPr>
          <w:rFonts w:hint="eastAsia"/>
          <w:b/>
          <w:bCs/>
          <w:lang w:eastAsia="zh-CN"/>
        </w:rPr>
        <w:t>1</w:t>
      </w:r>
      <w:r w:rsidR="006C041C">
        <w:rPr>
          <w:rFonts w:hint="eastAsia"/>
          <w:lang w:eastAsia="zh-CN"/>
        </w:rPr>
        <w:t>中的职责范围。</w:t>
      </w:r>
    </w:p>
    <w:p w:rsidR="00CD03A9" w:rsidRPr="008D1FFC" w:rsidRDefault="00CD03A9" w:rsidP="008D1FFC">
      <w:pPr>
        <w:rPr>
          <w:lang w:val="en-US" w:eastAsia="zh-CN"/>
        </w:rPr>
      </w:pPr>
      <w:proofErr w:type="gramStart"/>
      <w:r>
        <w:rPr>
          <w:lang w:eastAsia="zh-CN"/>
        </w:rPr>
        <w:t>2</w:t>
      </w:r>
      <w:r w:rsidR="00137E6B">
        <w:rPr>
          <w:rFonts w:hint="eastAsia"/>
          <w:lang w:eastAsia="zh-CN"/>
        </w:rPr>
        <w:tab/>
      </w:r>
      <w:r w:rsidR="008D1FFC">
        <w:rPr>
          <w:rFonts w:hint="eastAsia"/>
          <w:lang w:val="en-US" w:eastAsia="zh-CN"/>
        </w:rPr>
        <w:t>在</w:t>
      </w:r>
      <w:r w:rsidR="008D1FFC">
        <w:rPr>
          <w:rFonts w:hint="eastAsia"/>
          <w:lang w:val="en-US" w:eastAsia="zh-CN"/>
        </w:rPr>
        <w:t>JCA-COP</w:t>
      </w:r>
      <w:r w:rsidR="008D1FFC">
        <w:rPr>
          <w:rFonts w:hint="eastAsia"/>
          <w:lang w:val="en-US" w:eastAsia="zh-CN"/>
        </w:rPr>
        <w:t>首次会议上</w:t>
      </w:r>
      <w:r w:rsidR="00973F0B">
        <w:rPr>
          <w:rFonts w:hint="eastAsia"/>
          <w:lang w:val="en-US" w:eastAsia="zh-CN"/>
        </w:rPr>
        <w:t>（</w:t>
      </w:r>
      <w:r w:rsidR="00973F0B">
        <w:rPr>
          <w:rFonts w:hint="eastAsia"/>
          <w:lang w:val="en-US" w:eastAsia="zh-CN"/>
        </w:rPr>
        <w:t>2012</w:t>
      </w:r>
      <w:r w:rsidR="00973F0B">
        <w:rPr>
          <w:rFonts w:hint="eastAsia"/>
          <w:lang w:val="en-US" w:eastAsia="zh-CN"/>
        </w:rPr>
        <w:t>年</w:t>
      </w:r>
      <w:r w:rsidR="00973F0B">
        <w:rPr>
          <w:rFonts w:hint="eastAsia"/>
          <w:lang w:val="en-US" w:eastAsia="zh-CN"/>
        </w:rPr>
        <w:t>8</w:t>
      </w:r>
      <w:r w:rsidR="00973F0B">
        <w:rPr>
          <w:rFonts w:hint="eastAsia"/>
          <w:lang w:val="en-US" w:eastAsia="zh-CN"/>
        </w:rPr>
        <w:t>月</w:t>
      </w:r>
      <w:r w:rsidR="00973F0B">
        <w:rPr>
          <w:rFonts w:hint="eastAsia"/>
          <w:lang w:val="en-US" w:eastAsia="zh-CN"/>
        </w:rPr>
        <w:t>30</w:t>
      </w:r>
      <w:r w:rsidR="00973F0B">
        <w:rPr>
          <w:rFonts w:hint="eastAsia"/>
          <w:lang w:val="en-US" w:eastAsia="zh-CN"/>
        </w:rPr>
        <w:t>日）</w:t>
      </w:r>
      <w:r w:rsidR="008D1FFC">
        <w:rPr>
          <w:rFonts w:hint="eastAsia"/>
          <w:lang w:val="en-US" w:eastAsia="zh-CN"/>
        </w:rPr>
        <w:t>，与会代表一致同意对在贵国积极开展保护上网儿童（</w:t>
      </w:r>
      <w:r w:rsidR="008D1FFC">
        <w:rPr>
          <w:rFonts w:hint="eastAsia"/>
          <w:lang w:val="en-US" w:eastAsia="zh-CN"/>
        </w:rPr>
        <w:t>COP</w:t>
      </w:r>
      <w:r w:rsidR="008D1FFC">
        <w:rPr>
          <w:rFonts w:hint="eastAsia"/>
          <w:lang w:val="en-US" w:eastAsia="zh-CN"/>
        </w:rPr>
        <w:t>）活动的相关组织予以提名，以便他们参加该联合协调活动，介绍相关经验。</w:t>
      </w:r>
      <w:proofErr w:type="gramEnd"/>
    </w:p>
    <w:p w:rsidR="00024F4D" w:rsidRDefault="00CD03A9" w:rsidP="00024F4D">
      <w:pPr>
        <w:rPr>
          <w:lang w:eastAsia="zh-CN"/>
        </w:rPr>
      </w:pPr>
      <w:proofErr w:type="gramStart"/>
      <w:r>
        <w:rPr>
          <w:lang w:eastAsia="zh-CN"/>
        </w:rPr>
        <w:t>3</w:t>
      </w:r>
      <w:r>
        <w:rPr>
          <w:lang w:eastAsia="zh-CN"/>
        </w:rPr>
        <w:tab/>
      </w:r>
      <w:r w:rsidR="00B8511D">
        <w:rPr>
          <w:rFonts w:hint="eastAsia"/>
          <w:bCs/>
          <w:lang w:eastAsia="zh-CN"/>
        </w:rPr>
        <w:t>因此，请贵方提供在贵国开展活动的组织名称及其详细联系方式，以便我们与之进行联系，确定他们将参加</w:t>
      </w:r>
      <w:r w:rsidR="00B8511D">
        <w:rPr>
          <w:rFonts w:hint="eastAsia"/>
          <w:bCs/>
          <w:lang w:eastAsia="zh-CN"/>
        </w:rPr>
        <w:t>JCA-COP</w:t>
      </w:r>
      <w:r w:rsidR="00B8511D">
        <w:rPr>
          <w:rFonts w:hint="eastAsia"/>
          <w:bCs/>
          <w:lang w:eastAsia="zh-CN"/>
        </w:rPr>
        <w:t>，并向</w:t>
      </w:r>
      <w:r w:rsidR="00B8511D">
        <w:rPr>
          <w:rFonts w:hint="eastAsia"/>
          <w:bCs/>
          <w:lang w:eastAsia="zh-CN"/>
        </w:rPr>
        <w:t>JCA</w:t>
      </w:r>
      <w:r w:rsidR="00B8511D">
        <w:rPr>
          <w:rFonts w:hint="eastAsia"/>
          <w:bCs/>
          <w:lang w:eastAsia="zh-CN"/>
        </w:rPr>
        <w:t>其它参与代表分享其经验、工作和活动。</w:t>
      </w:r>
      <w:proofErr w:type="gramEnd"/>
    </w:p>
    <w:p w:rsidR="00CD03A9" w:rsidRPr="00024F4D" w:rsidRDefault="00024F4D" w:rsidP="00024F4D">
      <w:pPr>
        <w:rPr>
          <w:lang w:val="en-US" w:eastAsia="zh-CN"/>
        </w:rPr>
      </w:pPr>
      <w:proofErr w:type="gramStart"/>
      <w:r>
        <w:rPr>
          <w:rFonts w:hint="eastAsia"/>
          <w:lang w:eastAsia="zh-CN"/>
        </w:rPr>
        <w:t>4</w:t>
      </w:r>
      <w:r w:rsidR="00CD03A9">
        <w:rPr>
          <w:lang w:eastAsia="zh-CN"/>
        </w:rPr>
        <w:tab/>
      </w:r>
      <w:r w:rsidR="00B83BAD">
        <w:rPr>
          <w:rFonts w:hint="eastAsia"/>
          <w:bCs/>
          <w:lang w:eastAsia="zh-CN"/>
        </w:rPr>
        <w:t>除对参加</w:t>
      </w:r>
      <w:r w:rsidR="00B83BAD">
        <w:rPr>
          <w:rFonts w:hint="eastAsia"/>
          <w:bCs/>
          <w:lang w:eastAsia="zh-CN"/>
        </w:rPr>
        <w:t>JCA-COP</w:t>
      </w:r>
      <w:r w:rsidR="00B83BAD">
        <w:rPr>
          <w:rFonts w:hint="eastAsia"/>
          <w:bCs/>
          <w:lang w:eastAsia="zh-CN"/>
        </w:rPr>
        <w:t>的个人进行提名外，我们还诚请贵方确定贵方认为</w:t>
      </w:r>
      <w:r>
        <w:rPr>
          <w:rFonts w:hint="eastAsia"/>
          <w:bCs/>
          <w:lang w:eastAsia="zh-CN"/>
        </w:rPr>
        <w:t>JCA-COP</w:t>
      </w:r>
      <w:r>
        <w:rPr>
          <w:rFonts w:hint="eastAsia"/>
          <w:bCs/>
          <w:lang w:eastAsia="zh-CN"/>
        </w:rPr>
        <w:t>应了解的、与</w:t>
      </w:r>
      <w:r>
        <w:rPr>
          <w:rFonts w:hint="eastAsia"/>
          <w:bCs/>
          <w:lang w:eastAsia="zh-CN"/>
        </w:rPr>
        <w:t>COP</w:t>
      </w:r>
      <w:r>
        <w:rPr>
          <w:rFonts w:hint="eastAsia"/>
          <w:bCs/>
          <w:lang w:eastAsia="zh-CN"/>
        </w:rPr>
        <w:t>相关（见后</w:t>
      </w:r>
      <w:r>
        <w:rPr>
          <w:rFonts w:hint="eastAsia"/>
          <w:bCs/>
          <w:lang w:val="en-US" w:eastAsia="zh-CN"/>
        </w:rPr>
        <w:t>附职责范围）的任何工作、问题和活动，供各与会代表进行参考。</w:t>
      </w:r>
      <w:proofErr w:type="gramEnd"/>
    </w:p>
    <w:p w:rsidR="00B46C99" w:rsidRDefault="00B46C99" w:rsidP="001360BC">
      <w:pPr>
        <w:tabs>
          <w:tab w:val="left" w:pos="1418"/>
          <w:tab w:val="left" w:pos="1702"/>
          <w:tab w:val="left" w:pos="2160"/>
        </w:tabs>
        <w:spacing w:before="0"/>
        <w:rPr>
          <w:lang w:eastAsia="zh-CN"/>
        </w:rPr>
      </w:pPr>
    </w:p>
    <w:p w:rsidR="00B46C99" w:rsidRDefault="0025696A" w:rsidP="00B46C99">
      <w:pPr>
        <w:tabs>
          <w:tab w:val="left" w:pos="1418"/>
          <w:tab w:val="left" w:pos="1702"/>
          <w:tab w:val="left" w:pos="2160"/>
        </w:tabs>
        <w:rPr>
          <w:lang w:eastAsia="zh-CN"/>
        </w:rPr>
      </w:pPr>
      <w:bookmarkStart w:id="5" w:name="_InMacro_"/>
      <w:bookmarkEnd w:id="5"/>
      <w:r>
        <w:rPr>
          <w:rFonts w:hint="eastAsia"/>
          <w:lang w:eastAsia="zh-CN"/>
        </w:rPr>
        <w:t>顺致敬意！</w:t>
      </w:r>
    </w:p>
    <w:p w:rsidR="00B46C99" w:rsidRDefault="00B46C99" w:rsidP="001360BC">
      <w:pPr>
        <w:tabs>
          <w:tab w:val="left" w:pos="1418"/>
          <w:tab w:val="left" w:pos="1702"/>
          <w:tab w:val="left" w:pos="2160"/>
        </w:tabs>
        <w:spacing w:before="360"/>
        <w:rPr>
          <w:lang w:eastAsia="zh-CN"/>
        </w:rPr>
      </w:pPr>
    </w:p>
    <w:p w:rsidR="00B46C99" w:rsidRDefault="0025696A" w:rsidP="00B46C99">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7F63B2" w:rsidRDefault="007F63B2" w:rsidP="00B46C99">
      <w:pPr>
        <w:tabs>
          <w:tab w:val="left" w:pos="1418"/>
          <w:tab w:val="left" w:pos="1702"/>
          <w:tab w:val="left" w:pos="2160"/>
        </w:tabs>
        <w:spacing w:before="100" w:after="20"/>
        <w:ind w:right="91"/>
        <w:rPr>
          <w:lang w:eastAsia="zh-CN"/>
        </w:rPr>
      </w:pPr>
    </w:p>
    <w:p w:rsidR="00745976" w:rsidRPr="00CB329A" w:rsidRDefault="00D66FDD" w:rsidP="007F63B2">
      <w:pPr>
        <w:tabs>
          <w:tab w:val="left" w:pos="1418"/>
          <w:tab w:val="left" w:pos="1702"/>
          <w:tab w:val="left" w:pos="2160"/>
        </w:tabs>
        <w:spacing w:after="20"/>
        <w:ind w:right="91"/>
        <w:rPr>
          <w:b/>
          <w:bCs/>
          <w:lang w:eastAsia="zh-CN"/>
        </w:rPr>
      </w:pPr>
      <w:r w:rsidRPr="00CB329A">
        <w:rPr>
          <w:rFonts w:hint="eastAsia"/>
          <w:b/>
          <w:bCs/>
          <w:lang w:eastAsia="zh-CN"/>
        </w:rPr>
        <w:t>附件：</w:t>
      </w:r>
      <w:r w:rsidR="00745976" w:rsidRPr="006F4A0D">
        <w:rPr>
          <w:lang w:eastAsia="zh-CN"/>
        </w:rPr>
        <w:t>1</w:t>
      </w:r>
      <w:r w:rsidRPr="006F4A0D">
        <w:rPr>
          <w:rFonts w:hint="eastAsia"/>
          <w:lang w:eastAsia="zh-CN"/>
        </w:rPr>
        <w:t>件</w:t>
      </w:r>
    </w:p>
    <w:p w:rsidR="00745976" w:rsidRPr="00F32430" w:rsidRDefault="00F32430" w:rsidP="001360BC">
      <w:pPr>
        <w:pStyle w:val="AppendixRef"/>
        <w:rPr>
          <w:rFonts w:eastAsia="SimSun"/>
          <w:sz w:val="28"/>
          <w:szCs w:val="28"/>
          <w:lang w:eastAsia="zh-CN"/>
        </w:rPr>
      </w:pPr>
      <w:r w:rsidRPr="00F32430">
        <w:rPr>
          <w:rFonts w:eastAsia="SimSun" w:hint="eastAsia"/>
          <w:sz w:val="28"/>
          <w:szCs w:val="28"/>
          <w:lang w:eastAsia="zh-CN"/>
        </w:rPr>
        <w:lastRenderedPageBreak/>
        <w:t>（电信标准化局第</w:t>
      </w:r>
      <w:r w:rsidRPr="00F32430">
        <w:rPr>
          <w:rFonts w:eastAsia="SimSun" w:hint="eastAsia"/>
          <w:sz w:val="28"/>
          <w:szCs w:val="28"/>
          <w:lang w:eastAsia="zh-CN"/>
        </w:rPr>
        <w:t>313</w:t>
      </w:r>
      <w:r w:rsidRPr="00F32430">
        <w:rPr>
          <w:rFonts w:eastAsia="SimSun" w:hint="eastAsia"/>
          <w:sz w:val="28"/>
          <w:szCs w:val="28"/>
          <w:lang w:eastAsia="zh-CN"/>
        </w:rPr>
        <w:t>号通函）</w:t>
      </w:r>
      <w:r>
        <w:rPr>
          <w:rFonts w:eastAsia="SimSun"/>
          <w:sz w:val="28"/>
          <w:szCs w:val="28"/>
          <w:lang w:eastAsia="zh-CN"/>
        </w:rPr>
        <w:br/>
      </w:r>
      <w:r w:rsidR="00A2019A" w:rsidRPr="00F32430">
        <w:rPr>
          <w:rFonts w:eastAsia="SimSun" w:hint="eastAsia"/>
          <w:sz w:val="28"/>
          <w:szCs w:val="28"/>
          <w:lang w:eastAsia="zh-CN"/>
        </w:rPr>
        <w:t>附件</w:t>
      </w:r>
      <w:r w:rsidR="00A2019A" w:rsidRPr="00F32430">
        <w:rPr>
          <w:rFonts w:eastAsia="SimSun"/>
          <w:sz w:val="28"/>
          <w:szCs w:val="28"/>
          <w:lang w:eastAsia="zh-CN"/>
        </w:rPr>
        <w:t>1</w:t>
      </w:r>
    </w:p>
    <w:p w:rsidR="00456EC9" w:rsidRDefault="00456EC9" w:rsidP="003D5ED6">
      <w:pPr>
        <w:spacing w:before="80"/>
        <w:jc w:val="center"/>
        <w:rPr>
          <w:b/>
          <w:lang w:eastAsia="zh-CN"/>
        </w:rPr>
      </w:pPr>
    </w:p>
    <w:p w:rsidR="00745976" w:rsidRDefault="00D04707" w:rsidP="003D5ED6">
      <w:pPr>
        <w:spacing w:before="80"/>
        <w:jc w:val="center"/>
        <w:rPr>
          <w:b/>
          <w:lang w:eastAsia="zh-CN"/>
        </w:rPr>
      </w:pPr>
      <w:r>
        <w:rPr>
          <w:rFonts w:hint="eastAsia"/>
          <w:b/>
          <w:lang w:eastAsia="zh-CN"/>
        </w:rPr>
        <w:t>保护上网儿童</w:t>
      </w:r>
      <w:r w:rsidR="0033200C">
        <w:rPr>
          <w:rFonts w:hint="eastAsia"/>
          <w:b/>
          <w:lang w:eastAsia="zh-CN"/>
        </w:rPr>
        <w:t>联合协调活动（</w:t>
      </w:r>
      <w:r w:rsidR="0033200C">
        <w:rPr>
          <w:b/>
          <w:lang w:eastAsia="zh-CN"/>
        </w:rPr>
        <w:t>JCA-C</w:t>
      </w:r>
      <w:r>
        <w:rPr>
          <w:rFonts w:hint="eastAsia"/>
          <w:b/>
          <w:lang w:eastAsia="zh-CN"/>
        </w:rPr>
        <w:t>OP</w:t>
      </w:r>
      <w:r w:rsidR="0033200C">
        <w:rPr>
          <w:rFonts w:hint="eastAsia"/>
          <w:b/>
          <w:lang w:eastAsia="zh-CN"/>
        </w:rPr>
        <w:t>）的职责范围</w:t>
      </w:r>
    </w:p>
    <w:p w:rsidR="00745976" w:rsidRDefault="006D464E" w:rsidP="00D11083">
      <w:pPr>
        <w:pStyle w:val="Heading1"/>
        <w:rPr>
          <w:lang w:eastAsia="zh-CN"/>
        </w:rPr>
      </w:pPr>
      <w:r>
        <w:rPr>
          <w:rFonts w:hint="eastAsia"/>
          <w:lang w:eastAsia="zh-CN"/>
        </w:rPr>
        <w:t>1</w:t>
      </w:r>
      <w:r>
        <w:rPr>
          <w:rFonts w:hint="eastAsia"/>
          <w:lang w:eastAsia="zh-CN"/>
        </w:rPr>
        <w:tab/>
      </w:r>
      <w:r w:rsidR="0033200C">
        <w:rPr>
          <w:rFonts w:hint="eastAsia"/>
          <w:lang w:eastAsia="zh-CN"/>
        </w:rPr>
        <w:t>范围</w:t>
      </w:r>
    </w:p>
    <w:p w:rsidR="00D04707" w:rsidRDefault="00D04707" w:rsidP="004C7FCB">
      <w:pPr>
        <w:ind w:firstLineChars="200" w:firstLine="480"/>
        <w:rPr>
          <w:bCs/>
          <w:lang w:eastAsia="zh-CN"/>
        </w:rPr>
      </w:pPr>
      <w:r w:rsidRPr="00D04707">
        <w:rPr>
          <w:bCs/>
          <w:lang w:eastAsia="zh-CN"/>
        </w:rPr>
        <w:t>JCA-C</w:t>
      </w:r>
      <w:r w:rsidRPr="00D04707">
        <w:rPr>
          <w:rFonts w:hint="eastAsia"/>
          <w:bCs/>
          <w:lang w:eastAsia="zh-CN"/>
        </w:rPr>
        <w:t>OP</w:t>
      </w:r>
      <w:r w:rsidRPr="00D04707">
        <w:rPr>
          <w:rFonts w:hint="eastAsia"/>
          <w:bCs/>
          <w:lang w:eastAsia="zh-CN"/>
        </w:rPr>
        <w:t>的</w:t>
      </w:r>
      <w:r>
        <w:rPr>
          <w:rFonts w:hint="eastAsia"/>
          <w:bCs/>
          <w:lang w:eastAsia="zh-CN"/>
        </w:rPr>
        <w:t>目的</w:t>
      </w:r>
      <w:r w:rsidRPr="00D04707">
        <w:rPr>
          <w:rFonts w:hint="eastAsia"/>
          <w:bCs/>
          <w:lang w:eastAsia="zh-CN"/>
        </w:rPr>
        <w:t>是在</w:t>
      </w:r>
      <w:r w:rsidRPr="00D04707">
        <w:rPr>
          <w:rFonts w:hint="eastAsia"/>
          <w:bCs/>
          <w:lang w:eastAsia="zh-CN"/>
        </w:rPr>
        <w:t>ITU-T</w:t>
      </w:r>
      <w:r w:rsidR="004C7FCB">
        <w:rPr>
          <w:rFonts w:hint="eastAsia"/>
          <w:bCs/>
          <w:lang w:eastAsia="zh-CN"/>
        </w:rPr>
        <w:t>各</w:t>
      </w:r>
      <w:r w:rsidRPr="00D04707">
        <w:rPr>
          <w:rFonts w:hint="eastAsia"/>
          <w:bCs/>
          <w:lang w:eastAsia="zh-CN"/>
        </w:rPr>
        <w:t>研究组之间协调</w:t>
      </w:r>
      <w:r w:rsidRPr="00D04707">
        <w:rPr>
          <w:rFonts w:hint="eastAsia"/>
          <w:bCs/>
          <w:lang w:eastAsia="zh-CN"/>
        </w:rPr>
        <w:t>ITU-T</w:t>
      </w:r>
      <w:r w:rsidRPr="00D04707">
        <w:rPr>
          <w:rFonts w:hint="eastAsia"/>
          <w:bCs/>
          <w:lang w:eastAsia="zh-CN"/>
        </w:rPr>
        <w:t>有关保护上网儿童</w:t>
      </w:r>
      <w:r w:rsidR="008068BF">
        <w:rPr>
          <w:rFonts w:hint="eastAsia"/>
          <w:bCs/>
          <w:lang w:eastAsia="zh-CN"/>
        </w:rPr>
        <w:t>（</w:t>
      </w:r>
      <w:r w:rsidR="008068BF">
        <w:rPr>
          <w:rFonts w:hint="eastAsia"/>
          <w:bCs/>
          <w:lang w:eastAsia="zh-CN"/>
        </w:rPr>
        <w:t>COP</w:t>
      </w:r>
      <w:r w:rsidR="008068BF">
        <w:rPr>
          <w:rFonts w:hint="eastAsia"/>
          <w:bCs/>
          <w:lang w:eastAsia="zh-CN"/>
        </w:rPr>
        <w:t>）</w:t>
      </w:r>
      <w:r w:rsidRPr="00D04707">
        <w:rPr>
          <w:rFonts w:hint="eastAsia"/>
          <w:bCs/>
          <w:lang w:eastAsia="zh-CN"/>
        </w:rPr>
        <w:t>的工作，同时与</w:t>
      </w:r>
      <w:r w:rsidRPr="00D04707">
        <w:rPr>
          <w:rFonts w:hint="eastAsia"/>
          <w:bCs/>
          <w:lang w:eastAsia="zh-CN"/>
        </w:rPr>
        <w:t>ITU-R</w:t>
      </w:r>
      <w:r w:rsidRPr="00D04707">
        <w:rPr>
          <w:rFonts w:hint="eastAsia"/>
          <w:bCs/>
          <w:lang w:eastAsia="zh-CN"/>
        </w:rPr>
        <w:t>和</w:t>
      </w:r>
      <w:r w:rsidRPr="00D04707">
        <w:rPr>
          <w:rFonts w:hint="eastAsia"/>
          <w:bCs/>
          <w:lang w:eastAsia="zh-CN"/>
        </w:rPr>
        <w:t>ITU-D</w:t>
      </w:r>
      <w:r>
        <w:rPr>
          <w:rFonts w:hint="eastAsia"/>
          <w:bCs/>
          <w:lang w:eastAsia="zh-CN"/>
        </w:rPr>
        <w:t>以及理事会保护上网儿童工作组</w:t>
      </w:r>
      <w:r w:rsidRPr="00D04707">
        <w:rPr>
          <w:rFonts w:hint="eastAsia"/>
          <w:bCs/>
          <w:lang w:eastAsia="zh-CN"/>
        </w:rPr>
        <w:t>开展联络。</w:t>
      </w:r>
    </w:p>
    <w:p w:rsidR="006A774F" w:rsidRDefault="00D04707" w:rsidP="00D04707">
      <w:pPr>
        <w:ind w:firstLineChars="200" w:firstLine="480"/>
        <w:rPr>
          <w:lang w:eastAsia="zh-CN"/>
        </w:rPr>
      </w:pPr>
      <w:r w:rsidRPr="00D04707">
        <w:rPr>
          <w:bCs/>
          <w:lang w:eastAsia="zh-CN"/>
        </w:rPr>
        <w:t>JCA-C</w:t>
      </w:r>
      <w:r w:rsidRPr="00D04707">
        <w:rPr>
          <w:rFonts w:hint="eastAsia"/>
          <w:bCs/>
          <w:lang w:eastAsia="zh-CN"/>
        </w:rPr>
        <w:t>OP</w:t>
      </w:r>
      <w:r w:rsidR="00BE7945">
        <w:rPr>
          <w:rFonts w:hint="eastAsia"/>
          <w:lang w:eastAsia="zh-CN"/>
        </w:rPr>
        <w:t>按照</w:t>
      </w:r>
      <w:r w:rsidR="006A774F">
        <w:rPr>
          <w:lang w:eastAsia="zh-CN"/>
        </w:rPr>
        <w:t>ITU-T A.1</w:t>
      </w:r>
      <w:r w:rsidR="006A774F">
        <w:rPr>
          <w:rFonts w:hint="eastAsia"/>
          <w:lang w:eastAsia="zh-CN"/>
        </w:rPr>
        <w:t>建议书第</w:t>
      </w:r>
      <w:r w:rsidR="004C7FCB">
        <w:rPr>
          <w:lang w:eastAsia="zh-CN"/>
        </w:rPr>
        <w:t>2.2</w:t>
      </w:r>
      <w:r w:rsidR="006A774F">
        <w:rPr>
          <w:rFonts w:hint="eastAsia"/>
          <w:lang w:eastAsia="zh-CN"/>
        </w:rPr>
        <w:t>款</w:t>
      </w:r>
      <w:r w:rsidR="00902937">
        <w:rPr>
          <w:rFonts w:hint="eastAsia"/>
          <w:lang w:eastAsia="zh-CN"/>
        </w:rPr>
        <w:t>规定</w:t>
      </w:r>
      <w:r w:rsidR="00BE7945">
        <w:rPr>
          <w:rFonts w:hint="eastAsia"/>
          <w:lang w:eastAsia="zh-CN"/>
        </w:rPr>
        <w:t>的程序</w:t>
      </w:r>
      <w:r w:rsidR="00902937">
        <w:rPr>
          <w:rFonts w:hint="eastAsia"/>
          <w:lang w:eastAsia="zh-CN"/>
        </w:rPr>
        <w:t>运作。</w:t>
      </w:r>
    </w:p>
    <w:p w:rsidR="00745976" w:rsidRDefault="00D11083" w:rsidP="00BD33A6">
      <w:pPr>
        <w:pStyle w:val="Heading1"/>
        <w:rPr>
          <w:lang w:eastAsia="zh-CN"/>
        </w:rPr>
      </w:pPr>
      <w:r>
        <w:rPr>
          <w:rFonts w:hint="eastAsia"/>
          <w:lang w:eastAsia="zh-CN"/>
        </w:rPr>
        <w:t>2</w:t>
      </w:r>
      <w:r w:rsidR="00BD33A6">
        <w:rPr>
          <w:rFonts w:hint="eastAsia"/>
          <w:lang w:eastAsia="zh-CN"/>
        </w:rPr>
        <w:tab/>
      </w:r>
      <w:r w:rsidR="00BD33A6">
        <w:rPr>
          <w:rFonts w:hint="eastAsia"/>
          <w:lang w:eastAsia="zh-CN"/>
        </w:rPr>
        <w:t>理由</w:t>
      </w:r>
    </w:p>
    <w:p w:rsidR="00745976" w:rsidRDefault="00D11083" w:rsidP="00F50B99">
      <w:pPr>
        <w:spacing w:before="60"/>
        <w:ind w:left="794" w:hanging="368"/>
        <w:textAlignment w:val="auto"/>
        <w:rPr>
          <w:lang w:eastAsia="zh-CN"/>
        </w:rPr>
      </w:pPr>
      <w:r w:rsidRPr="005F3250">
        <w:rPr>
          <w:lang w:eastAsia="zh-CN"/>
        </w:rPr>
        <w:t>a)</w:t>
      </w:r>
      <w:r w:rsidR="00D04707">
        <w:rPr>
          <w:rFonts w:hint="eastAsia"/>
          <w:lang w:eastAsia="zh-CN"/>
        </w:rPr>
        <w:tab/>
      </w:r>
      <w:r w:rsidR="00D04707">
        <w:rPr>
          <w:lang w:eastAsia="zh-CN"/>
        </w:rPr>
        <w:t>确保收集保护上网儿童活动的信息。</w:t>
      </w:r>
    </w:p>
    <w:p w:rsidR="00745976" w:rsidRDefault="00D11083" w:rsidP="00F50B99">
      <w:pPr>
        <w:spacing w:before="60"/>
        <w:ind w:left="794" w:hanging="368"/>
        <w:textAlignment w:val="auto"/>
        <w:rPr>
          <w:lang w:eastAsia="zh-CN"/>
        </w:rPr>
      </w:pPr>
      <w:r w:rsidRPr="005F3250">
        <w:rPr>
          <w:lang w:eastAsia="zh-CN"/>
        </w:rPr>
        <w:t>b)</w:t>
      </w:r>
      <w:r w:rsidR="00BD33A6">
        <w:rPr>
          <w:rFonts w:hint="eastAsia"/>
          <w:lang w:eastAsia="zh-CN"/>
        </w:rPr>
        <w:tab/>
      </w:r>
      <w:r w:rsidR="004C7FCB">
        <w:rPr>
          <w:rFonts w:hint="eastAsia"/>
          <w:lang w:eastAsia="zh-CN"/>
        </w:rPr>
        <w:t>了解相关利益攸关</w:t>
      </w:r>
      <w:r w:rsidR="00BD33A6">
        <w:rPr>
          <w:rFonts w:hint="eastAsia"/>
          <w:lang w:eastAsia="zh-CN"/>
        </w:rPr>
        <w:t>方的工作和</w:t>
      </w:r>
      <w:r w:rsidR="00BD33A6">
        <w:rPr>
          <w:rFonts w:hint="eastAsia"/>
          <w:lang w:eastAsia="zh-CN"/>
        </w:rPr>
        <w:t>/</w:t>
      </w:r>
      <w:r w:rsidR="004C7FCB">
        <w:rPr>
          <w:rFonts w:hint="eastAsia"/>
          <w:lang w:eastAsia="zh-CN"/>
        </w:rPr>
        <w:t>或</w:t>
      </w:r>
      <w:r w:rsidR="00BD33A6">
        <w:rPr>
          <w:rFonts w:hint="eastAsia"/>
          <w:lang w:eastAsia="zh-CN"/>
        </w:rPr>
        <w:t>活动。</w:t>
      </w:r>
    </w:p>
    <w:p w:rsidR="00745976" w:rsidRDefault="00D11083" w:rsidP="00F50B99">
      <w:pPr>
        <w:spacing w:before="60"/>
        <w:ind w:left="794" w:hanging="368"/>
        <w:textAlignment w:val="auto"/>
        <w:rPr>
          <w:lang w:eastAsia="zh-CN"/>
        </w:rPr>
      </w:pPr>
      <w:r>
        <w:rPr>
          <w:rFonts w:hint="eastAsia"/>
          <w:lang w:eastAsia="zh-CN"/>
        </w:rPr>
        <w:t>c</w:t>
      </w:r>
      <w:r w:rsidRPr="005F3250">
        <w:rPr>
          <w:lang w:eastAsia="zh-CN"/>
        </w:rPr>
        <w:t>)</w:t>
      </w:r>
      <w:r w:rsidR="00BD33A6">
        <w:rPr>
          <w:rFonts w:hint="eastAsia"/>
          <w:lang w:eastAsia="zh-CN"/>
        </w:rPr>
        <w:tab/>
      </w:r>
      <w:r w:rsidR="004C7FCB">
        <w:rPr>
          <w:lang w:eastAsia="zh-CN"/>
        </w:rPr>
        <w:t>了解有关保护上</w:t>
      </w:r>
      <w:r w:rsidR="004C7FCB">
        <w:rPr>
          <w:rFonts w:hint="eastAsia"/>
          <w:lang w:eastAsia="zh-CN"/>
        </w:rPr>
        <w:t>网</w:t>
      </w:r>
      <w:r w:rsidR="00BD33A6">
        <w:rPr>
          <w:lang w:eastAsia="zh-CN"/>
        </w:rPr>
        <w:t>儿童的法律</w:t>
      </w:r>
      <w:r w:rsidR="00BD33A6">
        <w:rPr>
          <w:rFonts w:hint="eastAsia"/>
          <w:lang w:eastAsia="zh-CN"/>
        </w:rPr>
        <w:t>/</w:t>
      </w:r>
      <w:r w:rsidR="00BD33A6">
        <w:rPr>
          <w:lang w:eastAsia="zh-CN"/>
        </w:rPr>
        <w:t>监管环境。</w:t>
      </w:r>
    </w:p>
    <w:p w:rsidR="00745976" w:rsidRDefault="00BD33A6" w:rsidP="00F50B99">
      <w:pPr>
        <w:spacing w:before="60"/>
        <w:ind w:left="794" w:hanging="368"/>
        <w:textAlignment w:val="auto"/>
        <w:rPr>
          <w:lang w:eastAsia="zh-CN"/>
        </w:rPr>
      </w:pPr>
      <w:r>
        <w:rPr>
          <w:rFonts w:hint="eastAsia"/>
          <w:lang w:eastAsia="zh-CN"/>
        </w:rPr>
        <w:t>d)</w:t>
      </w:r>
      <w:r>
        <w:rPr>
          <w:rFonts w:hint="eastAsia"/>
          <w:lang w:eastAsia="zh-CN"/>
        </w:rPr>
        <w:tab/>
      </w:r>
      <w:r>
        <w:rPr>
          <w:lang w:eastAsia="zh-CN"/>
        </w:rPr>
        <w:t>确定</w:t>
      </w:r>
      <w:r w:rsidR="004C7FCB">
        <w:rPr>
          <w:rFonts w:hint="eastAsia"/>
          <w:lang w:eastAsia="zh-CN"/>
        </w:rPr>
        <w:t>有关</w:t>
      </w:r>
      <w:r>
        <w:rPr>
          <w:lang w:eastAsia="zh-CN"/>
        </w:rPr>
        <w:t>上述保护上网儿童活动的原则。</w:t>
      </w:r>
    </w:p>
    <w:p w:rsidR="00745976" w:rsidRDefault="00D11083" w:rsidP="00D11083">
      <w:pPr>
        <w:pStyle w:val="Heading1"/>
        <w:rPr>
          <w:lang w:eastAsia="zh-CN"/>
        </w:rPr>
      </w:pPr>
      <w:r>
        <w:rPr>
          <w:rFonts w:hint="eastAsia"/>
          <w:lang w:eastAsia="zh-CN"/>
        </w:rPr>
        <w:t>3</w:t>
      </w:r>
      <w:r>
        <w:rPr>
          <w:rFonts w:hint="eastAsia"/>
          <w:lang w:eastAsia="zh-CN"/>
        </w:rPr>
        <w:tab/>
      </w:r>
      <w:r w:rsidR="00BD33A6">
        <w:rPr>
          <w:rFonts w:hint="eastAsia"/>
          <w:lang w:eastAsia="zh-CN"/>
        </w:rPr>
        <w:t>目标</w:t>
      </w:r>
    </w:p>
    <w:p w:rsidR="00BD33A6" w:rsidRDefault="00BD33A6" w:rsidP="00F50B99">
      <w:pPr>
        <w:ind w:left="794" w:hanging="368"/>
        <w:rPr>
          <w:bCs/>
          <w:lang w:eastAsia="zh-CN"/>
        </w:rPr>
      </w:pPr>
      <w:r>
        <w:rPr>
          <w:rFonts w:hint="eastAsia"/>
          <w:lang w:eastAsia="zh-CN"/>
        </w:rPr>
        <w:t>1</w:t>
      </w:r>
      <w:r>
        <w:rPr>
          <w:rFonts w:hint="eastAsia"/>
          <w:lang w:eastAsia="zh-CN"/>
        </w:rPr>
        <w:tab/>
      </w:r>
      <w:r>
        <w:rPr>
          <w:rFonts w:hint="eastAsia"/>
          <w:lang w:eastAsia="zh-CN"/>
        </w:rPr>
        <w:t>协调</w:t>
      </w:r>
      <w:r w:rsidR="00BB724C">
        <w:rPr>
          <w:rFonts w:hint="eastAsia"/>
          <w:lang w:eastAsia="zh-CN"/>
        </w:rPr>
        <w:t>ITU-T</w:t>
      </w:r>
      <w:r>
        <w:rPr>
          <w:rFonts w:hint="eastAsia"/>
          <w:lang w:eastAsia="zh-CN"/>
        </w:rPr>
        <w:t>各研究组，特别是第</w:t>
      </w:r>
      <w:r>
        <w:rPr>
          <w:rFonts w:hint="eastAsia"/>
          <w:lang w:eastAsia="zh-CN"/>
        </w:rPr>
        <w:t>2</w:t>
      </w:r>
      <w:r>
        <w:rPr>
          <w:rFonts w:hint="eastAsia"/>
          <w:lang w:eastAsia="zh-CN"/>
        </w:rPr>
        <w:t>、</w:t>
      </w:r>
      <w:r>
        <w:rPr>
          <w:rFonts w:hint="eastAsia"/>
          <w:lang w:eastAsia="zh-CN"/>
        </w:rPr>
        <w:t>9</w:t>
      </w:r>
      <w:r>
        <w:rPr>
          <w:rFonts w:hint="eastAsia"/>
          <w:lang w:eastAsia="zh-CN"/>
        </w:rPr>
        <w:t>、</w:t>
      </w:r>
      <w:r>
        <w:rPr>
          <w:rFonts w:hint="eastAsia"/>
          <w:lang w:eastAsia="zh-CN"/>
        </w:rPr>
        <w:t>13</w:t>
      </w:r>
      <w:r>
        <w:rPr>
          <w:rFonts w:hint="eastAsia"/>
          <w:lang w:eastAsia="zh-CN"/>
        </w:rPr>
        <w:t>、</w:t>
      </w:r>
      <w:r>
        <w:rPr>
          <w:rFonts w:hint="eastAsia"/>
          <w:lang w:eastAsia="zh-CN"/>
        </w:rPr>
        <w:t>15</w:t>
      </w:r>
      <w:r>
        <w:rPr>
          <w:rFonts w:hint="eastAsia"/>
          <w:lang w:eastAsia="zh-CN"/>
        </w:rPr>
        <w:t>、</w:t>
      </w:r>
      <w:r>
        <w:rPr>
          <w:rFonts w:hint="eastAsia"/>
          <w:lang w:eastAsia="zh-CN"/>
        </w:rPr>
        <w:t>16</w:t>
      </w:r>
      <w:r>
        <w:rPr>
          <w:rFonts w:hint="eastAsia"/>
          <w:lang w:eastAsia="zh-CN"/>
        </w:rPr>
        <w:t>和</w:t>
      </w:r>
      <w:r>
        <w:rPr>
          <w:rFonts w:hint="eastAsia"/>
          <w:lang w:eastAsia="zh-CN"/>
        </w:rPr>
        <w:t>17</w:t>
      </w:r>
      <w:r w:rsidR="004C7FCB">
        <w:rPr>
          <w:rFonts w:hint="eastAsia"/>
          <w:lang w:eastAsia="zh-CN"/>
        </w:rPr>
        <w:t>研究组</w:t>
      </w:r>
      <w:r>
        <w:rPr>
          <w:rFonts w:hint="eastAsia"/>
          <w:lang w:eastAsia="zh-CN"/>
        </w:rPr>
        <w:t>就保护上网儿童开展的活动，</w:t>
      </w:r>
      <w:r w:rsidRPr="00BD33A6">
        <w:rPr>
          <w:rFonts w:hint="eastAsia"/>
          <w:bCs/>
          <w:lang w:eastAsia="zh-CN"/>
        </w:rPr>
        <w:t>同时与</w:t>
      </w:r>
      <w:r w:rsidRPr="00BD33A6">
        <w:rPr>
          <w:rFonts w:hint="eastAsia"/>
          <w:bCs/>
          <w:lang w:eastAsia="zh-CN"/>
        </w:rPr>
        <w:t>ITU-R</w:t>
      </w:r>
      <w:r w:rsidR="004C7FCB">
        <w:rPr>
          <w:rFonts w:hint="eastAsia"/>
          <w:bCs/>
          <w:lang w:eastAsia="zh-CN"/>
        </w:rPr>
        <w:t>、</w:t>
      </w:r>
      <w:r w:rsidRPr="00BD33A6">
        <w:rPr>
          <w:rFonts w:hint="eastAsia"/>
          <w:bCs/>
          <w:lang w:eastAsia="zh-CN"/>
        </w:rPr>
        <w:t>ITU-D</w:t>
      </w:r>
      <w:r w:rsidR="004C7FCB">
        <w:rPr>
          <w:rFonts w:hint="eastAsia"/>
          <w:bCs/>
          <w:lang w:eastAsia="zh-CN"/>
        </w:rPr>
        <w:t>和</w:t>
      </w:r>
      <w:r w:rsidRPr="00BD33A6">
        <w:rPr>
          <w:rFonts w:hint="eastAsia"/>
          <w:bCs/>
          <w:lang w:eastAsia="zh-CN"/>
        </w:rPr>
        <w:t>理事会保护上网儿童工作组</w:t>
      </w:r>
      <w:r>
        <w:rPr>
          <w:rFonts w:hint="eastAsia"/>
          <w:bCs/>
          <w:lang w:eastAsia="zh-CN"/>
        </w:rPr>
        <w:t>开展协调。</w:t>
      </w:r>
    </w:p>
    <w:p w:rsidR="00BD33A6" w:rsidRDefault="00BD33A6" w:rsidP="00F50B99">
      <w:pPr>
        <w:ind w:left="794" w:hanging="368"/>
        <w:rPr>
          <w:bCs/>
          <w:lang w:eastAsia="zh-CN"/>
        </w:rPr>
      </w:pPr>
      <w:proofErr w:type="gramStart"/>
      <w:r>
        <w:rPr>
          <w:rFonts w:hint="eastAsia"/>
          <w:bCs/>
          <w:lang w:eastAsia="zh-CN"/>
        </w:rPr>
        <w:t>2</w:t>
      </w:r>
      <w:r>
        <w:rPr>
          <w:rFonts w:hint="eastAsia"/>
          <w:bCs/>
          <w:lang w:eastAsia="zh-CN"/>
        </w:rPr>
        <w:tab/>
      </w:r>
      <w:r>
        <w:rPr>
          <w:rFonts w:hint="eastAsia"/>
          <w:bCs/>
          <w:lang w:eastAsia="zh-CN"/>
        </w:rPr>
        <w:t>为</w:t>
      </w:r>
      <w:r>
        <w:rPr>
          <w:rFonts w:hint="eastAsia"/>
          <w:bCs/>
          <w:lang w:eastAsia="zh-CN"/>
        </w:rPr>
        <w:t>ITU-T</w:t>
      </w:r>
      <w:r>
        <w:rPr>
          <w:rFonts w:hint="eastAsia"/>
          <w:bCs/>
          <w:lang w:eastAsia="zh-CN"/>
        </w:rPr>
        <w:t>提供有关保护上网儿童的明确联络机构。</w:t>
      </w:r>
      <w:proofErr w:type="gramEnd"/>
    </w:p>
    <w:p w:rsidR="00BD33A6" w:rsidRDefault="00BD33A6" w:rsidP="00F50B99">
      <w:pPr>
        <w:ind w:left="794" w:hanging="368"/>
        <w:rPr>
          <w:bCs/>
          <w:lang w:eastAsia="zh-CN"/>
        </w:rPr>
      </w:pPr>
      <w:r>
        <w:rPr>
          <w:rFonts w:hint="eastAsia"/>
          <w:bCs/>
          <w:lang w:eastAsia="zh-CN"/>
        </w:rPr>
        <w:t>3</w:t>
      </w:r>
      <w:r>
        <w:rPr>
          <w:rFonts w:hint="eastAsia"/>
          <w:bCs/>
          <w:lang w:eastAsia="zh-CN"/>
        </w:rPr>
        <w:tab/>
      </w:r>
      <w:r w:rsidR="004C7FCB">
        <w:rPr>
          <w:rFonts w:hint="eastAsia"/>
          <w:bCs/>
          <w:lang w:eastAsia="zh-CN"/>
        </w:rPr>
        <w:t>与</w:t>
      </w:r>
      <w:r>
        <w:rPr>
          <w:rFonts w:hint="eastAsia"/>
          <w:bCs/>
          <w:lang w:eastAsia="zh-CN"/>
        </w:rPr>
        <w:t>从事保护上网儿童工作的外部机构开展合作并与这些机构开展行之有效的双向沟通。</w:t>
      </w:r>
    </w:p>
    <w:p w:rsidR="00745976" w:rsidRDefault="00D11083" w:rsidP="00D11083">
      <w:pPr>
        <w:pStyle w:val="Heading1"/>
        <w:rPr>
          <w:lang w:eastAsia="zh-CN"/>
        </w:rPr>
      </w:pPr>
      <w:r>
        <w:rPr>
          <w:rFonts w:hint="eastAsia"/>
          <w:lang w:eastAsia="zh-CN"/>
        </w:rPr>
        <w:t>4</w:t>
      </w:r>
      <w:r w:rsidR="00BD33A6">
        <w:rPr>
          <w:rFonts w:hint="eastAsia"/>
          <w:lang w:eastAsia="zh-CN"/>
        </w:rPr>
        <w:tab/>
      </w:r>
      <w:r w:rsidR="00BD33A6">
        <w:rPr>
          <w:rFonts w:hint="eastAsia"/>
          <w:lang w:eastAsia="zh-CN"/>
        </w:rPr>
        <w:t>具体</w:t>
      </w:r>
      <w:r w:rsidR="00C63BAD">
        <w:rPr>
          <w:rFonts w:hint="eastAsia"/>
          <w:lang w:eastAsia="zh-CN"/>
        </w:rPr>
        <w:t>工作</w:t>
      </w:r>
    </w:p>
    <w:p w:rsidR="00C63BAD" w:rsidRPr="00C63BAD" w:rsidRDefault="002477BE" w:rsidP="00F50B99">
      <w:pPr>
        <w:ind w:left="794" w:hanging="368"/>
        <w:rPr>
          <w:lang w:eastAsia="zh-CN"/>
        </w:rPr>
      </w:pPr>
      <w:r>
        <w:rPr>
          <w:rFonts w:hint="eastAsia"/>
          <w:lang w:eastAsia="zh-CN"/>
        </w:rPr>
        <w:t>a)</w:t>
      </w:r>
      <w:r>
        <w:rPr>
          <w:rFonts w:hint="eastAsia"/>
          <w:lang w:eastAsia="zh-CN"/>
        </w:rPr>
        <w:tab/>
      </w:r>
      <w:r w:rsidR="00C63BAD" w:rsidRPr="00C63BAD">
        <w:rPr>
          <w:rFonts w:hint="eastAsia"/>
          <w:lang w:eastAsia="zh-CN"/>
        </w:rPr>
        <w:t>不断完善各研究组</w:t>
      </w:r>
      <w:r w:rsidR="00322566">
        <w:rPr>
          <w:rFonts w:hint="eastAsia"/>
          <w:lang w:eastAsia="zh-CN"/>
        </w:rPr>
        <w:t>的</w:t>
      </w:r>
      <w:r w:rsidR="00C63BAD">
        <w:rPr>
          <w:rFonts w:hint="eastAsia"/>
          <w:lang w:eastAsia="zh-CN"/>
        </w:rPr>
        <w:t>保护上网儿童代表</w:t>
      </w:r>
      <w:r w:rsidR="00C63BAD" w:rsidRPr="00C63BAD">
        <w:rPr>
          <w:rFonts w:hint="eastAsia"/>
          <w:lang w:eastAsia="zh-CN"/>
        </w:rPr>
        <w:t>清单。</w:t>
      </w:r>
    </w:p>
    <w:p w:rsidR="00C63BAD" w:rsidRPr="00C63BAD" w:rsidRDefault="002477BE" w:rsidP="00F50B99">
      <w:pPr>
        <w:ind w:left="794" w:hanging="368"/>
        <w:rPr>
          <w:lang w:eastAsia="zh-CN"/>
        </w:rPr>
      </w:pPr>
      <w:r>
        <w:rPr>
          <w:rFonts w:hint="eastAsia"/>
          <w:lang w:eastAsia="zh-CN"/>
        </w:rPr>
        <w:t>b)</w:t>
      </w:r>
      <w:r>
        <w:rPr>
          <w:rFonts w:hint="eastAsia"/>
          <w:lang w:eastAsia="zh-CN"/>
        </w:rPr>
        <w:tab/>
      </w:r>
      <w:r w:rsidR="00C63BAD" w:rsidRPr="00C63BAD">
        <w:rPr>
          <w:rFonts w:hint="eastAsia"/>
          <w:lang w:eastAsia="zh-CN"/>
        </w:rPr>
        <w:t>不断完善有关外部</w:t>
      </w:r>
      <w:r w:rsidR="00C63BAD">
        <w:rPr>
          <w:rFonts w:hint="eastAsia"/>
          <w:lang w:eastAsia="zh-CN"/>
        </w:rPr>
        <w:t>保护上网儿童</w:t>
      </w:r>
      <w:r w:rsidR="00C63BAD" w:rsidRPr="00C63BAD">
        <w:rPr>
          <w:rFonts w:hint="eastAsia"/>
          <w:lang w:eastAsia="zh-CN"/>
        </w:rPr>
        <w:t>机构</w:t>
      </w:r>
      <w:r w:rsidR="00322566">
        <w:rPr>
          <w:rFonts w:hint="eastAsia"/>
          <w:lang w:eastAsia="zh-CN"/>
        </w:rPr>
        <w:t>内</w:t>
      </w:r>
      <w:r w:rsidR="00C63BAD">
        <w:rPr>
          <w:rFonts w:hint="eastAsia"/>
          <w:lang w:eastAsia="zh-CN"/>
        </w:rPr>
        <w:t>和相关利益攸关方</w:t>
      </w:r>
      <w:r w:rsidR="00C63BAD" w:rsidRPr="00C63BAD">
        <w:rPr>
          <w:rFonts w:hint="eastAsia"/>
          <w:lang w:eastAsia="zh-CN"/>
        </w:rPr>
        <w:t>的指定</w:t>
      </w:r>
      <w:r w:rsidR="00C63BAD">
        <w:rPr>
          <w:rFonts w:hint="eastAsia"/>
          <w:lang w:eastAsia="zh-CN"/>
        </w:rPr>
        <w:t>代表</w:t>
      </w:r>
      <w:r w:rsidR="00C63BAD" w:rsidRPr="00C63BAD">
        <w:rPr>
          <w:rFonts w:hint="eastAsia"/>
          <w:lang w:eastAsia="zh-CN"/>
        </w:rPr>
        <w:t>清单。</w:t>
      </w:r>
    </w:p>
    <w:p w:rsidR="00C63BAD" w:rsidRPr="00C63BAD" w:rsidRDefault="002477BE" w:rsidP="00F50B99">
      <w:pPr>
        <w:ind w:left="794" w:hanging="368"/>
        <w:rPr>
          <w:lang w:eastAsia="zh-CN"/>
        </w:rPr>
      </w:pPr>
      <w:r>
        <w:rPr>
          <w:rFonts w:hint="eastAsia"/>
          <w:lang w:eastAsia="zh-CN"/>
        </w:rPr>
        <w:t>c)</w:t>
      </w:r>
      <w:r>
        <w:rPr>
          <w:rFonts w:hint="eastAsia"/>
          <w:lang w:eastAsia="zh-CN"/>
        </w:rPr>
        <w:tab/>
      </w:r>
      <w:r w:rsidR="00C63BAD">
        <w:rPr>
          <w:rFonts w:hint="eastAsia"/>
          <w:lang w:eastAsia="zh-CN"/>
        </w:rPr>
        <w:t>在利益</w:t>
      </w:r>
      <w:r w:rsidR="00322566">
        <w:rPr>
          <w:rFonts w:hint="eastAsia"/>
          <w:lang w:eastAsia="zh-CN"/>
        </w:rPr>
        <w:t>攸关</w:t>
      </w:r>
      <w:r w:rsidR="00C63BAD">
        <w:rPr>
          <w:rFonts w:hint="eastAsia"/>
          <w:lang w:eastAsia="zh-CN"/>
        </w:rPr>
        <w:t>各方之间交流有关保护上网儿童的信息。</w:t>
      </w:r>
      <w:r w:rsidR="00C63BAD" w:rsidRPr="00C63BAD">
        <w:rPr>
          <w:lang w:eastAsia="zh-CN"/>
        </w:rPr>
        <w:t>JCA-C</w:t>
      </w:r>
      <w:r w:rsidR="00C63BAD" w:rsidRPr="00C63BAD">
        <w:rPr>
          <w:rFonts w:hint="eastAsia"/>
          <w:lang w:eastAsia="zh-CN"/>
        </w:rPr>
        <w:t>OP</w:t>
      </w:r>
      <w:r w:rsidR="00322566">
        <w:rPr>
          <w:rFonts w:hint="eastAsia"/>
          <w:lang w:eastAsia="zh-CN"/>
        </w:rPr>
        <w:t>在必要时可向参与其中的各</w:t>
      </w:r>
      <w:r w:rsidR="00C63BAD">
        <w:rPr>
          <w:rFonts w:hint="eastAsia"/>
          <w:lang w:eastAsia="zh-CN"/>
        </w:rPr>
        <w:t>组织发出联络声明或从这些组织收到联络声明。</w:t>
      </w:r>
    </w:p>
    <w:p w:rsidR="00C63BAD" w:rsidRPr="00C63BAD" w:rsidRDefault="002477BE" w:rsidP="00F50B99">
      <w:pPr>
        <w:ind w:left="794" w:hanging="368"/>
        <w:rPr>
          <w:lang w:eastAsia="zh-CN"/>
        </w:rPr>
      </w:pPr>
      <w:r>
        <w:rPr>
          <w:rFonts w:hint="eastAsia"/>
          <w:lang w:eastAsia="zh-CN"/>
        </w:rPr>
        <w:t>d)</w:t>
      </w:r>
      <w:r>
        <w:rPr>
          <w:rFonts w:hint="eastAsia"/>
          <w:lang w:eastAsia="zh-CN"/>
        </w:rPr>
        <w:tab/>
      </w:r>
      <w:r w:rsidR="00C63BAD">
        <w:rPr>
          <w:rFonts w:hint="eastAsia"/>
          <w:lang w:eastAsia="zh-CN"/>
        </w:rPr>
        <w:t>促进</w:t>
      </w:r>
      <w:r w:rsidR="00322566">
        <w:rPr>
          <w:rFonts w:hint="eastAsia"/>
          <w:lang w:eastAsia="zh-CN"/>
        </w:rPr>
        <w:t>以</w:t>
      </w:r>
      <w:r w:rsidR="00C63BAD">
        <w:rPr>
          <w:rFonts w:hint="eastAsia"/>
          <w:lang w:eastAsia="zh-CN"/>
        </w:rPr>
        <w:t>协调的方式面对根据上述</w:t>
      </w:r>
      <w:r w:rsidR="00322566">
        <w:rPr>
          <w:rFonts w:hint="eastAsia"/>
          <w:lang w:eastAsia="zh-CN"/>
        </w:rPr>
        <w:t>理由</w:t>
      </w:r>
      <w:r w:rsidR="00C63BAD">
        <w:rPr>
          <w:rFonts w:hint="eastAsia"/>
          <w:lang w:eastAsia="zh-CN"/>
        </w:rPr>
        <w:t>所确定的必要的标准化领域。</w:t>
      </w:r>
    </w:p>
    <w:p w:rsidR="00C63BAD" w:rsidRPr="00C63BAD" w:rsidRDefault="002477BE" w:rsidP="00F50B99">
      <w:pPr>
        <w:ind w:left="794" w:hanging="368"/>
        <w:rPr>
          <w:lang w:eastAsia="zh-CN"/>
        </w:rPr>
      </w:pPr>
      <w:r>
        <w:rPr>
          <w:rFonts w:hint="eastAsia"/>
          <w:lang w:eastAsia="zh-CN"/>
        </w:rPr>
        <w:t>e)</w:t>
      </w:r>
      <w:r>
        <w:rPr>
          <w:rFonts w:hint="eastAsia"/>
          <w:lang w:eastAsia="zh-CN"/>
        </w:rPr>
        <w:tab/>
      </w:r>
      <w:r w:rsidR="00C63BAD">
        <w:rPr>
          <w:rFonts w:hint="eastAsia"/>
          <w:lang w:eastAsia="zh-CN"/>
        </w:rPr>
        <w:t>就</w:t>
      </w:r>
      <w:r w:rsidR="00C63BAD" w:rsidRPr="00C63BAD">
        <w:rPr>
          <w:rFonts w:hint="eastAsia"/>
          <w:lang w:eastAsia="zh-CN"/>
        </w:rPr>
        <w:t>培训资料和研讨会</w:t>
      </w:r>
      <w:r w:rsidR="00C63BAD" w:rsidRPr="00C63BAD">
        <w:rPr>
          <w:lang w:eastAsia="zh-CN"/>
        </w:rPr>
        <w:t>/</w:t>
      </w:r>
      <w:r w:rsidR="00C63BAD" w:rsidRPr="00C63BAD">
        <w:rPr>
          <w:rFonts w:hint="eastAsia"/>
          <w:lang w:eastAsia="zh-CN"/>
        </w:rPr>
        <w:t>讲习班的总体规划提供建议。</w:t>
      </w:r>
      <w:r w:rsidR="00C63BAD" w:rsidRPr="00C63BAD">
        <w:rPr>
          <w:lang w:eastAsia="zh-CN"/>
        </w:rPr>
        <w:t xml:space="preserve"> </w:t>
      </w:r>
    </w:p>
    <w:p w:rsidR="00C63BAD" w:rsidRDefault="002477BE" w:rsidP="00F50B99">
      <w:pPr>
        <w:ind w:left="794" w:hanging="368"/>
        <w:rPr>
          <w:lang w:eastAsia="zh-CN"/>
        </w:rPr>
      </w:pPr>
      <w:r>
        <w:rPr>
          <w:rFonts w:hint="eastAsia"/>
          <w:lang w:eastAsia="zh-CN"/>
        </w:rPr>
        <w:t>f)</w:t>
      </w:r>
      <w:r>
        <w:rPr>
          <w:rFonts w:hint="eastAsia"/>
          <w:lang w:eastAsia="zh-CN"/>
        </w:rPr>
        <w:tab/>
      </w:r>
      <w:r w:rsidR="00C63BAD" w:rsidRPr="00C63BAD">
        <w:rPr>
          <w:rFonts w:hint="eastAsia"/>
          <w:lang w:eastAsia="zh-CN"/>
        </w:rPr>
        <w:t>与</w:t>
      </w:r>
      <w:r w:rsidR="00C63BAD">
        <w:rPr>
          <w:rFonts w:hint="eastAsia"/>
          <w:lang w:eastAsia="zh-CN"/>
        </w:rPr>
        <w:t>相关</w:t>
      </w:r>
      <w:r w:rsidR="00C63BAD" w:rsidRPr="00C63BAD">
        <w:rPr>
          <w:rFonts w:hint="eastAsia"/>
          <w:lang w:eastAsia="zh-CN"/>
        </w:rPr>
        <w:t>标准化制定组织和论坛进行活动协调，包括定期讨论</w:t>
      </w:r>
      <w:r w:rsidR="00322566">
        <w:rPr>
          <w:rFonts w:hint="eastAsia"/>
          <w:lang w:eastAsia="zh-CN"/>
        </w:rPr>
        <w:t>有关保护上网儿童的</w:t>
      </w:r>
      <w:r w:rsidR="00C63BAD" w:rsidRPr="00C63BAD">
        <w:rPr>
          <w:rFonts w:hint="eastAsia"/>
          <w:lang w:eastAsia="zh-CN"/>
        </w:rPr>
        <w:t>工作计划和工作成果安排</w:t>
      </w:r>
      <w:r w:rsidR="00C63BAD">
        <w:rPr>
          <w:rFonts w:hint="eastAsia"/>
          <w:lang w:eastAsia="zh-CN"/>
        </w:rPr>
        <w:t>（如有的话）</w:t>
      </w:r>
      <w:r w:rsidR="00C63BAD" w:rsidRPr="00C63BAD">
        <w:rPr>
          <w:rFonts w:hint="eastAsia"/>
          <w:lang w:eastAsia="zh-CN"/>
        </w:rPr>
        <w:t>。</w:t>
      </w:r>
    </w:p>
    <w:p w:rsidR="00AB6C4C" w:rsidRPr="000471BB" w:rsidRDefault="00C63BAD" w:rsidP="00322566">
      <w:pPr>
        <w:pStyle w:val="Heading1"/>
        <w:rPr>
          <w:lang w:eastAsia="zh-CN"/>
        </w:rPr>
      </w:pPr>
      <w:r w:rsidRPr="004271BC">
        <w:rPr>
          <w:rFonts w:hint="eastAsia"/>
          <w:lang w:eastAsia="zh-CN"/>
        </w:rPr>
        <w:t>5</w:t>
      </w:r>
      <w:r w:rsidR="004271BC" w:rsidRPr="004271BC">
        <w:rPr>
          <w:rFonts w:hint="eastAsia"/>
          <w:lang w:eastAsia="zh-CN"/>
        </w:rPr>
        <w:tab/>
      </w:r>
      <w:r w:rsidRPr="004271BC">
        <w:rPr>
          <w:rFonts w:hint="eastAsia"/>
          <w:lang w:eastAsia="zh-CN"/>
        </w:rPr>
        <w:t>成员</w:t>
      </w:r>
    </w:p>
    <w:p w:rsidR="004271BC" w:rsidRDefault="004271BC" w:rsidP="00322566">
      <w:pPr>
        <w:ind w:firstLineChars="200" w:firstLine="480"/>
        <w:rPr>
          <w:lang w:eastAsia="zh-CN"/>
        </w:rPr>
      </w:pPr>
      <w:r>
        <w:rPr>
          <w:lang w:eastAsia="zh-CN"/>
        </w:rPr>
        <w:t>根据</w:t>
      </w:r>
      <w:r>
        <w:rPr>
          <w:rFonts w:hint="eastAsia"/>
          <w:lang w:eastAsia="zh-CN"/>
        </w:rPr>
        <w:t>ITU-T A.1</w:t>
      </w:r>
      <w:r>
        <w:rPr>
          <w:rFonts w:hint="eastAsia"/>
          <w:lang w:eastAsia="zh-CN"/>
        </w:rPr>
        <w:t>建议书</w:t>
      </w:r>
      <w:r w:rsidR="00322566">
        <w:rPr>
          <w:rFonts w:hint="eastAsia"/>
          <w:lang w:eastAsia="zh-CN"/>
        </w:rPr>
        <w:t>第</w:t>
      </w:r>
      <w:r w:rsidR="00322566">
        <w:rPr>
          <w:rFonts w:hint="eastAsia"/>
          <w:lang w:eastAsia="zh-CN"/>
        </w:rPr>
        <w:t>2.2.3</w:t>
      </w:r>
      <w:r w:rsidR="00322566">
        <w:rPr>
          <w:rFonts w:hint="eastAsia"/>
          <w:lang w:eastAsia="zh-CN"/>
        </w:rPr>
        <w:t>款</w:t>
      </w:r>
      <w:r>
        <w:rPr>
          <w:rFonts w:hint="eastAsia"/>
          <w:lang w:eastAsia="zh-CN"/>
        </w:rPr>
        <w:t>，</w:t>
      </w:r>
      <w:r w:rsidRPr="004271BC">
        <w:rPr>
          <w:bCs/>
          <w:lang w:eastAsia="zh-CN"/>
        </w:rPr>
        <w:t>JCA-C</w:t>
      </w:r>
      <w:r w:rsidRPr="004271BC">
        <w:rPr>
          <w:rFonts w:hint="eastAsia"/>
          <w:bCs/>
          <w:lang w:eastAsia="zh-CN"/>
        </w:rPr>
        <w:t>OP</w:t>
      </w:r>
      <w:r w:rsidRPr="004271BC">
        <w:rPr>
          <w:lang w:eastAsia="zh-CN"/>
        </w:rPr>
        <w:t>是开放性的，但（为限制其规模）</w:t>
      </w:r>
      <w:r w:rsidRPr="004271BC">
        <w:rPr>
          <w:rFonts w:hint="eastAsia"/>
          <w:lang w:eastAsia="zh-CN"/>
        </w:rPr>
        <w:t>应</w:t>
      </w:r>
      <w:r>
        <w:rPr>
          <w:lang w:eastAsia="zh-CN"/>
        </w:rPr>
        <w:t>主要限</w:t>
      </w:r>
      <w:r>
        <w:rPr>
          <w:rFonts w:hint="eastAsia"/>
          <w:lang w:eastAsia="zh-CN"/>
        </w:rPr>
        <w:t>于</w:t>
      </w:r>
      <w:r w:rsidR="00322566">
        <w:rPr>
          <w:rFonts w:hint="eastAsia"/>
          <w:lang w:eastAsia="zh-CN"/>
        </w:rPr>
        <w:t>来自</w:t>
      </w:r>
      <w:r>
        <w:rPr>
          <w:rFonts w:hint="eastAsia"/>
          <w:lang w:eastAsia="zh-CN"/>
        </w:rPr>
        <w:t>ITU-T</w:t>
      </w:r>
      <w:r>
        <w:rPr>
          <w:rFonts w:hint="eastAsia"/>
          <w:lang w:eastAsia="zh-CN"/>
        </w:rPr>
        <w:t>、</w:t>
      </w:r>
      <w:r>
        <w:rPr>
          <w:rFonts w:hint="eastAsia"/>
          <w:lang w:eastAsia="zh-CN"/>
        </w:rPr>
        <w:t>ITU-R</w:t>
      </w:r>
      <w:r>
        <w:rPr>
          <w:rFonts w:hint="eastAsia"/>
          <w:lang w:eastAsia="zh-CN"/>
        </w:rPr>
        <w:t>和</w:t>
      </w:r>
      <w:r>
        <w:rPr>
          <w:rFonts w:hint="eastAsia"/>
          <w:lang w:eastAsia="zh-CN"/>
        </w:rPr>
        <w:t>ITU-D</w:t>
      </w:r>
      <w:r w:rsidRPr="004271BC">
        <w:rPr>
          <w:lang w:eastAsia="zh-CN"/>
        </w:rPr>
        <w:t>相关研究组</w:t>
      </w:r>
      <w:r>
        <w:rPr>
          <w:rFonts w:hint="eastAsia"/>
          <w:lang w:eastAsia="zh-CN"/>
        </w:rPr>
        <w:t>以及理事会保护上网儿童工作组</w:t>
      </w:r>
      <w:r w:rsidRPr="004271BC">
        <w:rPr>
          <w:lang w:eastAsia="zh-CN"/>
        </w:rPr>
        <w:t>的正式代表参加。</w:t>
      </w:r>
      <w:r w:rsidRPr="004271BC">
        <w:rPr>
          <w:bCs/>
          <w:lang w:eastAsia="zh-CN"/>
        </w:rPr>
        <w:lastRenderedPageBreak/>
        <w:t>JCA-C</w:t>
      </w:r>
      <w:r w:rsidRPr="004271BC">
        <w:rPr>
          <w:rFonts w:hint="eastAsia"/>
          <w:bCs/>
          <w:lang w:eastAsia="zh-CN"/>
        </w:rPr>
        <w:t>OP</w:t>
      </w:r>
      <w:r w:rsidRPr="004271BC">
        <w:rPr>
          <w:lang w:eastAsia="zh-CN"/>
        </w:rPr>
        <w:t>还可以酌情</w:t>
      </w:r>
      <w:r>
        <w:rPr>
          <w:lang w:eastAsia="zh-CN"/>
        </w:rPr>
        <w:t>邀请</w:t>
      </w:r>
      <w:r w:rsidRPr="004271BC">
        <w:rPr>
          <w:lang w:eastAsia="zh-CN"/>
        </w:rPr>
        <w:t>专家和其它</w:t>
      </w:r>
      <w:r>
        <w:rPr>
          <w:lang w:eastAsia="zh-CN"/>
        </w:rPr>
        <w:t>标准制定组织</w:t>
      </w:r>
      <w:r w:rsidRPr="004271BC">
        <w:rPr>
          <w:lang w:eastAsia="zh-CN"/>
        </w:rPr>
        <w:t>及论坛的代表参加。所有参与</w:t>
      </w:r>
      <w:r>
        <w:rPr>
          <w:rFonts w:hint="eastAsia"/>
          <w:lang w:eastAsia="zh-CN"/>
        </w:rPr>
        <w:t>者</w:t>
      </w:r>
      <w:r w:rsidRPr="004271BC">
        <w:rPr>
          <w:lang w:eastAsia="zh-CN"/>
        </w:rPr>
        <w:t>都应严格按照</w:t>
      </w:r>
      <w:r w:rsidRPr="004271BC">
        <w:rPr>
          <w:lang w:eastAsia="zh-CN"/>
        </w:rPr>
        <w:t>JCA</w:t>
      </w:r>
      <w:r w:rsidRPr="004271BC">
        <w:rPr>
          <w:lang w:eastAsia="zh-CN"/>
        </w:rPr>
        <w:t>的宗旨</w:t>
      </w:r>
      <w:r w:rsidRPr="004271BC">
        <w:rPr>
          <w:rFonts w:hint="eastAsia"/>
          <w:lang w:eastAsia="zh-CN"/>
        </w:rPr>
        <w:t>向</w:t>
      </w:r>
      <w:r w:rsidRPr="004271BC">
        <w:rPr>
          <w:lang w:eastAsia="zh-CN"/>
        </w:rPr>
        <w:t>JCA</w:t>
      </w:r>
      <w:r w:rsidRPr="004271BC">
        <w:rPr>
          <w:lang w:eastAsia="zh-CN"/>
        </w:rPr>
        <w:t>提供输入意见。</w:t>
      </w:r>
    </w:p>
    <w:p w:rsidR="004271BC" w:rsidRDefault="004271BC" w:rsidP="00322566">
      <w:pPr>
        <w:pStyle w:val="Heading1"/>
        <w:rPr>
          <w:lang w:eastAsia="zh-CN"/>
        </w:rPr>
      </w:pPr>
      <w:r w:rsidRPr="004271BC">
        <w:rPr>
          <w:rFonts w:hint="eastAsia"/>
          <w:lang w:eastAsia="zh-CN"/>
        </w:rPr>
        <w:t>6</w:t>
      </w:r>
      <w:r w:rsidRPr="004271BC">
        <w:rPr>
          <w:rFonts w:hint="eastAsia"/>
          <w:lang w:eastAsia="zh-CN"/>
        </w:rPr>
        <w:tab/>
      </w:r>
      <w:r w:rsidRPr="004271BC">
        <w:rPr>
          <w:rFonts w:hint="eastAsia"/>
          <w:lang w:eastAsia="zh-CN"/>
        </w:rPr>
        <w:t>参与</w:t>
      </w:r>
    </w:p>
    <w:p w:rsidR="004271BC" w:rsidRDefault="004271BC" w:rsidP="00322566">
      <w:pPr>
        <w:ind w:firstLineChars="200" w:firstLine="480"/>
        <w:rPr>
          <w:lang w:eastAsia="zh-CN"/>
        </w:rPr>
      </w:pPr>
      <w:r w:rsidRPr="004271BC">
        <w:rPr>
          <w:rFonts w:hint="eastAsia"/>
          <w:lang w:eastAsia="zh-CN"/>
        </w:rPr>
        <w:t>见</w:t>
      </w:r>
      <w:r w:rsidRPr="004271BC">
        <w:rPr>
          <w:rFonts w:hint="eastAsia"/>
          <w:lang w:eastAsia="zh-CN"/>
        </w:rPr>
        <w:t>ITU-T A.1</w:t>
      </w:r>
      <w:r w:rsidRPr="004271BC">
        <w:rPr>
          <w:rFonts w:hint="eastAsia"/>
          <w:lang w:eastAsia="zh-CN"/>
        </w:rPr>
        <w:t>建议书</w:t>
      </w:r>
      <w:r>
        <w:rPr>
          <w:rFonts w:hint="eastAsia"/>
          <w:lang w:eastAsia="zh-CN"/>
        </w:rPr>
        <w:t>第</w:t>
      </w:r>
      <w:r>
        <w:rPr>
          <w:rFonts w:hint="eastAsia"/>
          <w:lang w:eastAsia="zh-CN"/>
        </w:rPr>
        <w:t>2.2.3</w:t>
      </w:r>
      <w:r>
        <w:rPr>
          <w:rFonts w:hint="eastAsia"/>
          <w:lang w:eastAsia="zh-CN"/>
        </w:rPr>
        <w:t>款。</w:t>
      </w:r>
    </w:p>
    <w:p w:rsidR="004271BC" w:rsidRPr="004271BC" w:rsidRDefault="004271BC" w:rsidP="00322566">
      <w:pPr>
        <w:pStyle w:val="Heading1"/>
        <w:rPr>
          <w:lang w:eastAsia="zh-CN"/>
        </w:rPr>
      </w:pPr>
      <w:r w:rsidRPr="004271BC">
        <w:rPr>
          <w:rFonts w:hint="eastAsia"/>
          <w:lang w:eastAsia="zh-CN"/>
        </w:rPr>
        <w:t>7</w:t>
      </w:r>
      <w:r w:rsidRPr="004271BC">
        <w:rPr>
          <w:rFonts w:hint="eastAsia"/>
          <w:lang w:eastAsia="zh-CN"/>
        </w:rPr>
        <w:tab/>
      </w:r>
      <w:r w:rsidRPr="004271BC">
        <w:rPr>
          <w:rFonts w:hint="eastAsia"/>
          <w:lang w:eastAsia="zh-CN"/>
        </w:rPr>
        <w:t>会议</w:t>
      </w:r>
    </w:p>
    <w:p w:rsidR="004271BC" w:rsidRDefault="004271BC" w:rsidP="00255F70">
      <w:pPr>
        <w:ind w:firstLineChars="200" w:firstLine="480"/>
        <w:rPr>
          <w:lang w:eastAsia="zh-CN"/>
        </w:rPr>
      </w:pPr>
      <w:r w:rsidRPr="004271BC">
        <w:rPr>
          <w:bCs/>
          <w:lang w:eastAsia="zh-CN"/>
        </w:rPr>
        <w:t>JCA-C</w:t>
      </w:r>
      <w:r w:rsidRPr="004271BC">
        <w:rPr>
          <w:rFonts w:hint="eastAsia"/>
          <w:bCs/>
          <w:lang w:eastAsia="zh-CN"/>
        </w:rPr>
        <w:t>OP</w:t>
      </w:r>
      <w:r w:rsidRPr="004271BC">
        <w:rPr>
          <w:rFonts w:hint="eastAsia"/>
          <w:lang w:eastAsia="zh-CN"/>
        </w:rPr>
        <w:t>将以电子手段（举行电视电话会议）开展工作，此外还将举办面对面会议，此类会议通常与参与</w:t>
      </w:r>
      <w:r w:rsidRPr="004271BC">
        <w:rPr>
          <w:bCs/>
          <w:lang w:eastAsia="zh-CN"/>
        </w:rPr>
        <w:t>JCA-C</w:t>
      </w:r>
      <w:r w:rsidRPr="004271BC">
        <w:rPr>
          <w:rFonts w:hint="eastAsia"/>
          <w:bCs/>
          <w:lang w:eastAsia="zh-CN"/>
        </w:rPr>
        <w:t>OP</w:t>
      </w:r>
      <w:r w:rsidR="00255F70">
        <w:rPr>
          <w:rFonts w:hint="eastAsia"/>
          <w:lang w:eastAsia="zh-CN"/>
        </w:rPr>
        <w:t>的研究组同时同地举行（亦见</w:t>
      </w:r>
      <w:r w:rsidR="00255F70">
        <w:rPr>
          <w:rFonts w:hint="eastAsia"/>
          <w:lang w:eastAsia="zh-CN"/>
        </w:rPr>
        <w:t>ITU-T A.1</w:t>
      </w:r>
      <w:r w:rsidR="00255F70">
        <w:rPr>
          <w:rFonts w:hint="eastAsia"/>
          <w:lang w:eastAsia="zh-CN"/>
        </w:rPr>
        <w:t>建议书第</w:t>
      </w:r>
      <w:r w:rsidR="00255F70">
        <w:rPr>
          <w:rFonts w:hint="eastAsia"/>
          <w:lang w:eastAsia="zh-CN"/>
        </w:rPr>
        <w:t>2.2.5</w:t>
      </w:r>
      <w:r w:rsidR="00255F70">
        <w:rPr>
          <w:rFonts w:hint="eastAsia"/>
          <w:lang w:eastAsia="zh-CN"/>
        </w:rPr>
        <w:t>款）。</w:t>
      </w:r>
      <w:r w:rsidR="00BA4FA1" w:rsidRPr="00BA4FA1">
        <w:rPr>
          <w:bCs/>
          <w:lang w:eastAsia="zh-CN"/>
        </w:rPr>
        <w:t>JCA-C</w:t>
      </w:r>
      <w:r w:rsidR="00BA4FA1" w:rsidRPr="00BA4FA1">
        <w:rPr>
          <w:rFonts w:hint="eastAsia"/>
          <w:bCs/>
          <w:lang w:eastAsia="zh-CN"/>
        </w:rPr>
        <w:t>OP</w:t>
      </w:r>
      <w:r w:rsidRPr="004271BC">
        <w:rPr>
          <w:rFonts w:hint="eastAsia"/>
          <w:lang w:eastAsia="zh-CN"/>
        </w:rPr>
        <w:t>将自行确定会议形式，并通知各参与代表，同时在</w:t>
      </w:r>
      <w:r w:rsidRPr="004271BC">
        <w:rPr>
          <w:rFonts w:hint="eastAsia"/>
          <w:lang w:eastAsia="zh-CN"/>
        </w:rPr>
        <w:t>ITU-T</w:t>
      </w:r>
      <w:r w:rsidRPr="004271BC">
        <w:rPr>
          <w:rFonts w:hint="eastAsia"/>
          <w:lang w:eastAsia="zh-CN"/>
        </w:rPr>
        <w:t>网站上予以公布。会议应与</w:t>
      </w:r>
      <w:r w:rsidRPr="004271BC">
        <w:rPr>
          <w:rFonts w:hint="eastAsia"/>
          <w:lang w:eastAsia="zh-CN"/>
        </w:rPr>
        <w:t>ITU-T</w:t>
      </w:r>
      <w:r w:rsidRPr="004271BC">
        <w:rPr>
          <w:rFonts w:hint="eastAsia"/>
          <w:lang w:eastAsia="zh-CN"/>
        </w:rPr>
        <w:t>相关研究组</w:t>
      </w:r>
      <w:r w:rsidR="00255F70">
        <w:rPr>
          <w:rFonts w:hint="eastAsia"/>
          <w:lang w:eastAsia="zh-CN"/>
        </w:rPr>
        <w:t>、</w:t>
      </w:r>
      <w:r w:rsidRPr="004271BC">
        <w:rPr>
          <w:rFonts w:hint="eastAsia"/>
          <w:lang w:eastAsia="zh-CN"/>
        </w:rPr>
        <w:t>标准制定组织</w:t>
      </w:r>
      <w:r w:rsidR="00024F4D">
        <w:rPr>
          <w:rFonts w:hint="eastAsia"/>
          <w:lang w:eastAsia="zh-CN"/>
        </w:rPr>
        <w:t>（</w:t>
      </w:r>
      <w:r w:rsidR="00024F4D">
        <w:rPr>
          <w:rFonts w:hint="eastAsia"/>
          <w:lang w:eastAsia="zh-CN"/>
        </w:rPr>
        <w:t>SDO</w:t>
      </w:r>
      <w:r w:rsidR="00024F4D">
        <w:rPr>
          <w:rFonts w:hint="eastAsia"/>
          <w:lang w:eastAsia="zh-CN"/>
        </w:rPr>
        <w:t>）</w:t>
      </w:r>
      <w:r w:rsidRPr="004271BC">
        <w:rPr>
          <w:rFonts w:hint="eastAsia"/>
          <w:lang w:eastAsia="zh-CN"/>
        </w:rPr>
        <w:t>和论坛协调举行。</w:t>
      </w:r>
    </w:p>
    <w:p w:rsidR="007A2299" w:rsidRDefault="007A2299" w:rsidP="00322566">
      <w:pPr>
        <w:pStyle w:val="Heading1"/>
        <w:rPr>
          <w:lang w:eastAsia="zh-CN"/>
        </w:rPr>
      </w:pPr>
      <w:r w:rsidRPr="007A2299">
        <w:rPr>
          <w:rFonts w:hint="eastAsia"/>
          <w:lang w:eastAsia="zh-CN"/>
        </w:rPr>
        <w:t>8</w:t>
      </w:r>
      <w:r w:rsidRPr="007A2299">
        <w:rPr>
          <w:rFonts w:hint="eastAsia"/>
          <w:lang w:eastAsia="zh-CN"/>
        </w:rPr>
        <w:tab/>
      </w:r>
      <w:r w:rsidRPr="007A2299">
        <w:rPr>
          <w:rFonts w:hint="eastAsia"/>
          <w:lang w:eastAsia="zh-CN"/>
        </w:rPr>
        <w:t>主管组和进展报告</w:t>
      </w:r>
    </w:p>
    <w:p w:rsidR="007A2299" w:rsidRDefault="007A2299" w:rsidP="00322566">
      <w:pPr>
        <w:ind w:firstLineChars="200" w:firstLine="480"/>
        <w:rPr>
          <w:bCs/>
          <w:lang w:eastAsia="zh-CN"/>
        </w:rPr>
      </w:pPr>
      <w:r>
        <w:rPr>
          <w:rFonts w:hint="eastAsia"/>
          <w:lang w:eastAsia="zh-CN"/>
        </w:rPr>
        <w:t>每次</w:t>
      </w:r>
      <w:r>
        <w:rPr>
          <w:rFonts w:hint="eastAsia"/>
          <w:lang w:eastAsia="zh-CN"/>
        </w:rPr>
        <w:t>JCA</w:t>
      </w:r>
      <w:r>
        <w:rPr>
          <w:rFonts w:hint="eastAsia"/>
          <w:lang w:eastAsia="zh-CN"/>
        </w:rPr>
        <w:t>会议之后，</w:t>
      </w:r>
      <w:r w:rsidRPr="007A2299">
        <w:rPr>
          <w:bCs/>
          <w:lang w:eastAsia="zh-CN"/>
        </w:rPr>
        <w:t>JCA-C</w:t>
      </w:r>
      <w:r w:rsidRPr="007A2299">
        <w:rPr>
          <w:rFonts w:hint="eastAsia"/>
          <w:bCs/>
          <w:lang w:eastAsia="zh-CN"/>
        </w:rPr>
        <w:t>OP</w:t>
      </w:r>
      <w:r>
        <w:rPr>
          <w:rFonts w:hint="eastAsia"/>
          <w:bCs/>
          <w:lang w:eastAsia="zh-CN"/>
        </w:rPr>
        <w:t>将向第</w:t>
      </w:r>
      <w:r>
        <w:rPr>
          <w:rFonts w:hint="eastAsia"/>
          <w:bCs/>
          <w:lang w:eastAsia="zh-CN"/>
        </w:rPr>
        <w:t>17</w:t>
      </w:r>
      <w:r w:rsidR="00255F70">
        <w:rPr>
          <w:rFonts w:hint="eastAsia"/>
          <w:bCs/>
          <w:lang w:eastAsia="zh-CN"/>
        </w:rPr>
        <w:t>研究组</w:t>
      </w:r>
      <w:r>
        <w:rPr>
          <w:rFonts w:hint="eastAsia"/>
          <w:bCs/>
          <w:lang w:eastAsia="zh-CN"/>
        </w:rPr>
        <w:t>提交报告。电信标准化顾问组</w:t>
      </w:r>
      <w:r w:rsidR="00B90803">
        <w:rPr>
          <w:rFonts w:hint="eastAsia"/>
          <w:bCs/>
          <w:lang w:eastAsia="zh-CN"/>
        </w:rPr>
        <w:t>（</w:t>
      </w:r>
      <w:r w:rsidR="00B90803">
        <w:rPr>
          <w:rFonts w:hint="eastAsia"/>
          <w:bCs/>
          <w:lang w:eastAsia="zh-CN"/>
        </w:rPr>
        <w:t>TSAG</w:t>
      </w:r>
      <w:r w:rsidR="00B90803">
        <w:rPr>
          <w:rFonts w:hint="eastAsia"/>
          <w:bCs/>
          <w:lang w:eastAsia="zh-CN"/>
        </w:rPr>
        <w:t>）</w:t>
      </w:r>
      <w:r>
        <w:rPr>
          <w:rFonts w:hint="eastAsia"/>
          <w:bCs/>
          <w:lang w:eastAsia="zh-CN"/>
        </w:rPr>
        <w:t>可通过这些报告监督</w:t>
      </w:r>
      <w:r w:rsidRPr="007A2299">
        <w:rPr>
          <w:bCs/>
          <w:lang w:eastAsia="zh-CN"/>
        </w:rPr>
        <w:t>JCA-C</w:t>
      </w:r>
      <w:r w:rsidRPr="007A2299">
        <w:rPr>
          <w:rFonts w:hint="eastAsia"/>
          <w:bCs/>
          <w:lang w:eastAsia="zh-CN"/>
        </w:rPr>
        <w:t>OP</w:t>
      </w:r>
      <w:r>
        <w:rPr>
          <w:rFonts w:hint="eastAsia"/>
          <w:bCs/>
          <w:lang w:eastAsia="zh-CN"/>
        </w:rPr>
        <w:t>开展的活动（</w:t>
      </w:r>
      <w:r w:rsidRPr="007A2299">
        <w:rPr>
          <w:rFonts w:hint="eastAsia"/>
          <w:bCs/>
          <w:lang w:eastAsia="zh-CN"/>
        </w:rPr>
        <w:t>见</w:t>
      </w:r>
      <w:r w:rsidRPr="007A2299">
        <w:rPr>
          <w:rFonts w:hint="eastAsia"/>
          <w:bCs/>
          <w:lang w:eastAsia="zh-CN"/>
        </w:rPr>
        <w:t>ITU-T A.1</w:t>
      </w:r>
      <w:r w:rsidRPr="007A2299">
        <w:rPr>
          <w:rFonts w:hint="eastAsia"/>
          <w:bCs/>
          <w:lang w:eastAsia="zh-CN"/>
        </w:rPr>
        <w:t>建议书第</w:t>
      </w:r>
      <w:r>
        <w:rPr>
          <w:rFonts w:hint="eastAsia"/>
          <w:bCs/>
          <w:lang w:eastAsia="zh-CN"/>
        </w:rPr>
        <w:t>2.2.8</w:t>
      </w:r>
      <w:r w:rsidRPr="007A2299">
        <w:rPr>
          <w:rFonts w:hint="eastAsia"/>
          <w:bCs/>
          <w:lang w:eastAsia="zh-CN"/>
        </w:rPr>
        <w:t>款</w:t>
      </w:r>
      <w:r>
        <w:rPr>
          <w:rFonts w:hint="eastAsia"/>
          <w:bCs/>
          <w:lang w:eastAsia="zh-CN"/>
        </w:rPr>
        <w:t>）。</w:t>
      </w:r>
    </w:p>
    <w:p w:rsidR="007A2299" w:rsidRDefault="007A2299" w:rsidP="00322566">
      <w:pPr>
        <w:pStyle w:val="Heading1"/>
        <w:rPr>
          <w:lang w:eastAsia="zh-CN"/>
        </w:rPr>
      </w:pPr>
      <w:r w:rsidRPr="007A2299">
        <w:rPr>
          <w:rFonts w:hint="eastAsia"/>
          <w:lang w:eastAsia="zh-CN"/>
        </w:rPr>
        <w:t>9</w:t>
      </w:r>
      <w:r w:rsidRPr="007A2299">
        <w:rPr>
          <w:rFonts w:hint="eastAsia"/>
          <w:lang w:eastAsia="zh-CN"/>
        </w:rPr>
        <w:tab/>
      </w:r>
      <w:r w:rsidRPr="007A2299">
        <w:rPr>
          <w:rFonts w:hint="eastAsia"/>
          <w:lang w:eastAsia="zh-CN"/>
        </w:rPr>
        <w:t>行政支持</w:t>
      </w:r>
      <w:r>
        <w:rPr>
          <w:rFonts w:hint="eastAsia"/>
          <w:lang w:eastAsia="zh-CN"/>
        </w:rPr>
        <w:t xml:space="preserve"> </w:t>
      </w:r>
    </w:p>
    <w:p w:rsidR="007A2299" w:rsidRDefault="007A2299" w:rsidP="00255F70">
      <w:pPr>
        <w:ind w:firstLineChars="200" w:firstLine="480"/>
        <w:rPr>
          <w:bCs/>
          <w:lang w:eastAsia="zh-CN"/>
        </w:rPr>
      </w:pPr>
      <w:r w:rsidRPr="007A2299">
        <w:rPr>
          <w:rFonts w:hint="eastAsia"/>
          <w:bCs/>
          <w:lang w:eastAsia="zh-CN"/>
        </w:rPr>
        <w:t>ITU-T</w:t>
      </w:r>
      <w:r w:rsidRPr="007A2299">
        <w:rPr>
          <w:rFonts w:hint="eastAsia"/>
          <w:bCs/>
          <w:lang w:eastAsia="zh-CN"/>
        </w:rPr>
        <w:t>电信标准化局（</w:t>
      </w:r>
      <w:r w:rsidRPr="007A2299">
        <w:rPr>
          <w:rFonts w:hint="eastAsia"/>
          <w:bCs/>
          <w:lang w:eastAsia="zh-CN"/>
        </w:rPr>
        <w:t>TSB</w:t>
      </w:r>
      <w:r w:rsidRPr="007A2299">
        <w:rPr>
          <w:rFonts w:hint="eastAsia"/>
          <w:bCs/>
          <w:lang w:eastAsia="zh-CN"/>
        </w:rPr>
        <w:t>）将为</w:t>
      </w:r>
      <w:r w:rsidRPr="007A2299">
        <w:rPr>
          <w:bCs/>
          <w:lang w:eastAsia="zh-CN"/>
        </w:rPr>
        <w:t>JCA-C</w:t>
      </w:r>
      <w:r w:rsidRPr="007A2299">
        <w:rPr>
          <w:rFonts w:hint="eastAsia"/>
          <w:bCs/>
          <w:lang w:eastAsia="zh-CN"/>
        </w:rPr>
        <w:t>OP</w:t>
      </w:r>
      <w:r w:rsidRPr="007A2299">
        <w:rPr>
          <w:rFonts w:hint="eastAsia"/>
          <w:bCs/>
          <w:lang w:eastAsia="zh-CN"/>
        </w:rPr>
        <w:t>提供必要的</w:t>
      </w:r>
      <w:r w:rsidR="00255F70">
        <w:rPr>
          <w:rFonts w:hint="eastAsia"/>
          <w:bCs/>
          <w:lang w:eastAsia="zh-CN"/>
        </w:rPr>
        <w:t>秘书处</w:t>
      </w:r>
      <w:r w:rsidRPr="007A2299">
        <w:rPr>
          <w:rFonts w:hint="eastAsia"/>
          <w:bCs/>
          <w:lang w:eastAsia="zh-CN"/>
        </w:rPr>
        <w:t>和设施（见</w:t>
      </w:r>
      <w:r w:rsidRPr="007A2299">
        <w:rPr>
          <w:rFonts w:hint="eastAsia"/>
          <w:bCs/>
          <w:lang w:eastAsia="zh-CN"/>
        </w:rPr>
        <w:t>ITU-T A.1</w:t>
      </w:r>
      <w:r w:rsidRPr="007A2299">
        <w:rPr>
          <w:rFonts w:hint="eastAsia"/>
          <w:bCs/>
          <w:lang w:eastAsia="zh-CN"/>
        </w:rPr>
        <w:t>建议书第</w:t>
      </w:r>
      <w:r w:rsidRPr="007A2299">
        <w:rPr>
          <w:rFonts w:hint="eastAsia"/>
          <w:bCs/>
          <w:lang w:eastAsia="zh-CN"/>
        </w:rPr>
        <w:t>2.2.</w:t>
      </w:r>
      <w:r>
        <w:rPr>
          <w:rFonts w:hint="eastAsia"/>
          <w:bCs/>
          <w:lang w:eastAsia="zh-CN"/>
        </w:rPr>
        <w:t>9</w:t>
      </w:r>
      <w:r w:rsidRPr="007A2299">
        <w:rPr>
          <w:rFonts w:hint="eastAsia"/>
          <w:bCs/>
          <w:lang w:eastAsia="zh-CN"/>
        </w:rPr>
        <w:t>款）。</w:t>
      </w:r>
    </w:p>
    <w:p w:rsidR="007A2299" w:rsidRDefault="007A2299" w:rsidP="00322566">
      <w:pPr>
        <w:ind w:firstLineChars="200" w:firstLine="480"/>
        <w:rPr>
          <w:bCs/>
          <w:lang w:eastAsia="zh-CN"/>
        </w:rPr>
      </w:pPr>
      <w:r>
        <w:rPr>
          <w:rFonts w:hint="eastAsia"/>
          <w:bCs/>
          <w:lang w:eastAsia="zh-CN"/>
        </w:rPr>
        <w:t>有关注册和其他信息，</w:t>
      </w:r>
      <w:r w:rsidR="00255F70">
        <w:rPr>
          <w:rFonts w:hint="eastAsia"/>
          <w:bCs/>
          <w:lang w:eastAsia="zh-CN"/>
        </w:rPr>
        <w:t>请通过以下电子邮件联系：</w:t>
      </w:r>
      <w:hyperlink r:id="rId11" w:history="1">
        <w:r w:rsidR="00255F70" w:rsidRPr="00D01424">
          <w:rPr>
            <w:rStyle w:val="Hyperlink"/>
            <w:rFonts w:hint="eastAsia"/>
            <w:bCs/>
            <w:lang w:eastAsia="zh-CN"/>
          </w:rPr>
          <w:t>tsbjcacop@it</w:t>
        </w:r>
        <w:r w:rsidR="00255F70" w:rsidRPr="00D01424">
          <w:rPr>
            <w:rStyle w:val="Hyperlink"/>
            <w:rFonts w:hint="eastAsia"/>
            <w:bCs/>
            <w:lang w:eastAsia="zh-CN"/>
          </w:rPr>
          <w:t>u</w:t>
        </w:r>
        <w:r w:rsidR="00255F70" w:rsidRPr="00D01424">
          <w:rPr>
            <w:rStyle w:val="Hyperlink"/>
            <w:rFonts w:hint="eastAsia"/>
            <w:bCs/>
            <w:lang w:eastAsia="zh-CN"/>
          </w:rPr>
          <w:t>.int</w:t>
        </w:r>
      </w:hyperlink>
      <w:r>
        <w:rPr>
          <w:rFonts w:hint="eastAsia"/>
          <w:bCs/>
          <w:lang w:eastAsia="zh-CN"/>
        </w:rPr>
        <w:t>。</w:t>
      </w:r>
    </w:p>
    <w:p w:rsidR="007A2299" w:rsidRDefault="007A2299" w:rsidP="00322566">
      <w:pPr>
        <w:pStyle w:val="Heading1"/>
        <w:rPr>
          <w:lang w:eastAsia="zh-CN"/>
        </w:rPr>
      </w:pPr>
      <w:r w:rsidRPr="007A2299">
        <w:rPr>
          <w:rFonts w:hint="eastAsia"/>
          <w:lang w:eastAsia="zh-CN"/>
        </w:rPr>
        <w:t>10</w:t>
      </w:r>
      <w:r w:rsidRPr="007A2299">
        <w:rPr>
          <w:rFonts w:hint="eastAsia"/>
          <w:lang w:eastAsia="zh-CN"/>
        </w:rPr>
        <w:tab/>
      </w:r>
      <w:r w:rsidRPr="007A2299">
        <w:rPr>
          <w:rFonts w:hint="eastAsia"/>
          <w:lang w:eastAsia="zh-CN"/>
        </w:rPr>
        <w:t>通讯录</w:t>
      </w:r>
    </w:p>
    <w:p w:rsidR="007A2299" w:rsidRDefault="00255F70" w:rsidP="006C2761">
      <w:pPr>
        <w:ind w:firstLineChars="200" w:firstLine="480"/>
        <w:rPr>
          <w:bCs/>
          <w:lang w:eastAsia="zh-CN"/>
        </w:rPr>
      </w:pPr>
      <w:r>
        <w:rPr>
          <w:rFonts w:hint="eastAsia"/>
          <w:lang w:eastAsia="zh-CN"/>
        </w:rPr>
        <w:t>专门用于此项活动的邮件地址为：</w:t>
      </w:r>
      <w:hyperlink r:id="rId12" w:history="1">
        <w:r w:rsidR="006C2761" w:rsidRPr="001344C7">
          <w:rPr>
            <w:rStyle w:val="Hyperlink"/>
            <w:szCs w:val="24"/>
          </w:rPr>
          <w:t>jcacop@</w:t>
        </w:r>
        <w:r w:rsidR="006C2761" w:rsidRPr="001344C7">
          <w:rPr>
            <w:rStyle w:val="Hyperlink"/>
            <w:szCs w:val="24"/>
          </w:rPr>
          <w:t>l</w:t>
        </w:r>
        <w:r w:rsidR="006C2761" w:rsidRPr="001344C7">
          <w:rPr>
            <w:rStyle w:val="Hyperlink"/>
            <w:szCs w:val="24"/>
          </w:rPr>
          <w:t>ists.itu.int</w:t>
        </w:r>
      </w:hyperlink>
      <w:r w:rsidR="007A2299">
        <w:rPr>
          <w:rFonts w:hint="eastAsia"/>
          <w:bCs/>
          <w:lang w:eastAsia="zh-CN"/>
        </w:rPr>
        <w:t>。</w:t>
      </w:r>
    </w:p>
    <w:p w:rsidR="007A2299" w:rsidRDefault="007A2299" w:rsidP="00322566">
      <w:pPr>
        <w:pStyle w:val="Heading1"/>
        <w:rPr>
          <w:lang w:eastAsia="zh-CN"/>
        </w:rPr>
      </w:pPr>
      <w:r w:rsidRPr="007A2299">
        <w:rPr>
          <w:rFonts w:hint="eastAsia"/>
          <w:lang w:eastAsia="zh-CN"/>
        </w:rPr>
        <w:t>11</w:t>
      </w:r>
      <w:r w:rsidRPr="007A2299">
        <w:rPr>
          <w:rFonts w:hint="eastAsia"/>
          <w:lang w:eastAsia="zh-CN"/>
        </w:rPr>
        <w:tab/>
      </w:r>
      <w:r w:rsidRPr="007A2299">
        <w:rPr>
          <w:rFonts w:hint="eastAsia"/>
          <w:lang w:eastAsia="zh-CN"/>
        </w:rPr>
        <w:t>期限</w:t>
      </w:r>
      <w:r>
        <w:rPr>
          <w:rFonts w:hint="eastAsia"/>
          <w:lang w:eastAsia="zh-CN"/>
        </w:rPr>
        <w:t xml:space="preserve"> </w:t>
      </w:r>
    </w:p>
    <w:p w:rsidR="007A2299" w:rsidRDefault="007A2299" w:rsidP="00322566">
      <w:pPr>
        <w:ind w:firstLineChars="200" w:firstLine="480"/>
        <w:rPr>
          <w:bCs/>
          <w:lang w:eastAsia="zh-CN"/>
        </w:rPr>
      </w:pPr>
      <w:r>
        <w:rPr>
          <w:rFonts w:hint="eastAsia"/>
          <w:bCs/>
          <w:lang w:eastAsia="zh-CN"/>
        </w:rPr>
        <w:t>该组工作至</w:t>
      </w:r>
      <w:r>
        <w:rPr>
          <w:rFonts w:hint="eastAsia"/>
          <w:bCs/>
          <w:lang w:eastAsia="zh-CN"/>
        </w:rPr>
        <w:t>2013</w:t>
      </w:r>
      <w:r>
        <w:rPr>
          <w:rFonts w:hint="eastAsia"/>
          <w:bCs/>
          <w:lang w:eastAsia="zh-CN"/>
        </w:rPr>
        <w:t>年</w:t>
      </w:r>
      <w:r>
        <w:rPr>
          <w:rFonts w:hint="eastAsia"/>
          <w:bCs/>
          <w:lang w:eastAsia="zh-CN"/>
        </w:rPr>
        <w:t>4</w:t>
      </w:r>
      <w:r>
        <w:rPr>
          <w:rFonts w:hint="eastAsia"/>
          <w:bCs/>
          <w:lang w:eastAsia="zh-CN"/>
        </w:rPr>
        <w:t>月底</w:t>
      </w:r>
      <w:r w:rsidRPr="007A2299">
        <w:rPr>
          <w:rFonts w:hint="eastAsia"/>
          <w:bCs/>
          <w:lang w:eastAsia="zh-CN"/>
        </w:rPr>
        <w:t>（</w:t>
      </w:r>
      <w:r>
        <w:rPr>
          <w:rFonts w:hint="eastAsia"/>
          <w:bCs/>
          <w:lang w:eastAsia="zh-CN"/>
        </w:rPr>
        <w:t>亦</w:t>
      </w:r>
      <w:r w:rsidRPr="007A2299">
        <w:rPr>
          <w:rFonts w:hint="eastAsia"/>
          <w:bCs/>
          <w:lang w:eastAsia="zh-CN"/>
        </w:rPr>
        <w:t>见</w:t>
      </w:r>
      <w:r w:rsidRPr="007A2299">
        <w:rPr>
          <w:rFonts w:hint="eastAsia"/>
          <w:bCs/>
          <w:lang w:eastAsia="zh-CN"/>
        </w:rPr>
        <w:t>ITU-T A.1</w:t>
      </w:r>
      <w:r w:rsidRPr="007A2299">
        <w:rPr>
          <w:rFonts w:hint="eastAsia"/>
          <w:bCs/>
          <w:lang w:eastAsia="zh-CN"/>
        </w:rPr>
        <w:t>建议书第</w:t>
      </w:r>
      <w:r w:rsidRPr="007A2299">
        <w:rPr>
          <w:rFonts w:hint="eastAsia"/>
          <w:bCs/>
          <w:lang w:eastAsia="zh-CN"/>
        </w:rPr>
        <w:t>2.2.</w:t>
      </w:r>
      <w:r>
        <w:rPr>
          <w:rFonts w:hint="eastAsia"/>
          <w:bCs/>
          <w:lang w:eastAsia="zh-CN"/>
        </w:rPr>
        <w:t>10</w:t>
      </w:r>
      <w:r w:rsidRPr="007A2299">
        <w:rPr>
          <w:rFonts w:hint="eastAsia"/>
          <w:bCs/>
          <w:lang w:eastAsia="zh-CN"/>
        </w:rPr>
        <w:t>款）。</w:t>
      </w:r>
    </w:p>
    <w:p w:rsidR="007A2299" w:rsidRDefault="007A2299" w:rsidP="00322566">
      <w:pPr>
        <w:pStyle w:val="Heading1"/>
        <w:rPr>
          <w:lang w:eastAsia="zh-CN"/>
        </w:rPr>
      </w:pPr>
      <w:r w:rsidRPr="007A2299">
        <w:rPr>
          <w:rFonts w:hint="eastAsia"/>
          <w:lang w:eastAsia="zh-CN"/>
        </w:rPr>
        <w:t>12</w:t>
      </w:r>
      <w:r w:rsidRPr="007A2299">
        <w:rPr>
          <w:rFonts w:hint="eastAsia"/>
          <w:lang w:eastAsia="zh-CN"/>
        </w:rPr>
        <w:tab/>
      </w:r>
      <w:r w:rsidRPr="007A2299">
        <w:rPr>
          <w:rFonts w:hint="eastAsia"/>
          <w:lang w:eastAsia="zh-CN"/>
        </w:rPr>
        <w:t>主席</w:t>
      </w:r>
      <w:r>
        <w:rPr>
          <w:rFonts w:hint="eastAsia"/>
          <w:lang w:eastAsia="zh-CN"/>
        </w:rPr>
        <w:t xml:space="preserve"> </w:t>
      </w:r>
      <w:bookmarkStart w:id="6" w:name="_GoBack"/>
      <w:bookmarkEnd w:id="6"/>
    </w:p>
    <w:p w:rsidR="007A2299" w:rsidRPr="007A2299" w:rsidRDefault="006358C9" w:rsidP="00322566">
      <w:pPr>
        <w:ind w:firstLineChars="200" w:firstLine="480"/>
        <w:rPr>
          <w:b/>
          <w:lang w:eastAsia="zh-CN"/>
        </w:rPr>
      </w:pPr>
      <w:r w:rsidRPr="006358C9">
        <w:rPr>
          <w:bCs/>
          <w:lang w:eastAsia="zh-CN"/>
        </w:rPr>
        <w:t>来自美国的</w:t>
      </w:r>
      <w:proofErr w:type="spellStart"/>
      <w:r w:rsidRPr="006358C9">
        <w:rPr>
          <w:rFonts w:hint="eastAsia"/>
          <w:bCs/>
          <w:lang w:eastAsia="zh-CN"/>
        </w:rPr>
        <w:t>Asheley</w:t>
      </w:r>
      <w:proofErr w:type="spellEnd"/>
      <w:r w:rsidRPr="006358C9">
        <w:rPr>
          <w:rFonts w:hint="eastAsia"/>
          <w:bCs/>
          <w:lang w:eastAsia="zh-CN"/>
        </w:rPr>
        <w:t xml:space="preserve"> </w:t>
      </w:r>
      <w:proofErr w:type="spellStart"/>
      <w:r w:rsidRPr="006358C9">
        <w:rPr>
          <w:rFonts w:hint="eastAsia"/>
          <w:bCs/>
          <w:lang w:eastAsia="zh-CN"/>
        </w:rPr>
        <w:t>Heineman</w:t>
      </w:r>
      <w:proofErr w:type="spellEnd"/>
      <w:r w:rsidRPr="006358C9">
        <w:rPr>
          <w:rFonts w:hint="eastAsia"/>
          <w:bCs/>
          <w:lang w:eastAsia="zh-CN"/>
        </w:rPr>
        <w:t>女士</w:t>
      </w:r>
      <w:r w:rsidR="006E49AB">
        <w:rPr>
          <w:rFonts w:hint="eastAsia"/>
          <w:bCs/>
          <w:lang w:eastAsia="zh-CN"/>
        </w:rPr>
        <w:t>：</w:t>
      </w:r>
      <w:hyperlink r:id="rId13" w:history="1">
        <w:r w:rsidRPr="00A474A7">
          <w:rPr>
            <w:rStyle w:val="Hyperlink"/>
            <w:rFonts w:hint="eastAsia"/>
            <w:bCs/>
            <w:lang w:eastAsia="zh-CN"/>
          </w:rPr>
          <w:t>AHei</w:t>
        </w:r>
        <w:r w:rsidRPr="00A474A7">
          <w:rPr>
            <w:rStyle w:val="Hyperlink"/>
            <w:rFonts w:hint="eastAsia"/>
            <w:bCs/>
            <w:lang w:eastAsia="zh-CN"/>
          </w:rPr>
          <w:t>n</w:t>
        </w:r>
        <w:r w:rsidRPr="00A474A7">
          <w:rPr>
            <w:rStyle w:val="Hyperlink"/>
            <w:rFonts w:hint="eastAsia"/>
            <w:bCs/>
            <w:lang w:eastAsia="zh-CN"/>
          </w:rPr>
          <w:t>eman@ntia.doc.gov</w:t>
        </w:r>
      </w:hyperlink>
      <w:r>
        <w:rPr>
          <w:rFonts w:hint="eastAsia"/>
          <w:bCs/>
          <w:lang w:eastAsia="zh-CN"/>
        </w:rPr>
        <w:t>。</w:t>
      </w:r>
    </w:p>
    <w:p w:rsidR="00322566" w:rsidRDefault="00322566" w:rsidP="00322566">
      <w:pPr>
        <w:pStyle w:val="Reasons"/>
        <w:rPr>
          <w:rFonts w:eastAsiaTheme="minorEastAsia"/>
          <w:lang w:eastAsia="zh-CN"/>
        </w:rPr>
      </w:pPr>
    </w:p>
    <w:p w:rsidR="00322566" w:rsidRPr="00322566" w:rsidRDefault="00322566" w:rsidP="00322566">
      <w:pPr>
        <w:pStyle w:val="Reasons"/>
        <w:rPr>
          <w:rFonts w:eastAsiaTheme="minorEastAsia"/>
          <w:lang w:eastAsia="zh-CN"/>
        </w:rPr>
      </w:pPr>
    </w:p>
    <w:p w:rsidR="00322566" w:rsidRDefault="00322566">
      <w:pPr>
        <w:jc w:val="center"/>
      </w:pPr>
      <w:r>
        <w:t>______________</w:t>
      </w:r>
    </w:p>
    <w:sectPr w:rsidR="00322566" w:rsidSect="00ED712B">
      <w:headerReference w:type="default" r:id="rId14"/>
      <w:foot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66" w:rsidRDefault="00322566">
      <w:r>
        <w:separator/>
      </w:r>
    </w:p>
  </w:endnote>
  <w:endnote w:type="continuationSeparator" w:id="0">
    <w:p w:rsidR="00322566" w:rsidRDefault="0032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4A" w:rsidRPr="00F50B99" w:rsidRDefault="00F50B99" w:rsidP="00F50B99">
    <w:pPr>
      <w:tabs>
        <w:tab w:val="clear" w:pos="794"/>
        <w:tab w:val="clear" w:pos="1191"/>
        <w:tab w:val="clear" w:pos="1588"/>
        <w:tab w:val="clear" w:pos="1985"/>
        <w:tab w:val="left" w:pos="5954"/>
        <w:tab w:val="right" w:pos="9639"/>
      </w:tabs>
      <w:spacing w:before="0"/>
      <w:rPr>
        <w:caps/>
        <w:sz w:val="16"/>
        <w:lang w:val="fr-CH"/>
      </w:rPr>
    </w:pPr>
    <w:r>
      <w:rPr>
        <w:caps/>
        <w:sz w:val="16"/>
        <w:lang w:val="fr-CH"/>
      </w:rPr>
      <w:t>ITU-T\BUREAU\CIRC\313</w:t>
    </w:r>
    <w:r>
      <w:rPr>
        <w:caps/>
        <w:sz w:val="16"/>
        <w:lang w:val="fr-CH"/>
      </w:rPr>
      <w:t>C</w:t>
    </w:r>
    <w:r>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22566" w:rsidRPr="00EF273F" w:rsidTr="003D5ED6">
      <w:trPr>
        <w:cantSplit/>
      </w:trPr>
      <w:tc>
        <w:tcPr>
          <w:tcW w:w="1062" w:type="pct"/>
          <w:tcBorders>
            <w:top w:val="single" w:sz="6" w:space="0" w:color="auto"/>
          </w:tcBorders>
          <w:tcMar>
            <w:top w:w="57" w:type="dxa"/>
          </w:tcMar>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322566" w:rsidRPr="00EF273F" w:rsidRDefault="00322566" w:rsidP="003D5ED6">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322566" w:rsidRPr="00EF273F" w:rsidTr="003D5ED6">
      <w:trPr>
        <w:cantSplit/>
      </w:trPr>
      <w:tc>
        <w:tcPr>
          <w:tcW w:w="1062"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322566" w:rsidRPr="00EF273F" w:rsidRDefault="00322566" w:rsidP="003D5ED6">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322566" w:rsidRPr="00EF273F" w:rsidTr="003D5ED6">
      <w:trPr>
        <w:cantSplit/>
      </w:trPr>
      <w:tc>
        <w:tcPr>
          <w:tcW w:w="1062"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p>
      </w:tc>
    </w:tr>
  </w:tbl>
  <w:p w:rsidR="00322566" w:rsidRPr="003D5ED6" w:rsidRDefault="00322566" w:rsidP="003D5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66" w:rsidRDefault="00322566">
      <w:r>
        <w:separator/>
      </w:r>
    </w:p>
  </w:footnote>
  <w:footnote w:type="continuationSeparator" w:id="0">
    <w:p w:rsidR="00322566" w:rsidRDefault="0032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66" w:rsidRDefault="00322566">
    <w:pPr>
      <w:pStyle w:val="Header"/>
    </w:pPr>
    <w:r>
      <w:t xml:space="preserve">- </w:t>
    </w:r>
    <w:r w:rsidRPr="003A3258">
      <w:rPr>
        <w:sz w:val="18"/>
        <w:szCs w:val="18"/>
      </w:rPr>
      <w:fldChar w:fldCharType="begin"/>
    </w:r>
    <w:r w:rsidRPr="003A3258">
      <w:rPr>
        <w:sz w:val="18"/>
        <w:szCs w:val="18"/>
      </w:rPr>
      <w:instrText>PAGE</w:instrText>
    </w:r>
    <w:r w:rsidRPr="003A3258">
      <w:rPr>
        <w:sz w:val="18"/>
        <w:szCs w:val="18"/>
      </w:rPr>
      <w:fldChar w:fldCharType="separate"/>
    </w:r>
    <w:r w:rsidR="00F50B99">
      <w:rPr>
        <w:noProof/>
        <w:sz w:val="18"/>
        <w:szCs w:val="18"/>
      </w:rPr>
      <w:t>3</w:t>
    </w:r>
    <w:r w:rsidRPr="003A3258">
      <w:rPr>
        <w:sz w:val="18"/>
        <w:szCs w:val="18"/>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4E3E17"/>
    <w:multiLevelType w:val="multilevel"/>
    <w:tmpl w:val="C4EAD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51863AA3"/>
    <w:multiLevelType w:val="hybridMultilevel"/>
    <w:tmpl w:val="0A3625A6"/>
    <w:lvl w:ilvl="0" w:tplc="D264DCB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6">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6"/>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1034A"/>
    <w:rsid w:val="00010F8A"/>
    <w:rsid w:val="00011594"/>
    <w:rsid w:val="00024F4D"/>
    <w:rsid w:val="00027EE3"/>
    <w:rsid w:val="00032FD3"/>
    <w:rsid w:val="00037461"/>
    <w:rsid w:val="000471BB"/>
    <w:rsid w:val="00081BA5"/>
    <w:rsid w:val="000907DD"/>
    <w:rsid w:val="00090E72"/>
    <w:rsid w:val="00094C0B"/>
    <w:rsid w:val="000B042D"/>
    <w:rsid w:val="000C02E1"/>
    <w:rsid w:val="000C3E87"/>
    <w:rsid w:val="000D293E"/>
    <w:rsid w:val="000D5DE9"/>
    <w:rsid w:val="000E0573"/>
    <w:rsid w:val="001075C7"/>
    <w:rsid w:val="00116420"/>
    <w:rsid w:val="00117471"/>
    <w:rsid w:val="001212E3"/>
    <w:rsid w:val="00123C82"/>
    <w:rsid w:val="001342EB"/>
    <w:rsid w:val="001360BC"/>
    <w:rsid w:val="00137E6B"/>
    <w:rsid w:val="00140D58"/>
    <w:rsid w:val="001411F9"/>
    <w:rsid w:val="00144B57"/>
    <w:rsid w:val="00160A43"/>
    <w:rsid w:val="00176356"/>
    <w:rsid w:val="00176AA7"/>
    <w:rsid w:val="00180017"/>
    <w:rsid w:val="00187F85"/>
    <w:rsid w:val="0019270C"/>
    <w:rsid w:val="00197D0E"/>
    <w:rsid w:val="001B21A4"/>
    <w:rsid w:val="001B649B"/>
    <w:rsid w:val="001C27ED"/>
    <w:rsid w:val="001D63C4"/>
    <w:rsid w:val="001E1467"/>
    <w:rsid w:val="001E2BCD"/>
    <w:rsid w:val="001F4E4A"/>
    <w:rsid w:val="00202E3F"/>
    <w:rsid w:val="00215041"/>
    <w:rsid w:val="00220EB1"/>
    <w:rsid w:val="00223CEE"/>
    <w:rsid w:val="00234A9B"/>
    <w:rsid w:val="00236BC6"/>
    <w:rsid w:val="002477BE"/>
    <w:rsid w:val="00250E0B"/>
    <w:rsid w:val="0025373C"/>
    <w:rsid w:val="00254085"/>
    <w:rsid w:val="00255F70"/>
    <w:rsid w:val="0025696A"/>
    <w:rsid w:val="00282732"/>
    <w:rsid w:val="00284869"/>
    <w:rsid w:val="0028604D"/>
    <w:rsid w:val="00286323"/>
    <w:rsid w:val="00294BED"/>
    <w:rsid w:val="002D1762"/>
    <w:rsid w:val="002D5546"/>
    <w:rsid w:val="002E05E3"/>
    <w:rsid w:val="002E39C9"/>
    <w:rsid w:val="002E6D47"/>
    <w:rsid w:val="00303A2A"/>
    <w:rsid w:val="003064AD"/>
    <w:rsid w:val="003076E9"/>
    <w:rsid w:val="00311443"/>
    <w:rsid w:val="00322566"/>
    <w:rsid w:val="00322AA7"/>
    <w:rsid w:val="0033200C"/>
    <w:rsid w:val="00334A24"/>
    <w:rsid w:val="0034150A"/>
    <w:rsid w:val="00343BDC"/>
    <w:rsid w:val="00352872"/>
    <w:rsid w:val="0035674D"/>
    <w:rsid w:val="003A3258"/>
    <w:rsid w:val="003B17C5"/>
    <w:rsid w:val="003B3211"/>
    <w:rsid w:val="003D1465"/>
    <w:rsid w:val="003D5ED6"/>
    <w:rsid w:val="003F1CCA"/>
    <w:rsid w:val="003F297C"/>
    <w:rsid w:val="0040315B"/>
    <w:rsid w:val="004113DC"/>
    <w:rsid w:val="00413A57"/>
    <w:rsid w:val="00421B6C"/>
    <w:rsid w:val="00426286"/>
    <w:rsid w:val="00426291"/>
    <w:rsid w:val="00426477"/>
    <w:rsid w:val="004271BC"/>
    <w:rsid w:val="00435599"/>
    <w:rsid w:val="00440CCA"/>
    <w:rsid w:val="00456EC9"/>
    <w:rsid w:val="00462340"/>
    <w:rsid w:val="00464015"/>
    <w:rsid w:val="00471AA3"/>
    <w:rsid w:val="00474494"/>
    <w:rsid w:val="004807F8"/>
    <w:rsid w:val="00496A29"/>
    <w:rsid w:val="004B441F"/>
    <w:rsid w:val="004C2EBC"/>
    <w:rsid w:val="004C7FCB"/>
    <w:rsid w:val="004D3DE7"/>
    <w:rsid w:val="004D4FB3"/>
    <w:rsid w:val="004E5A84"/>
    <w:rsid w:val="004F472D"/>
    <w:rsid w:val="004F7853"/>
    <w:rsid w:val="00501388"/>
    <w:rsid w:val="005054B9"/>
    <w:rsid w:val="00525112"/>
    <w:rsid w:val="00550D65"/>
    <w:rsid w:val="005575AE"/>
    <w:rsid w:val="00571136"/>
    <w:rsid w:val="00575D16"/>
    <w:rsid w:val="0059430E"/>
    <w:rsid w:val="005B1751"/>
    <w:rsid w:val="005C26FD"/>
    <w:rsid w:val="005C7DCB"/>
    <w:rsid w:val="005D0E22"/>
    <w:rsid w:val="005E1FFC"/>
    <w:rsid w:val="00600E5C"/>
    <w:rsid w:val="00617E99"/>
    <w:rsid w:val="00620B2A"/>
    <w:rsid w:val="00623355"/>
    <w:rsid w:val="00627AE8"/>
    <w:rsid w:val="0063445E"/>
    <w:rsid w:val="006358C9"/>
    <w:rsid w:val="0065287E"/>
    <w:rsid w:val="00655D9A"/>
    <w:rsid w:val="00672479"/>
    <w:rsid w:val="00682625"/>
    <w:rsid w:val="00691A75"/>
    <w:rsid w:val="00692CD9"/>
    <w:rsid w:val="006974DE"/>
    <w:rsid w:val="006A1765"/>
    <w:rsid w:val="006A66C9"/>
    <w:rsid w:val="006A774F"/>
    <w:rsid w:val="006B4AAD"/>
    <w:rsid w:val="006B5588"/>
    <w:rsid w:val="006C041C"/>
    <w:rsid w:val="006C274C"/>
    <w:rsid w:val="006C2761"/>
    <w:rsid w:val="006C3A73"/>
    <w:rsid w:val="006C3B49"/>
    <w:rsid w:val="006D22B1"/>
    <w:rsid w:val="006D42C6"/>
    <w:rsid w:val="006D464E"/>
    <w:rsid w:val="006D4D77"/>
    <w:rsid w:val="006E49AB"/>
    <w:rsid w:val="006E6D90"/>
    <w:rsid w:val="006F4A0D"/>
    <w:rsid w:val="00711D7E"/>
    <w:rsid w:val="00713BF3"/>
    <w:rsid w:val="007155AC"/>
    <w:rsid w:val="00740FEF"/>
    <w:rsid w:val="007436F2"/>
    <w:rsid w:val="00745976"/>
    <w:rsid w:val="00752154"/>
    <w:rsid w:val="007568DA"/>
    <w:rsid w:val="0076136E"/>
    <w:rsid w:val="00762861"/>
    <w:rsid w:val="00767C46"/>
    <w:rsid w:val="00784004"/>
    <w:rsid w:val="00796429"/>
    <w:rsid w:val="007A2299"/>
    <w:rsid w:val="007B25ED"/>
    <w:rsid w:val="007C05E6"/>
    <w:rsid w:val="007C2DEC"/>
    <w:rsid w:val="007C3A55"/>
    <w:rsid w:val="007E3E50"/>
    <w:rsid w:val="007F63B2"/>
    <w:rsid w:val="008057DD"/>
    <w:rsid w:val="008068BF"/>
    <w:rsid w:val="008078A5"/>
    <w:rsid w:val="00826F8C"/>
    <w:rsid w:val="00837695"/>
    <w:rsid w:val="00841612"/>
    <w:rsid w:val="00844348"/>
    <w:rsid w:val="0084436D"/>
    <w:rsid w:val="00873A13"/>
    <w:rsid w:val="008B2BDA"/>
    <w:rsid w:val="008B4D3F"/>
    <w:rsid w:val="008D0D79"/>
    <w:rsid w:val="008D1FFC"/>
    <w:rsid w:val="008D64AE"/>
    <w:rsid w:val="008E5F3A"/>
    <w:rsid w:val="008F002F"/>
    <w:rsid w:val="00902937"/>
    <w:rsid w:val="00904491"/>
    <w:rsid w:val="009128F1"/>
    <w:rsid w:val="00914A44"/>
    <w:rsid w:val="009215D6"/>
    <w:rsid w:val="00923F14"/>
    <w:rsid w:val="0093009E"/>
    <w:rsid w:val="0094121A"/>
    <w:rsid w:val="009424FC"/>
    <w:rsid w:val="009462BF"/>
    <w:rsid w:val="00956D38"/>
    <w:rsid w:val="00960535"/>
    <w:rsid w:val="00967FBB"/>
    <w:rsid w:val="009727EA"/>
    <w:rsid w:val="00973F0B"/>
    <w:rsid w:val="009845D9"/>
    <w:rsid w:val="00984A61"/>
    <w:rsid w:val="009A5C4C"/>
    <w:rsid w:val="009B2534"/>
    <w:rsid w:val="009C053F"/>
    <w:rsid w:val="009C2DBF"/>
    <w:rsid w:val="009C2FF6"/>
    <w:rsid w:val="00A042FD"/>
    <w:rsid w:val="00A044B2"/>
    <w:rsid w:val="00A05328"/>
    <w:rsid w:val="00A1090D"/>
    <w:rsid w:val="00A11BF9"/>
    <w:rsid w:val="00A16AB0"/>
    <w:rsid w:val="00A2019A"/>
    <w:rsid w:val="00A3035F"/>
    <w:rsid w:val="00A3675E"/>
    <w:rsid w:val="00A5210E"/>
    <w:rsid w:val="00A5321A"/>
    <w:rsid w:val="00A60003"/>
    <w:rsid w:val="00A71499"/>
    <w:rsid w:val="00A73B72"/>
    <w:rsid w:val="00A8616D"/>
    <w:rsid w:val="00A935C0"/>
    <w:rsid w:val="00AB1309"/>
    <w:rsid w:val="00AB5A7A"/>
    <w:rsid w:val="00AB6C4C"/>
    <w:rsid w:val="00AC1EEF"/>
    <w:rsid w:val="00B158EC"/>
    <w:rsid w:val="00B23D1B"/>
    <w:rsid w:val="00B42A2E"/>
    <w:rsid w:val="00B43F3A"/>
    <w:rsid w:val="00B46C99"/>
    <w:rsid w:val="00B56780"/>
    <w:rsid w:val="00B56B75"/>
    <w:rsid w:val="00B83BAD"/>
    <w:rsid w:val="00B8432E"/>
    <w:rsid w:val="00B8511D"/>
    <w:rsid w:val="00B90803"/>
    <w:rsid w:val="00BA4FA1"/>
    <w:rsid w:val="00BB3DBE"/>
    <w:rsid w:val="00BB5392"/>
    <w:rsid w:val="00BB724C"/>
    <w:rsid w:val="00BC0016"/>
    <w:rsid w:val="00BC7AEE"/>
    <w:rsid w:val="00BD33A6"/>
    <w:rsid w:val="00BD69B0"/>
    <w:rsid w:val="00BE1444"/>
    <w:rsid w:val="00BE339D"/>
    <w:rsid w:val="00BE7945"/>
    <w:rsid w:val="00BF1278"/>
    <w:rsid w:val="00C03E87"/>
    <w:rsid w:val="00C21D64"/>
    <w:rsid w:val="00C22F0C"/>
    <w:rsid w:val="00C334A1"/>
    <w:rsid w:val="00C3722E"/>
    <w:rsid w:val="00C6016A"/>
    <w:rsid w:val="00C63BAD"/>
    <w:rsid w:val="00C7008A"/>
    <w:rsid w:val="00C854F6"/>
    <w:rsid w:val="00C916ED"/>
    <w:rsid w:val="00C969B4"/>
    <w:rsid w:val="00CA032E"/>
    <w:rsid w:val="00CB329A"/>
    <w:rsid w:val="00CB7D59"/>
    <w:rsid w:val="00CC1D8A"/>
    <w:rsid w:val="00CD03A9"/>
    <w:rsid w:val="00CE583C"/>
    <w:rsid w:val="00D04707"/>
    <w:rsid w:val="00D05E01"/>
    <w:rsid w:val="00D11083"/>
    <w:rsid w:val="00D11132"/>
    <w:rsid w:val="00D11FE6"/>
    <w:rsid w:val="00D3237D"/>
    <w:rsid w:val="00D32934"/>
    <w:rsid w:val="00D33EF7"/>
    <w:rsid w:val="00D34F86"/>
    <w:rsid w:val="00D549B0"/>
    <w:rsid w:val="00D55A40"/>
    <w:rsid w:val="00D66FDD"/>
    <w:rsid w:val="00DC7C15"/>
    <w:rsid w:val="00E20413"/>
    <w:rsid w:val="00E22435"/>
    <w:rsid w:val="00E3282F"/>
    <w:rsid w:val="00E35907"/>
    <w:rsid w:val="00E43449"/>
    <w:rsid w:val="00E47AFF"/>
    <w:rsid w:val="00E54E33"/>
    <w:rsid w:val="00E62097"/>
    <w:rsid w:val="00E72784"/>
    <w:rsid w:val="00EB7AC0"/>
    <w:rsid w:val="00EC04DD"/>
    <w:rsid w:val="00ED4FF9"/>
    <w:rsid w:val="00ED712B"/>
    <w:rsid w:val="00EE1103"/>
    <w:rsid w:val="00EE6AB4"/>
    <w:rsid w:val="00EF1424"/>
    <w:rsid w:val="00F06FF7"/>
    <w:rsid w:val="00F07A3C"/>
    <w:rsid w:val="00F161E2"/>
    <w:rsid w:val="00F24752"/>
    <w:rsid w:val="00F32430"/>
    <w:rsid w:val="00F346AB"/>
    <w:rsid w:val="00F44473"/>
    <w:rsid w:val="00F464F5"/>
    <w:rsid w:val="00F50B99"/>
    <w:rsid w:val="00F9033A"/>
    <w:rsid w:val="00F9383A"/>
    <w:rsid w:val="00F95C72"/>
    <w:rsid w:val="00FF06ED"/>
    <w:rsid w:val="00FF3D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0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paragraph" w:customStyle="1" w:styleId="AnnexTitle">
    <w:name w:val="Annex_Title"/>
    <w:basedOn w:val="Normal"/>
    <w:next w:val="Normalaftertitle"/>
    <w:rsid w:val="00745976"/>
    <w:pPr>
      <w:keepNext/>
      <w:keepLines/>
      <w:spacing w:before="240" w:after="280"/>
      <w:jc w:val="center"/>
    </w:pPr>
    <w:rPr>
      <w:rFonts w:eastAsia="Times New Roman"/>
      <w:b/>
    </w:rPr>
  </w:style>
  <w:style w:type="paragraph" w:customStyle="1" w:styleId="Normalaftertitle">
    <w:name w:val="Normal after title"/>
    <w:basedOn w:val="Normal"/>
    <w:next w:val="Normal"/>
    <w:rsid w:val="00745976"/>
    <w:pPr>
      <w:spacing w:before="320"/>
    </w:pPr>
    <w:rPr>
      <w:rFonts w:eastAsia="Times New Roman"/>
    </w:rPr>
  </w:style>
  <w:style w:type="character" w:styleId="FollowedHyperlink">
    <w:name w:val="FollowedHyperlink"/>
    <w:basedOn w:val="DefaultParagraphFont"/>
    <w:rsid w:val="0028604D"/>
    <w:rPr>
      <w:color w:val="800080" w:themeColor="followedHyperlink"/>
      <w:u w:val="single"/>
    </w:rPr>
  </w:style>
  <w:style w:type="paragraph" w:customStyle="1" w:styleId="Reasons">
    <w:name w:val="Reasons"/>
    <w:basedOn w:val="Normal"/>
    <w:qFormat/>
    <w:rsid w:val="0032256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ppendixRef">
    <w:name w:val="Appendix_Ref"/>
    <w:basedOn w:val="Normal"/>
    <w:next w:val="Normal"/>
    <w:rsid w:val="00F32430"/>
    <w:pPr>
      <w:keepNext/>
      <w:keepLines/>
      <w:jc w:val="center"/>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0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paragraph" w:customStyle="1" w:styleId="AnnexTitle">
    <w:name w:val="Annex_Title"/>
    <w:basedOn w:val="Normal"/>
    <w:next w:val="Normalaftertitle"/>
    <w:rsid w:val="00745976"/>
    <w:pPr>
      <w:keepNext/>
      <w:keepLines/>
      <w:spacing w:before="240" w:after="280"/>
      <w:jc w:val="center"/>
    </w:pPr>
    <w:rPr>
      <w:rFonts w:eastAsia="Times New Roman"/>
      <w:b/>
    </w:rPr>
  </w:style>
  <w:style w:type="paragraph" w:customStyle="1" w:styleId="Normalaftertitle">
    <w:name w:val="Normal after title"/>
    <w:basedOn w:val="Normal"/>
    <w:next w:val="Normal"/>
    <w:rsid w:val="00745976"/>
    <w:pPr>
      <w:spacing w:before="320"/>
    </w:pPr>
    <w:rPr>
      <w:rFonts w:eastAsia="Times New Roman"/>
    </w:rPr>
  </w:style>
  <w:style w:type="character" w:styleId="FollowedHyperlink">
    <w:name w:val="FollowedHyperlink"/>
    <w:basedOn w:val="DefaultParagraphFont"/>
    <w:rsid w:val="0028604D"/>
    <w:rPr>
      <w:color w:val="800080" w:themeColor="followedHyperlink"/>
      <w:u w:val="single"/>
    </w:rPr>
  </w:style>
  <w:style w:type="paragraph" w:customStyle="1" w:styleId="Reasons">
    <w:name w:val="Reasons"/>
    <w:basedOn w:val="Normal"/>
    <w:qFormat/>
    <w:rsid w:val="0032256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ppendixRef">
    <w:name w:val="Appendix_Ref"/>
    <w:basedOn w:val="Normal"/>
    <w:next w:val="Normal"/>
    <w:rsid w:val="00F32430"/>
    <w:pPr>
      <w:keepNext/>
      <w:keepLines/>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Heineman@ntia.do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cacop@lists.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jcacop@itu.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sbjcacop@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5BD7-4429-4DCA-90AE-522B2512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56</TotalTime>
  <Pages>3</Pages>
  <Words>1528</Words>
  <Characters>780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2304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Norton Viard, Emma</cp:lastModifiedBy>
  <cp:revision>31</cp:revision>
  <cp:lastPrinted>2012-10-08T12:53:00Z</cp:lastPrinted>
  <dcterms:created xsi:type="dcterms:W3CDTF">2012-10-08T12:01:00Z</dcterms:created>
  <dcterms:modified xsi:type="dcterms:W3CDTF">2012-10-09T10:11:00Z</dcterms:modified>
</cp:coreProperties>
</file>