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1531FC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1F53F06F" wp14:editId="723B9921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328"/>
        <w:gridCol w:w="4760"/>
      </w:tblGrid>
      <w:tr w:rsidR="00007569" w:rsidRPr="00007569" w:rsidTr="00A863EB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2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BA57FB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BA57FB">
              <w:rPr>
                <w:lang w:bidi="ar-SY"/>
              </w:rPr>
              <w:t>26</w:t>
            </w:r>
            <w:r w:rsidR="00647D24">
              <w:rPr>
                <w:rFonts w:hint="cs"/>
                <w:rtl/>
                <w:lang w:bidi="ar-SY"/>
              </w:rPr>
              <w:t xml:space="preserve"> </w:t>
            </w:r>
            <w:r w:rsidR="00FF4D18">
              <w:rPr>
                <w:rFonts w:hint="cs"/>
                <w:rtl/>
                <w:lang w:bidi="ar-SY"/>
              </w:rPr>
              <w:t>أكتوبر</w:t>
            </w:r>
            <w:r w:rsidR="00647D24">
              <w:rPr>
                <w:rFonts w:hint="cs"/>
                <w:rtl/>
                <w:lang w:bidi="ar-SY"/>
              </w:rPr>
              <w:t xml:space="preserve"> </w:t>
            </w:r>
            <w:r w:rsidR="00647D24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A863EB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28" w:type="dxa"/>
          </w:tcPr>
          <w:p w:rsidR="00007569" w:rsidRPr="008F3576" w:rsidRDefault="00FF4D18" w:rsidP="00DA69F0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8F3576">
              <w:rPr>
                <w:rFonts w:ascii="Times New Roman Bold" w:hAnsi="Times New Roman Bold" w:hint="cs"/>
                <w:b/>
                <w:bCs/>
                <w:rtl/>
              </w:rPr>
              <w:t>التصويب </w:t>
            </w:r>
            <w:r w:rsidRPr="008F3576">
              <w:rPr>
                <w:rFonts w:ascii="Times New Roman Bold" w:hAnsi="Times New Roman Bold"/>
                <w:b/>
                <w:bCs/>
              </w:rPr>
              <w:t>1</w:t>
            </w:r>
            <w:r w:rsidRPr="008F357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</w:t>
            </w:r>
            <w:r w:rsidR="00BA57FB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المعممة</w:t>
            </w:r>
            <w:r w:rsidRPr="008F357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br/>
            </w:r>
            <w:r w:rsidR="00C5483C" w:rsidRPr="008F3576">
              <w:rPr>
                <w:rFonts w:ascii="Times New Roman Bold" w:hAnsi="Times New Roman Bold"/>
                <w:b/>
                <w:bCs/>
              </w:rPr>
              <w:t>TSB</w:t>
            </w:r>
            <w:r w:rsidR="00F03585" w:rsidRPr="008F3576">
              <w:rPr>
                <w:rFonts w:ascii="Times New Roman Bold" w:hAnsi="Times New Roman Bold"/>
                <w:b/>
                <w:bCs/>
              </w:rPr>
              <w:t> </w:t>
            </w:r>
            <w:r w:rsidR="00C5483C" w:rsidRPr="008F3576">
              <w:rPr>
                <w:rFonts w:ascii="Times New Roman Bold" w:hAnsi="Times New Roman Bold"/>
                <w:b/>
                <w:bCs/>
              </w:rPr>
              <w:t>Circular</w:t>
            </w:r>
            <w:r w:rsidR="00DA69F0" w:rsidRPr="008F3576">
              <w:rPr>
                <w:rFonts w:ascii="Times New Roman Bold" w:hAnsi="Times New Roman Bold"/>
                <w:b/>
                <w:bCs/>
              </w:rPr>
              <w:t> </w:t>
            </w:r>
            <w:r w:rsidR="00647D24" w:rsidRPr="008F3576">
              <w:rPr>
                <w:rFonts w:ascii="Times New Roman Bold" w:hAnsi="Times New Roman Bold"/>
                <w:b/>
                <w:bCs/>
              </w:rPr>
              <w:t>3</w:t>
            </w:r>
            <w:r w:rsidR="00A863EB" w:rsidRPr="008F3576">
              <w:rPr>
                <w:rFonts w:ascii="Times New Roman Bold" w:hAnsi="Times New Roman Bold"/>
                <w:b/>
                <w:bCs/>
              </w:rPr>
              <w:t>10</w:t>
            </w:r>
          </w:p>
          <w:p w:rsidR="00007569" w:rsidRPr="00007569" w:rsidRDefault="00A863EB" w:rsidP="00117C18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bCs/>
              </w:rPr>
              <w:t>COM</w:t>
            </w:r>
            <w:r w:rsidR="00117C18">
              <w:rPr>
                <w:bCs/>
              </w:rPr>
              <w:t> </w:t>
            </w:r>
            <w:r>
              <w:rPr>
                <w:bCs/>
              </w:rPr>
              <w:t>17/MEU</w:t>
            </w:r>
          </w:p>
        </w:tc>
        <w:tc>
          <w:tcPr>
            <w:tcW w:w="4760" w:type="dxa"/>
          </w:tcPr>
          <w:p w:rsidR="00007569" w:rsidRPr="00007569" w:rsidRDefault="00007569" w:rsidP="001C5405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  <w:p w:rsidR="00007569" w:rsidRPr="00007569" w:rsidRDefault="00007569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</w:pPr>
          </w:p>
        </w:tc>
      </w:tr>
      <w:tr w:rsidR="00007569" w:rsidRPr="00007569" w:rsidTr="00A863EB">
        <w:trPr>
          <w:cantSplit/>
        </w:trPr>
        <w:tc>
          <w:tcPr>
            <w:tcW w:w="1545" w:type="dxa"/>
          </w:tcPr>
          <w:p w:rsidR="00007569" w:rsidRPr="00007569" w:rsidRDefault="00007569" w:rsidP="00FF4D18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  <w:r w:rsidR="00FF4D18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28" w:type="dxa"/>
          </w:tcPr>
          <w:p w:rsidR="00007569" w:rsidRPr="00007569" w:rsidRDefault="00C33D50" w:rsidP="00FF4D18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552D6F">
              <w:t> </w:t>
            </w:r>
            <w:r>
              <w:t>22</w:t>
            </w:r>
            <w:r w:rsidR="00552D6F">
              <w:t> </w:t>
            </w:r>
            <w:r>
              <w:t>730</w:t>
            </w:r>
            <w:r w:rsidR="00552D6F">
              <w:t> </w:t>
            </w:r>
            <w:r w:rsidR="00647D24">
              <w:t>58</w:t>
            </w:r>
            <w:r w:rsidR="00A863EB">
              <w:t>66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552D6F">
              <w:t> </w:t>
            </w:r>
            <w:r w:rsidR="00007569" w:rsidRPr="00007569">
              <w:t>22</w:t>
            </w:r>
            <w:r w:rsidR="00552D6F">
              <w:t> </w:t>
            </w:r>
            <w:r w:rsidR="00007569" w:rsidRPr="00007569">
              <w:t>730</w:t>
            </w:r>
            <w:r w:rsidR="00552D6F">
              <w:t> </w:t>
            </w:r>
            <w:r w:rsidR="00007569" w:rsidRPr="00007569">
              <w:t>5853</w:t>
            </w:r>
            <w:r w:rsidR="00FF4D18">
              <w:rPr>
                <w:rFonts w:hint="cs"/>
                <w:rtl/>
                <w:lang w:bidi="ar-EG"/>
              </w:rPr>
              <w:br/>
            </w:r>
            <w:hyperlink r:id="rId10" w:history="1">
              <w:r w:rsidR="00A863EB" w:rsidRPr="00AE6A01">
                <w:rPr>
                  <w:rStyle w:val="Hyperlink"/>
                </w:rPr>
                <w:t>tsbsg17@itu.int</w:t>
              </w:r>
            </w:hyperlink>
            <w:bookmarkStart w:id="0" w:name="_GoBack"/>
            <w:bookmarkEnd w:id="0"/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647D24" w:rsidRPr="00DC5505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647D24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المنتسبين إلى قطاع تقييس الاتصالات؛</w:t>
            </w:r>
          </w:p>
          <w:p w:rsidR="00647D24" w:rsidRPr="00E448CA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647D24" w:rsidRPr="00DC5505" w:rsidRDefault="00647D24" w:rsidP="00A863EB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رئيس لجنة الدراسات </w:t>
            </w:r>
            <w:r w:rsidR="00A863EB">
              <w:t>17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647D24" w:rsidRPr="00DC5505" w:rsidRDefault="00647D24" w:rsidP="00647D24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007569" w:rsidRPr="00007569" w:rsidRDefault="00647D24" w:rsidP="00647D2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A863EB">
        <w:trPr>
          <w:cantSplit/>
        </w:trPr>
        <w:tc>
          <w:tcPr>
            <w:tcW w:w="1545" w:type="dxa"/>
          </w:tcPr>
          <w:p w:rsidR="00F71CA3" w:rsidRPr="00007569" w:rsidRDefault="00F71CA3" w:rsidP="006407D3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28" w:type="dxa"/>
          </w:tcPr>
          <w:p w:rsidR="00F71CA3" w:rsidRPr="00007569" w:rsidRDefault="00F71CA3" w:rsidP="006407D3">
            <w:pPr>
              <w:tabs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6407D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A863EB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088" w:type="dxa"/>
            <w:gridSpan w:val="2"/>
          </w:tcPr>
          <w:p w:rsidR="00F71CA3" w:rsidRPr="003F723C" w:rsidRDefault="00A863EB" w:rsidP="001531FC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الموافقة على التوصيات الجديدة</w:t>
            </w:r>
            <w:r w:rsidRPr="003F723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b/>
                <w:bCs/>
                <w:lang w:bidi="ar-EG"/>
              </w:rPr>
              <w:t>ITU</w:t>
            </w:r>
            <w:r w:rsidRPr="003F723C">
              <w:rPr>
                <w:b/>
                <w:bCs/>
                <w:lang w:bidi="ar-EG"/>
              </w:rPr>
              <w:noBreakHyphen/>
              <w:t>T X.1054</w:t>
            </w:r>
            <w:r w:rsidRPr="003F723C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3F723C">
              <w:rPr>
                <w:b/>
                <w:bCs/>
                <w:lang w:bidi="ar-SY"/>
              </w:rPr>
              <w:t>ITU</w:t>
            </w:r>
            <w:r w:rsidRPr="003F723C">
              <w:rPr>
                <w:b/>
                <w:bCs/>
                <w:lang w:bidi="ar-SY"/>
              </w:rPr>
              <w:noBreakHyphen/>
              <w:t>T X.1254</w:t>
            </w:r>
            <w:r w:rsidRPr="003F723C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3F723C">
              <w:rPr>
                <w:b/>
                <w:bCs/>
                <w:lang w:bidi="ar-SY"/>
              </w:rPr>
              <w:t>ITU</w:t>
            </w:r>
            <w:r w:rsidRPr="003F723C">
              <w:rPr>
                <w:b/>
                <w:bCs/>
                <w:lang w:bidi="ar-SY"/>
              </w:rPr>
              <w:noBreakHyphen/>
              <w:t>T X.1528</w:t>
            </w:r>
            <w:r w:rsidRPr="003F723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X.1528.1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X.1528.2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X.1528.3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X.1528</w:t>
            </w:r>
            <w:r w:rsidRPr="003F723C">
              <w:rPr>
                <w:rFonts w:ascii="Times New Roman Bold" w:hAnsi="Times New Roman Bold"/>
                <w:b/>
                <w:bCs/>
                <w:lang w:bidi="ar-EG"/>
              </w:rPr>
              <w:t>.4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X.1541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X.1580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و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t>ITU</w:t>
            </w:r>
            <w:r w:rsidRPr="003F723C">
              <w:rPr>
                <w:rFonts w:ascii="Times New Roman Bold" w:hAnsi="Times New Roman Bold"/>
                <w:b/>
                <w:bCs/>
                <w:lang w:bidi="ar-SY"/>
              </w:rPr>
              <w:noBreakHyphen/>
              <w:t>T X.1581</w:t>
            </w:r>
            <w:r w:rsidRPr="003F723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توقُف العمل على</w:t>
            </w:r>
            <w:r w:rsidR="001531FC"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مشروعي التوصيتين الجديدتين</w:t>
            </w:r>
            <w:r w:rsidRPr="003F723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F723C">
              <w:rPr>
                <w:b/>
                <w:bCs/>
                <w:lang w:bidi="ar-EG"/>
              </w:rPr>
              <w:t>ITU</w:t>
            </w:r>
            <w:r w:rsidRPr="003F723C">
              <w:rPr>
                <w:b/>
                <w:bCs/>
                <w:lang w:bidi="ar-EG"/>
              </w:rPr>
              <w:noBreakHyphen/>
              <w:t>T X.</w:t>
            </w:r>
            <w:r w:rsidR="001531FC" w:rsidRPr="003F723C">
              <w:rPr>
                <w:b/>
                <w:bCs/>
                <w:lang w:bidi="ar-EG"/>
              </w:rPr>
              <w:t>1037</w:t>
            </w:r>
            <w:r w:rsidRPr="003F723C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3F723C">
              <w:rPr>
                <w:b/>
                <w:bCs/>
                <w:lang w:bidi="ar-SY"/>
              </w:rPr>
              <w:t>ITU</w:t>
            </w:r>
            <w:r w:rsidRPr="003F723C">
              <w:rPr>
                <w:b/>
                <w:bCs/>
                <w:lang w:bidi="ar-SY"/>
              </w:rPr>
              <w:noBreakHyphen/>
              <w:t>T X.1527</w:t>
            </w:r>
          </w:p>
        </w:tc>
      </w:tr>
    </w:tbl>
    <w:p w:rsidR="00007569" w:rsidRPr="000302D3" w:rsidRDefault="00007569" w:rsidP="005821D3">
      <w:pPr>
        <w:spacing w:before="600"/>
        <w:rPr>
          <w:rtl/>
          <w:lang w:bidi="ar-EG"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6768C0" w:rsidRDefault="006768C0" w:rsidP="00BA57FB">
      <w:pPr>
        <w:rPr>
          <w:rtl/>
          <w:lang w:bidi="ar-SY"/>
        </w:rPr>
      </w:pPr>
      <w:proofErr w:type="gramStart"/>
      <w:r w:rsidRPr="000302D3">
        <w:t>1</w:t>
      </w:r>
      <w:r w:rsidRPr="00A23AEF">
        <w:tab/>
      </w:r>
      <w:r w:rsidRPr="00A23AEF">
        <w:rPr>
          <w:rFonts w:hint="cs"/>
          <w:rtl/>
        </w:rPr>
        <w:t xml:space="preserve">إلحاقاً بالرسالة المعممة </w:t>
      </w:r>
      <w:r w:rsidRPr="00A23AEF">
        <w:t>TSB </w:t>
      </w:r>
      <w:r w:rsidR="00845352">
        <w:t>310</w:t>
      </w:r>
      <w:r w:rsidRPr="00A23AEF">
        <w:rPr>
          <w:rFonts w:hint="cs"/>
          <w:rtl/>
        </w:rPr>
        <w:t xml:space="preserve"> </w:t>
      </w:r>
      <w:r w:rsidRPr="00A23AEF">
        <w:rPr>
          <w:rFonts w:hint="cs"/>
          <w:rtl/>
          <w:lang w:bidi="ar-EG"/>
        </w:rPr>
        <w:t xml:space="preserve">المؤرخة </w:t>
      </w:r>
      <w:r w:rsidR="00845352">
        <w:rPr>
          <w:lang w:bidi="ar-EG"/>
        </w:rPr>
        <w:t>11</w:t>
      </w:r>
      <w:r>
        <w:rPr>
          <w:rFonts w:hint="cs"/>
          <w:rtl/>
          <w:lang w:bidi="ar-SY"/>
        </w:rPr>
        <w:t xml:space="preserve"> </w:t>
      </w:r>
      <w:r w:rsidR="00845352">
        <w:rPr>
          <w:rFonts w:hint="cs"/>
          <w:rtl/>
          <w:lang w:bidi="ar-SY"/>
        </w:rPr>
        <w:t>سبتمبر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2012</w:t>
      </w:r>
      <w:r w:rsidRPr="00A23AEF">
        <w:rPr>
          <w:rFonts w:hint="cs"/>
          <w:rtl/>
          <w:lang w:bidi="ar-EG"/>
        </w:rPr>
        <w:t xml:space="preserve">، </w:t>
      </w:r>
      <w:r w:rsidR="00BA57FB">
        <w:rPr>
          <w:rFonts w:hint="cs"/>
          <w:rtl/>
          <w:lang w:bidi="ar-EG"/>
        </w:rPr>
        <w:t>أود إفادتكم بعد</w:t>
      </w:r>
      <w:r w:rsidR="00D40E1E">
        <w:rPr>
          <w:rFonts w:hint="cs"/>
          <w:rtl/>
          <w:lang w:bidi="ar-EG"/>
        </w:rPr>
        <w:t>م</w:t>
      </w:r>
      <w:r w:rsidR="00BA57FB">
        <w:rPr>
          <w:rFonts w:hint="cs"/>
          <w:rtl/>
          <w:lang w:bidi="ar-EG"/>
        </w:rPr>
        <w:t xml:space="preserve"> التمكن من حل أوجه الاختلاف بين النص الموافق عليه للتوصية </w:t>
      </w:r>
      <w:r w:rsidR="00BA57FB">
        <w:rPr>
          <w:lang w:bidi="ar-EG"/>
        </w:rPr>
        <w:t>ITU</w:t>
      </w:r>
      <w:r w:rsidR="00BA57FB">
        <w:rPr>
          <w:lang w:bidi="ar-EG"/>
        </w:rPr>
        <w:noBreakHyphen/>
        <w:t>T X.1254</w:t>
      </w:r>
      <w:r w:rsidR="00BA57FB">
        <w:rPr>
          <w:rFonts w:hint="cs"/>
          <w:rtl/>
          <w:lang w:bidi="ar-EG"/>
        </w:rPr>
        <w:t xml:space="preserve"> والنص المعد لاستطلاع الرأي بشأن المعيار </w:t>
      </w:r>
      <w:r w:rsidR="00BA57FB">
        <w:rPr>
          <w:szCs w:val="24"/>
        </w:rPr>
        <w:t xml:space="preserve">ISO/IEC </w:t>
      </w:r>
      <w:r w:rsidR="00BA57FB" w:rsidRPr="00281C55">
        <w:rPr>
          <w:szCs w:val="24"/>
        </w:rPr>
        <w:t>FDIS 29115</w:t>
      </w:r>
      <w:r w:rsidR="00845352">
        <w:rPr>
          <w:rFonts w:hint="cs"/>
          <w:rtl/>
          <w:lang w:bidi="ar-EG"/>
        </w:rPr>
        <w:t>.</w:t>
      </w:r>
      <w:proofErr w:type="gramEnd"/>
    </w:p>
    <w:p w:rsidR="006768C0" w:rsidRPr="00BA57FB" w:rsidRDefault="00845352" w:rsidP="00BA57FB">
      <w:pPr>
        <w:rPr>
          <w:spacing w:val="-10"/>
          <w:lang w:bidi="ar-EG"/>
        </w:rPr>
      </w:pPr>
      <w:proofErr w:type="gramStart"/>
      <w:r w:rsidRPr="00BA57FB">
        <w:rPr>
          <w:spacing w:val="-10"/>
          <w:lang w:bidi="ar-SY"/>
        </w:rPr>
        <w:t>2</w:t>
      </w:r>
      <w:r w:rsidR="006768C0" w:rsidRPr="00BA57FB">
        <w:rPr>
          <w:spacing w:val="-10"/>
          <w:lang w:bidi="ar-SY"/>
        </w:rPr>
        <w:tab/>
      </w:r>
      <w:r w:rsidR="00BA57FB" w:rsidRPr="00BA57FB">
        <w:rPr>
          <w:rFonts w:hint="cs"/>
          <w:spacing w:val="-10"/>
          <w:rtl/>
          <w:lang w:bidi="ar-EG"/>
        </w:rPr>
        <w:t xml:space="preserve">وبالتالي، توقف العمل على المشروع المشترك </w:t>
      </w:r>
      <w:r w:rsidR="00BA57FB" w:rsidRPr="00BA57FB">
        <w:rPr>
          <w:spacing w:val="-10"/>
          <w:szCs w:val="24"/>
        </w:rPr>
        <w:t>ITU-T X.1254 | ISO/IEC 29115</w:t>
      </w:r>
      <w:r w:rsidR="00BA57FB" w:rsidRPr="00BA57FB">
        <w:rPr>
          <w:rFonts w:hint="cs"/>
          <w:spacing w:val="-10"/>
          <w:rtl/>
          <w:lang w:bidi="ar-EG"/>
        </w:rPr>
        <w:t xml:space="preserve"> ولن ينشر أي نص مشترك أو نص مزدوج.</w:t>
      </w:r>
      <w:proofErr w:type="gramEnd"/>
    </w:p>
    <w:p w:rsidR="006768C0" w:rsidRDefault="00F57B27" w:rsidP="00BA57FB">
      <w:pPr>
        <w:rPr>
          <w:lang w:bidi="ar-EG"/>
        </w:rPr>
      </w:pPr>
      <w:proofErr w:type="gramStart"/>
      <w:r>
        <w:rPr>
          <w:lang w:bidi="ar-EG"/>
        </w:rPr>
        <w:t>3</w:t>
      </w:r>
      <w:r w:rsidR="006768C0">
        <w:rPr>
          <w:rFonts w:hint="cs"/>
          <w:rtl/>
          <w:lang w:bidi="ar-EG"/>
        </w:rPr>
        <w:tab/>
      </w:r>
      <w:r w:rsidR="00BA57FB">
        <w:rPr>
          <w:rFonts w:hint="cs"/>
          <w:rtl/>
          <w:lang w:bidi="ar-EG"/>
        </w:rPr>
        <w:t>وسوف ينشر الاتحاد التوصية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ITU-T </w:t>
      </w:r>
      <w:r w:rsidRPr="0085233F">
        <w:rPr>
          <w:b/>
          <w:bCs/>
          <w:lang w:bidi="ar-EG"/>
        </w:rPr>
        <w:t>X.1254</w:t>
      </w:r>
      <w:r>
        <w:rPr>
          <w:rFonts w:hint="cs"/>
          <w:rtl/>
          <w:lang w:bidi="ar-EG"/>
        </w:rPr>
        <w:t xml:space="preserve">، </w:t>
      </w:r>
      <w:r w:rsidRPr="00F57B27">
        <w:rPr>
          <w:rFonts w:hint="cs"/>
          <w:b/>
          <w:bCs/>
          <w:rtl/>
          <w:lang w:bidi="ar-EG"/>
        </w:rPr>
        <w:t>إطار ضمان استيقان الكيان</w:t>
      </w:r>
      <w:r w:rsidR="006768C0">
        <w:rPr>
          <w:rFonts w:hint="cs"/>
          <w:rtl/>
          <w:lang w:bidi="ar-EG"/>
        </w:rPr>
        <w:t>.</w:t>
      </w:r>
      <w:proofErr w:type="gramEnd"/>
    </w:p>
    <w:p w:rsidR="006768C0" w:rsidRDefault="00F57B27" w:rsidP="00472624">
      <w:pPr>
        <w:ind w:left="-6" w:firstLine="6"/>
        <w:rPr>
          <w:rtl/>
          <w:lang w:bidi="ar-EG"/>
        </w:rPr>
      </w:pPr>
      <w:proofErr w:type="gramStart"/>
      <w:r>
        <w:rPr>
          <w:lang w:bidi="ar-EG"/>
        </w:rPr>
        <w:t>4</w:t>
      </w:r>
      <w:r w:rsidR="006768C0">
        <w:rPr>
          <w:rFonts w:hint="cs"/>
          <w:rtl/>
          <w:lang w:bidi="ar-EG"/>
        </w:rPr>
        <w:tab/>
      </w:r>
      <w:r w:rsidR="00BA57FB">
        <w:rPr>
          <w:rFonts w:hint="cs"/>
          <w:rtl/>
          <w:lang w:bidi="ar-EG"/>
        </w:rPr>
        <w:t xml:space="preserve">خلال الجلسة العامة الختامية للجنة الدراسات </w:t>
      </w:r>
      <w:r w:rsidR="00BA57FB">
        <w:rPr>
          <w:lang w:bidi="ar-EG"/>
        </w:rPr>
        <w:t>17</w:t>
      </w:r>
      <w:r w:rsidR="00BA57FB">
        <w:rPr>
          <w:rFonts w:hint="cs"/>
          <w:rtl/>
          <w:lang w:bidi="ar-EG"/>
        </w:rPr>
        <w:t>، أعربت إحدى الدول الأعضاء عن تحفظ سيتم توثيقه في</w:t>
      </w:r>
      <w:r w:rsidR="00BA57FB">
        <w:rPr>
          <w:rFonts w:hint="eastAsia"/>
          <w:rtl/>
          <w:lang w:bidi="ar-EG"/>
        </w:rPr>
        <w:t> </w:t>
      </w:r>
      <w:r w:rsidR="00BA57FB">
        <w:rPr>
          <w:rFonts w:hint="cs"/>
          <w:rtl/>
          <w:lang w:bidi="ar-EG"/>
        </w:rPr>
        <w:t>الوثيقة </w:t>
      </w:r>
      <w:r w:rsidR="00BA57FB">
        <w:rPr>
          <w:lang w:bidi="ar-EG"/>
        </w:rPr>
        <w:t>COM 17</w:t>
      </w:r>
      <w:r w:rsidR="0051044E">
        <w:rPr>
          <w:lang w:bidi="ar-EG"/>
        </w:rPr>
        <w:t> </w:t>
      </w:r>
      <w:r w:rsidR="00BA57FB">
        <w:rPr>
          <w:lang w:bidi="ar-EG"/>
        </w:rPr>
        <w:noBreakHyphen/>
      </w:r>
      <w:r w:rsidR="0051044E">
        <w:rPr>
          <w:lang w:bidi="ar-EG"/>
        </w:rPr>
        <w:t> </w:t>
      </w:r>
      <w:r w:rsidR="00BA57FB">
        <w:rPr>
          <w:lang w:bidi="ar-EG"/>
        </w:rPr>
        <w:t>R</w:t>
      </w:r>
      <w:r w:rsidR="00D40E1E">
        <w:rPr>
          <w:lang w:bidi="ar-EG"/>
        </w:rPr>
        <w:t> </w:t>
      </w:r>
      <w:r w:rsidR="00BA57FB">
        <w:rPr>
          <w:lang w:bidi="ar-EG"/>
        </w:rPr>
        <w:t>62</w:t>
      </w:r>
      <w:r w:rsidR="006768C0">
        <w:rPr>
          <w:rFonts w:hint="cs"/>
          <w:rtl/>
          <w:lang w:bidi="ar-EG"/>
        </w:rPr>
        <w:t>.</w:t>
      </w:r>
      <w:proofErr w:type="gramEnd"/>
      <w:r w:rsidR="00D40E1E">
        <w:rPr>
          <w:rFonts w:hint="cs"/>
          <w:rtl/>
          <w:lang w:bidi="ar-EG"/>
        </w:rPr>
        <w:t xml:space="preserve"> وسترد </w:t>
      </w:r>
      <w:r w:rsidR="00BA57FB">
        <w:rPr>
          <w:rFonts w:hint="cs"/>
          <w:rtl/>
          <w:lang w:bidi="ar-EG"/>
        </w:rPr>
        <w:t xml:space="preserve">حاشية بعنوان التوصية </w:t>
      </w:r>
      <w:r w:rsidR="00BA57FB">
        <w:rPr>
          <w:lang w:bidi="ar-EG"/>
        </w:rPr>
        <w:t>ITU</w:t>
      </w:r>
      <w:r w:rsidR="00472624">
        <w:rPr>
          <w:lang w:bidi="ar-EG"/>
        </w:rPr>
        <w:noBreakHyphen/>
      </w:r>
      <w:r w:rsidR="00BA57FB">
        <w:rPr>
          <w:lang w:bidi="ar-EG"/>
        </w:rPr>
        <w:t>T </w:t>
      </w:r>
      <w:r w:rsidR="00BA57FB" w:rsidRPr="00BA57FB">
        <w:rPr>
          <w:lang w:bidi="ar-EG"/>
        </w:rPr>
        <w:t>X.1254</w:t>
      </w:r>
      <w:r w:rsidR="00BA57FB">
        <w:rPr>
          <w:rFonts w:hint="cs"/>
          <w:rtl/>
          <w:lang w:bidi="ar-EG"/>
        </w:rPr>
        <w:t xml:space="preserve"> لتتضمن نص التحفظ وفقاً للقرار</w:t>
      </w:r>
      <w:r w:rsidR="00BA57FB">
        <w:rPr>
          <w:rFonts w:hint="eastAsia"/>
          <w:rtl/>
          <w:lang w:bidi="ar-EG"/>
        </w:rPr>
        <w:t> </w:t>
      </w:r>
      <w:r w:rsidR="00BA57FB">
        <w:rPr>
          <w:lang w:bidi="ar-EG"/>
        </w:rPr>
        <w:t>1</w:t>
      </w:r>
      <w:r w:rsidR="00BA57FB">
        <w:rPr>
          <w:rFonts w:hint="cs"/>
          <w:rtl/>
          <w:lang w:bidi="ar-EG"/>
        </w:rPr>
        <w:t xml:space="preserve"> للجمعية العالمية لتقييس الاتصالات لعام </w:t>
      </w:r>
      <w:r w:rsidR="00BA57FB">
        <w:rPr>
          <w:lang w:bidi="ar-EG"/>
        </w:rPr>
        <w:t>2008</w:t>
      </w:r>
      <w:r w:rsidR="00BA57FB">
        <w:rPr>
          <w:rFonts w:hint="cs"/>
          <w:rtl/>
          <w:lang w:bidi="ar-EG"/>
        </w:rPr>
        <w:t>، على النحو التالي:</w:t>
      </w:r>
    </w:p>
    <w:p w:rsidR="00472624" w:rsidRDefault="00BA57FB" w:rsidP="00AE2B04">
      <w:pPr>
        <w:ind w:left="844" w:hanging="6"/>
        <w:rPr>
          <w:i/>
          <w:iCs/>
          <w:rtl/>
          <w:lang w:bidi="ar-EG"/>
        </w:rPr>
      </w:pPr>
      <w:r w:rsidRPr="00472624">
        <w:rPr>
          <w:i/>
          <w:iCs/>
          <w:lang w:bidi="ar-EG"/>
        </w:rPr>
        <w:t>[1]</w:t>
      </w:r>
      <w:r w:rsidR="005656F6" w:rsidRPr="00472624">
        <w:rPr>
          <w:rFonts w:hint="cs"/>
          <w:i/>
          <w:iCs/>
          <w:rtl/>
          <w:lang w:bidi="ar-EG"/>
        </w:rPr>
        <w:t xml:space="preserve"> أعربت جمهورية كوريا عن تحفظ ولن تطبق هذه التوصية لأنها م</w:t>
      </w:r>
      <w:r w:rsidR="00472624">
        <w:rPr>
          <w:rFonts w:hint="cs"/>
          <w:i/>
          <w:iCs/>
          <w:rtl/>
          <w:lang w:bidi="ar-EG"/>
        </w:rPr>
        <w:t>ناقضة للوائح التنظيمية في كوريا</w:t>
      </w:r>
      <w:r w:rsidR="005656F6" w:rsidRPr="00472624">
        <w:rPr>
          <w:rFonts w:hint="cs"/>
          <w:i/>
          <w:iCs/>
          <w:rtl/>
          <w:lang w:bidi="ar-EG"/>
        </w:rPr>
        <w:t xml:space="preserve"> فيما يتعلق بالمستويات الأربعة المطلوبة لضمان استيقان الكيان والمعايير المرتبطة بها لتحقيق كل من مستويات الضمان الأربعة.</w:t>
      </w:r>
    </w:p>
    <w:p w:rsidR="006768C0" w:rsidRDefault="00F57B27" w:rsidP="00085329">
      <w:pPr>
        <w:keepNext/>
        <w:keepLines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lastRenderedPageBreak/>
        <w:t>5</w:t>
      </w:r>
      <w:r w:rsidR="006768C0">
        <w:rPr>
          <w:rFonts w:hint="cs"/>
          <w:rtl/>
          <w:lang w:bidi="ar-EG"/>
        </w:rPr>
        <w:tab/>
      </w:r>
      <w:r w:rsidR="00472624">
        <w:rPr>
          <w:rFonts w:hint="cs"/>
          <w:rtl/>
          <w:lang w:bidi="ar-EG"/>
        </w:rPr>
        <w:t>وسي</w:t>
      </w:r>
      <w:r w:rsidR="005656F6">
        <w:rPr>
          <w:rFonts w:hint="cs"/>
          <w:rtl/>
          <w:lang w:bidi="ar-EG"/>
        </w:rPr>
        <w:t>تاح قريباً نص التوصية في صيغتها السابقة على النشر في الموقع الإلكتروني لقطاع تقييس الاتصالات</w:t>
      </w:r>
      <w:r w:rsidR="006768C0">
        <w:rPr>
          <w:rFonts w:hint="cs"/>
          <w:rtl/>
          <w:lang w:bidi="ar-EG"/>
        </w:rPr>
        <w:t>.</w:t>
      </w:r>
      <w:proofErr w:type="gramEnd"/>
    </w:p>
    <w:p w:rsidR="005656F6" w:rsidRDefault="005656F6" w:rsidP="00085329">
      <w:pPr>
        <w:keepNext/>
        <w:keepLines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6</w:t>
      </w:r>
      <w:r>
        <w:rPr>
          <w:rFonts w:hint="cs"/>
          <w:rtl/>
          <w:lang w:bidi="ar-EG"/>
        </w:rPr>
        <w:tab/>
        <w:t>وسوف ينشر الاتحاد نص</w:t>
      </w:r>
      <w:r w:rsidR="00F5574B">
        <w:rPr>
          <w:rFonts w:hint="cs"/>
          <w:rtl/>
          <w:lang w:bidi="ar-EG"/>
        </w:rPr>
        <w:t xml:space="preserve"> هذه</w:t>
      </w:r>
      <w:r>
        <w:rPr>
          <w:rFonts w:hint="cs"/>
          <w:rtl/>
          <w:lang w:bidi="ar-EG"/>
        </w:rPr>
        <w:t xml:space="preserve"> التوصية في أقرب وقت ممكن.</w:t>
      </w:r>
      <w:proofErr w:type="gramEnd"/>
    </w:p>
    <w:p w:rsidR="006768C0" w:rsidRPr="005F33FD" w:rsidRDefault="006768C0" w:rsidP="00085329">
      <w:pPr>
        <w:keepNext/>
        <w:keepLines/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6768C0" w:rsidRPr="004579B5" w:rsidRDefault="006768C0" w:rsidP="00085329">
      <w:pPr>
        <w:keepNext/>
        <w:keepLines/>
        <w:spacing w:before="1440"/>
        <w:jc w:val="left"/>
        <w:rPr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6768C0" w:rsidRPr="004579B5" w:rsidSect="001531FC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FB" w:rsidRDefault="00BA57FB">
      <w:r>
        <w:separator/>
      </w:r>
    </w:p>
  </w:endnote>
  <w:endnote w:type="continuationSeparator" w:id="0">
    <w:p w:rsidR="00BA57FB" w:rsidRDefault="00BA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5" w:rsidRPr="004B4E20" w:rsidRDefault="004B4E20" w:rsidP="004B4E20">
    <w:pPr>
      <w:pStyle w:val="Footer"/>
      <w:bidi w:val="0"/>
      <w:rPr>
        <w:sz w:val="16"/>
        <w:lang w:val="fr-CH"/>
      </w:rPr>
    </w:pPr>
    <w:r>
      <w:rPr>
        <w:sz w:val="16"/>
        <w:lang w:val="fr-CH"/>
      </w:rPr>
      <w:t>I</w:t>
    </w:r>
    <w:r>
      <w:rPr>
        <w:sz w:val="16"/>
        <w:lang w:val="fr-CH"/>
      </w:rPr>
      <w:t>TU-T\BUREAU\CIRC\310COR</w:t>
    </w:r>
    <w:r>
      <w:rPr>
        <w:sz w:val="16"/>
        <w:lang w:val="fr-CH"/>
      </w:rPr>
      <w:t>.1</w:t>
    </w:r>
    <w:r>
      <w:rPr>
        <w:sz w:val="16"/>
        <w:lang w:val="fr-CH"/>
      </w:rPr>
      <w:t>A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BA57FB" w:rsidTr="005615F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A57FB" w:rsidRDefault="00BA57FB" w:rsidP="005615F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A57FB" w:rsidRDefault="00BA57FB" w:rsidP="005615F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A57FB" w:rsidRDefault="00BA57FB" w:rsidP="005615F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A57FB" w:rsidRDefault="00BA57FB" w:rsidP="005615F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A57FB" w:rsidTr="005615F4">
      <w:trPr>
        <w:cantSplit/>
      </w:trPr>
      <w:tc>
        <w:tcPr>
          <w:tcW w:w="1062" w:type="pct"/>
        </w:tcPr>
        <w:p w:rsidR="00BA57FB" w:rsidRPr="006722AF" w:rsidRDefault="00BA57FB" w:rsidP="005615F4">
          <w:pPr>
            <w:pStyle w:val="itu"/>
            <w:rPr>
              <w:lang w:val="en-US"/>
            </w:rPr>
          </w:pPr>
          <w:r w:rsidRPr="008F5E3A">
            <w:t>CH-1211 Geneva 20</w:t>
          </w:r>
        </w:p>
      </w:tc>
      <w:tc>
        <w:tcPr>
          <w:tcW w:w="1583" w:type="pct"/>
        </w:tcPr>
        <w:p w:rsidR="00BA57FB" w:rsidRPr="008F5E3A" w:rsidRDefault="00BA57FB" w:rsidP="005615F4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A57FB" w:rsidRPr="008F5E3A" w:rsidRDefault="00BA57FB" w:rsidP="005615F4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A57FB" w:rsidRPr="00724ED5" w:rsidRDefault="00BA57FB" w:rsidP="005615F4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A57FB" w:rsidTr="005615F4">
      <w:trPr>
        <w:cantSplit/>
      </w:trPr>
      <w:tc>
        <w:tcPr>
          <w:tcW w:w="1062" w:type="pct"/>
        </w:tcPr>
        <w:p w:rsidR="00BA57FB" w:rsidRDefault="00BA57FB" w:rsidP="00F2216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A57FB" w:rsidRDefault="00BA57FB" w:rsidP="005615F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A57FB" w:rsidRDefault="00BA57FB" w:rsidP="005615F4">
          <w:pPr>
            <w:pStyle w:val="itu"/>
          </w:pPr>
        </w:p>
      </w:tc>
      <w:tc>
        <w:tcPr>
          <w:tcW w:w="1131" w:type="pct"/>
        </w:tcPr>
        <w:p w:rsidR="00BA57FB" w:rsidRDefault="00BA57FB" w:rsidP="005615F4">
          <w:pPr>
            <w:pStyle w:val="itu"/>
          </w:pPr>
        </w:p>
      </w:tc>
    </w:tr>
  </w:tbl>
  <w:p w:rsidR="00BA57FB" w:rsidRPr="00FD12E2" w:rsidRDefault="00BA57FB" w:rsidP="00FD12E2">
    <w:pPr>
      <w:pStyle w:val="Footer"/>
      <w:tabs>
        <w:tab w:val="clear" w:pos="4703"/>
        <w:tab w:val="clear" w:pos="9406"/>
        <w:tab w:val="left" w:pos="5670"/>
        <w:tab w:val="right" w:pos="9639"/>
      </w:tabs>
      <w:bidi w:val="0"/>
      <w:spacing w:before="0" w:line="240" w:lineRule="auto"/>
      <w:rPr>
        <w:vanish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FB" w:rsidRDefault="00BA57FB">
      <w:r>
        <w:separator/>
      </w:r>
    </w:p>
  </w:footnote>
  <w:footnote w:type="continuationSeparator" w:id="0">
    <w:p w:rsidR="00BA57FB" w:rsidRDefault="00BA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FB" w:rsidRDefault="00BA57FB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4B4E20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5"/>
    <w:rsid w:val="00007569"/>
    <w:rsid w:val="00012BDE"/>
    <w:rsid w:val="000132B7"/>
    <w:rsid w:val="00020DB7"/>
    <w:rsid w:val="000260D5"/>
    <w:rsid w:val="000302D3"/>
    <w:rsid w:val="000440C4"/>
    <w:rsid w:val="000525E5"/>
    <w:rsid w:val="00057B19"/>
    <w:rsid w:val="000637D6"/>
    <w:rsid w:val="0006455A"/>
    <w:rsid w:val="00064EC5"/>
    <w:rsid w:val="00073E7E"/>
    <w:rsid w:val="00075D90"/>
    <w:rsid w:val="00076A45"/>
    <w:rsid w:val="00081D8A"/>
    <w:rsid w:val="00085329"/>
    <w:rsid w:val="000A3EFF"/>
    <w:rsid w:val="000A7621"/>
    <w:rsid w:val="000C2FB2"/>
    <w:rsid w:val="000D3455"/>
    <w:rsid w:val="000D3F69"/>
    <w:rsid w:val="000D6000"/>
    <w:rsid w:val="000E4F4A"/>
    <w:rsid w:val="000F4A9B"/>
    <w:rsid w:val="0010144A"/>
    <w:rsid w:val="001014A9"/>
    <w:rsid w:val="001132C8"/>
    <w:rsid w:val="00117C18"/>
    <w:rsid w:val="001238E9"/>
    <w:rsid w:val="00127FFE"/>
    <w:rsid w:val="00133BF7"/>
    <w:rsid w:val="001401E7"/>
    <w:rsid w:val="00141B1C"/>
    <w:rsid w:val="00150879"/>
    <w:rsid w:val="001523BE"/>
    <w:rsid w:val="001531FC"/>
    <w:rsid w:val="0016239F"/>
    <w:rsid w:val="00171E80"/>
    <w:rsid w:val="00176C9C"/>
    <w:rsid w:val="00180899"/>
    <w:rsid w:val="001919D1"/>
    <w:rsid w:val="0019658A"/>
    <w:rsid w:val="001A5641"/>
    <w:rsid w:val="001A5E10"/>
    <w:rsid w:val="001B299A"/>
    <w:rsid w:val="001B5908"/>
    <w:rsid w:val="001C0EF6"/>
    <w:rsid w:val="001C5405"/>
    <w:rsid w:val="001C7ECA"/>
    <w:rsid w:val="001D1DF8"/>
    <w:rsid w:val="001D39B3"/>
    <w:rsid w:val="001D3E3A"/>
    <w:rsid w:val="001D6103"/>
    <w:rsid w:val="001D6F02"/>
    <w:rsid w:val="001E4966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5EF9"/>
    <w:rsid w:val="00246AD0"/>
    <w:rsid w:val="0024766C"/>
    <w:rsid w:val="00247D96"/>
    <w:rsid w:val="00247D9B"/>
    <w:rsid w:val="00250DC3"/>
    <w:rsid w:val="00252705"/>
    <w:rsid w:val="002561C9"/>
    <w:rsid w:val="00256EA5"/>
    <w:rsid w:val="00264241"/>
    <w:rsid w:val="002660F7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B702F"/>
    <w:rsid w:val="002C1BAF"/>
    <w:rsid w:val="002C208D"/>
    <w:rsid w:val="002C233F"/>
    <w:rsid w:val="002C5576"/>
    <w:rsid w:val="002E1A5C"/>
    <w:rsid w:val="002E3F3A"/>
    <w:rsid w:val="002E5519"/>
    <w:rsid w:val="002E6D6B"/>
    <w:rsid w:val="002E7216"/>
    <w:rsid w:val="002F5035"/>
    <w:rsid w:val="002F5D1C"/>
    <w:rsid w:val="00301350"/>
    <w:rsid w:val="0030515C"/>
    <w:rsid w:val="00306912"/>
    <w:rsid w:val="00310129"/>
    <w:rsid w:val="00311F91"/>
    <w:rsid w:val="0031346F"/>
    <w:rsid w:val="00313593"/>
    <w:rsid w:val="0031633A"/>
    <w:rsid w:val="00322349"/>
    <w:rsid w:val="003310D2"/>
    <w:rsid w:val="00335239"/>
    <w:rsid w:val="00343BDE"/>
    <w:rsid w:val="00350939"/>
    <w:rsid w:val="00356C5D"/>
    <w:rsid w:val="00363805"/>
    <w:rsid w:val="00363E8E"/>
    <w:rsid w:val="003719A3"/>
    <w:rsid w:val="00393E7C"/>
    <w:rsid w:val="003966BD"/>
    <w:rsid w:val="003B2C5F"/>
    <w:rsid w:val="003B459A"/>
    <w:rsid w:val="003C2AC9"/>
    <w:rsid w:val="003D56B1"/>
    <w:rsid w:val="003D7D5A"/>
    <w:rsid w:val="003E051B"/>
    <w:rsid w:val="003E32A8"/>
    <w:rsid w:val="003E6B7D"/>
    <w:rsid w:val="003F723C"/>
    <w:rsid w:val="004001CE"/>
    <w:rsid w:val="00401D27"/>
    <w:rsid w:val="004067A6"/>
    <w:rsid w:val="00406FF5"/>
    <w:rsid w:val="00417512"/>
    <w:rsid w:val="00420951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2624"/>
    <w:rsid w:val="00474AAB"/>
    <w:rsid w:val="00492FAD"/>
    <w:rsid w:val="0049418C"/>
    <w:rsid w:val="00496580"/>
    <w:rsid w:val="004A0F33"/>
    <w:rsid w:val="004A3F7F"/>
    <w:rsid w:val="004A510C"/>
    <w:rsid w:val="004A52B4"/>
    <w:rsid w:val="004A7A1A"/>
    <w:rsid w:val="004B49B9"/>
    <w:rsid w:val="004B4E20"/>
    <w:rsid w:val="004D5992"/>
    <w:rsid w:val="004E1059"/>
    <w:rsid w:val="004E4BB7"/>
    <w:rsid w:val="004F39D0"/>
    <w:rsid w:val="004F3D50"/>
    <w:rsid w:val="004F7AF9"/>
    <w:rsid w:val="0051044E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2D6F"/>
    <w:rsid w:val="0055324A"/>
    <w:rsid w:val="00553969"/>
    <w:rsid w:val="005615F4"/>
    <w:rsid w:val="005656F6"/>
    <w:rsid w:val="0057474C"/>
    <w:rsid w:val="00575402"/>
    <w:rsid w:val="00575B6C"/>
    <w:rsid w:val="0058156E"/>
    <w:rsid w:val="005821D3"/>
    <w:rsid w:val="00586F78"/>
    <w:rsid w:val="00591E68"/>
    <w:rsid w:val="005960F3"/>
    <w:rsid w:val="005A5A08"/>
    <w:rsid w:val="005A6657"/>
    <w:rsid w:val="005B438B"/>
    <w:rsid w:val="005C447D"/>
    <w:rsid w:val="005D467E"/>
    <w:rsid w:val="005D488B"/>
    <w:rsid w:val="005D5B90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07D3"/>
    <w:rsid w:val="00642F8E"/>
    <w:rsid w:val="0064388F"/>
    <w:rsid w:val="00647D24"/>
    <w:rsid w:val="00655E5A"/>
    <w:rsid w:val="006578A0"/>
    <w:rsid w:val="006638AC"/>
    <w:rsid w:val="00664DAB"/>
    <w:rsid w:val="00667BEB"/>
    <w:rsid w:val="00670C56"/>
    <w:rsid w:val="006722AF"/>
    <w:rsid w:val="00672C1B"/>
    <w:rsid w:val="00674542"/>
    <w:rsid w:val="006765EA"/>
    <w:rsid w:val="006768C0"/>
    <w:rsid w:val="0067780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4644"/>
    <w:rsid w:val="006B52B5"/>
    <w:rsid w:val="006B6B9A"/>
    <w:rsid w:val="006C0574"/>
    <w:rsid w:val="006C1530"/>
    <w:rsid w:val="006C4FFB"/>
    <w:rsid w:val="006D49AD"/>
    <w:rsid w:val="006E73B1"/>
    <w:rsid w:val="0071127D"/>
    <w:rsid w:val="007149A7"/>
    <w:rsid w:val="007202C3"/>
    <w:rsid w:val="00724CBE"/>
    <w:rsid w:val="007364F9"/>
    <w:rsid w:val="00736E64"/>
    <w:rsid w:val="007437F9"/>
    <w:rsid w:val="00746048"/>
    <w:rsid w:val="007561C9"/>
    <w:rsid w:val="00757D5F"/>
    <w:rsid w:val="0076311C"/>
    <w:rsid w:val="00764273"/>
    <w:rsid w:val="00767D08"/>
    <w:rsid w:val="00773767"/>
    <w:rsid w:val="00775E3D"/>
    <w:rsid w:val="00776896"/>
    <w:rsid w:val="007804EA"/>
    <w:rsid w:val="00794DF1"/>
    <w:rsid w:val="00795FF6"/>
    <w:rsid w:val="007A63EC"/>
    <w:rsid w:val="007A66C2"/>
    <w:rsid w:val="007A6984"/>
    <w:rsid w:val="007A7E70"/>
    <w:rsid w:val="007B1AED"/>
    <w:rsid w:val="007B5E75"/>
    <w:rsid w:val="007C1AEA"/>
    <w:rsid w:val="007E2490"/>
    <w:rsid w:val="007F0AC6"/>
    <w:rsid w:val="0080133D"/>
    <w:rsid w:val="008041A7"/>
    <w:rsid w:val="00811121"/>
    <w:rsid w:val="008143FC"/>
    <w:rsid w:val="008165EA"/>
    <w:rsid w:val="0081722F"/>
    <w:rsid w:val="008226F2"/>
    <w:rsid w:val="0082459C"/>
    <w:rsid w:val="00824A93"/>
    <w:rsid w:val="0082500A"/>
    <w:rsid w:val="0082673E"/>
    <w:rsid w:val="00830F86"/>
    <w:rsid w:val="0083208A"/>
    <w:rsid w:val="00845352"/>
    <w:rsid w:val="0085233F"/>
    <w:rsid w:val="00852573"/>
    <w:rsid w:val="00854884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3576"/>
    <w:rsid w:val="008F4C50"/>
    <w:rsid w:val="008F55E3"/>
    <w:rsid w:val="008F5FB8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1C3D"/>
    <w:rsid w:val="00965582"/>
    <w:rsid w:val="00973D3C"/>
    <w:rsid w:val="0097559C"/>
    <w:rsid w:val="0097651D"/>
    <w:rsid w:val="00977F84"/>
    <w:rsid w:val="0098075F"/>
    <w:rsid w:val="00980D9A"/>
    <w:rsid w:val="009824F8"/>
    <w:rsid w:val="00984EBC"/>
    <w:rsid w:val="00986865"/>
    <w:rsid w:val="009938A9"/>
    <w:rsid w:val="009961EB"/>
    <w:rsid w:val="009A398E"/>
    <w:rsid w:val="009A61F8"/>
    <w:rsid w:val="009B0414"/>
    <w:rsid w:val="009B0CC3"/>
    <w:rsid w:val="009B5009"/>
    <w:rsid w:val="009B77CC"/>
    <w:rsid w:val="009C232A"/>
    <w:rsid w:val="009C4ADE"/>
    <w:rsid w:val="009C5320"/>
    <w:rsid w:val="009D2DD2"/>
    <w:rsid w:val="009E21AD"/>
    <w:rsid w:val="009E5ACF"/>
    <w:rsid w:val="009F4B09"/>
    <w:rsid w:val="00A02D7D"/>
    <w:rsid w:val="00A14ADB"/>
    <w:rsid w:val="00A22222"/>
    <w:rsid w:val="00A26EA0"/>
    <w:rsid w:val="00A31E0D"/>
    <w:rsid w:val="00A544F6"/>
    <w:rsid w:val="00A55013"/>
    <w:rsid w:val="00A6012A"/>
    <w:rsid w:val="00A6296D"/>
    <w:rsid w:val="00A655AC"/>
    <w:rsid w:val="00A75C13"/>
    <w:rsid w:val="00A77701"/>
    <w:rsid w:val="00A801ED"/>
    <w:rsid w:val="00A82313"/>
    <w:rsid w:val="00A83A6D"/>
    <w:rsid w:val="00A863EB"/>
    <w:rsid w:val="00A90460"/>
    <w:rsid w:val="00A95BF9"/>
    <w:rsid w:val="00A96CD8"/>
    <w:rsid w:val="00AA0DC1"/>
    <w:rsid w:val="00AA1F42"/>
    <w:rsid w:val="00AB063E"/>
    <w:rsid w:val="00AB321E"/>
    <w:rsid w:val="00AB3E4E"/>
    <w:rsid w:val="00AB5556"/>
    <w:rsid w:val="00AB5A96"/>
    <w:rsid w:val="00AD28DD"/>
    <w:rsid w:val="00AE2B04"/>
    <w:rsid w:val="00AF5AC1"/>
    <w:rsid w:val="00B06EFE"/>
    <w:rsid w:val="00B10464"/>
    <w:rsid w:val="00B14AEF"/>
    <w:rsid w:val="00B204CB"/>
    <w:rsid w:val="00B22847"/>
    <w:rsid w:val="00B232BD"/>
    <w:rsid w:val="00B269E5"/>
    <w:rsid w:val="00B345D1"/>
    <w:rsid w:val="00B40910"/>
    <w:rsid w:val="00B51184"/>
    <w:rsid w:val="00B57363"/>
    <w:rsid w:val="00B61FB1"/>
    <w:rsid w:val="00B645A7"/>
    <w:rsid w:val="00B6472D"/>
    <w:rsid w:val="00B73D95"/>
    <w:rsid w:val="00B7558A"/>
    <w:rsid w:val="00B77254"/>
    <w:rsid w:val="00B805FD"/>
    <w:rsid w:val="00B80951"/>
    <w:rsid w:val="00B80A6A"/>
    <w:rsid w:val="00B85152"/>
    <w:rsid w:val="00BA57FB"/>
    <w:rsid w:val="00BB2862"/>
    <w:rsid w:val="00BB3AA1"/>
    <w:rsid w:val="00BB639B"/>
    <w:rsid w:val="00BC45BA"/>
    <w:rsid w:val="00BC683A"/>
    <w:rsid w:val="00BD225D"/>
    <w:rsid w:val="00BD22A1"/>
    <w:rsid w:val="00BD2A33"/>
    <w:rsid w:val="00BD51F1"/>
    <w:rsid w:val="00BE5BFD"/>
    <w:rsid w:val="00BF3344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54EA"/>
    <w:rsid w:val="00C66212"/>
    <w:rsid w:val="00C67A47"/>
    <w:rsid w:val="00C708CA"/>
    <w:rsid w:val="00C714FF"/>
    <w:rsid w:val="00C7616B"/>
    <w:rsid w:val="00C766C5"/>
    <w:rsid w:val="00C80D3F"/>
    <w:rsid w:val="00C90011"/>
    <w:rsid w:val="00C96833"/>
    <w:rsid w:val="00CB63B9"/>
    <w:rsid w:val="00CC0E5D"/>
    <w:rsid w:val="00CC30F9"/>
    <w:rsid w:val="00CD3457"/>
    <w:rsid w:val="00CD49DF"/>
    <w:rsid w:val="00CE2555"/>
    <w:rsid w:val="00CE7C57"/>
    <w:rsid w:val="00CE7FCE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4DAB"/>
    <w:rsid w:val="00D36DE5"/>
    <w:rsid w:val="00D40E1E"/>
    <w:rsid w:val="00D45212"/>
    <w:rsid w:val="00D57797"/>
    <w:rsid w:val="00D61F3A"/>
    <w:rsid w:val="00D668E2"/>
    <w:rsid w:val="00D807A7"/>
    <w:rsid w:val="00D82615"/>
    <w:rsid w:val="00D84854"/>
    <w:rsid w:val="00D84CA3"/>
    <w:rsid w:val="00D86402"/>
    <w:rsid w:val="00D87242"/>
    <w:rsid w:val="00D90360"/>
    <w:rsid w:val="00DA07ED"/>
    <w:rsid w:val="00DA1155"/>
    <w:rsid w:val="00DA69F0"/>
    <w:rsid w:val="00DB0549"/>
    <w:rsid w:val="00DB439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B6B0C"/>
    <w:rsid w:val="00EC0515"/>
    <w:rsid w:val="00EC38BA"/>
    <w:rsid w:val="00ED160D"/>
    <w:rsid w:val="00ED30C0"/>
    <w:rsid w:val="00ED3E50"/>
    <w:rsid w:val="00ED6CD3"/>
    <w:rsid w:val="00EE4389"/>
    <w:rsid w:val="00EF1712"/>
    <w:rsid w:val="00EF5BAB"/>
    <w:rsid w:val="00F009B5"/>
    <w:rsid w:val="00F03585"/>
    <w:rsid w:val="00F060DD"/>
    <w:rsid w:val="00F0698D"/>
    <w:rsid w:val="00F11BC4"/>
    <w:rsid w:val="00F14BA4"/>
    <w:rsid w:val="00F20164"/>
    <w:rsid w:val="00F22164"/>
    <w:rsid w:val="00F23FC1"/>
    <w:rsid w:val="00F318DD"/>
    <w:rsid w:val="00F43260"/>
    <w:rsid w:val="00F53552"/>
    <w:rsid w:val="00F5574B"/>
    <w:rsid w:val="00F57B27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12E2"/>
    <w:rsid w:val="00FE7226"/>
    <w:rsid w:val="00FF4D1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styleId="FollowedHyperlink">
    <w:name w:val="FollowedHyperlink"/>
    <w:basedOn w:val="DefaultParagraphFont"/>
    <w:rsid w:val="00EE43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ink w:val="AnnexNotitle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677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RecTitle">
    <w:name w:val="Rec_Title"/>
    <w:basedOn w:val="Normal"/>
    <w:autoRedefine/>
    <w:qFormat/>
    <w:rsid w:val="004D599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hAnsi="Times New Roman Bold"/>
      <w:sz w:val="28"/>
      <w:szCs w:val="40"/>
      <w:lang w:bidi="ar-EG"/>
    </w:rPr>
  </w:style>
  <w:style w:type="paragraph" w:customStyle="1" w:styleId="Headingb">
    <w:name w:val="Heading_b"/>
    <w:next w:val="Normal"/>
    <w:link w:val="HeadingbChar"/>
    <w:rsid w:val="004001CE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4001CE"/>
    <w:rPr>
      <w:rFonts w:ascii="Times New Roman Bold" w:eastAsia="'宋体" w:hAnsi="Times New Roman Bold" w:cs="Traditional Arabic"/>
      <w:b/>
      <w:bCs/>
      <w:sz w:val="24"/>
      <w:szCs w:val="32"/>
    </w:rPr>
  </w:style>
  <w:style w:type="character" w:styleId="FollowedHyperlink">
    <w:name w:val="FollowedHyperlink"/>
    <w:basedOn w:val="DefaultParagraphFont"/>
    <w:rsid w:val="00EE4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C870-9463-4A76-81DF-DFF60166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Norton Viard, Emma</cp:lastModifiedBy>
  <cp:revision>13</cp:revision>
  <cp:lastPrinted>2012-11-02T14:53:00Z</cp:lastPrinted>
  <dcterms:created xsi:type="dcterms:W3CDTF">2012-11-02T13:08:00Z</dcterms:created>
  <dcterms:modified xsi:type="dcterms:W3CDTF">2012-11-12T10:37:00Z</dcterms:modified>
</cp:coreProperties>
</file>