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4769B7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F361FF" w:rsidP="004769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CC947B0" wp14:editId="40D008A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4769B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4769B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4769B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4769B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CC2D8E">
        <w:rPr>
          <w:lang w:eastAsia="zh-CN"/>
        </w:rPr>
        <w:t>2012</w:t>
      </w:r>
      <w:r w:rsidR="00CC2D8E">
        <w:rPr>
          <w:rFonts w:hint="eastAsia"/>
          <w:lang w:eastAsia="zh-CN"/>
        </w:rPr>
        <w:t>年</w:t>
      </w:r>
      <w:r w:rsidR="00CC2D8E">
        <w:rPr>
          <w:rFonts w:hint="eastAsia"/>
          <w:lang w:eastAsia="zh-CN"/>
        </w:rPr>
        <w:t>7</w:t>
      </w:r>
      <w:r w:rsidR="00CC2D8E">
        <w:rPr>
          <w:rFonts w:hint="eastAsia"/>
          <w:lang w:eastAsia="zh-CN"/>
        </w:rPr>
        <w:t>月</w:t>
      </w:r>
      <w:r w:rsidR="00CC2D8E">
        <w:rPr>
          <w:rFonts w:hint="eastAsia"/>
          <w:lang w:eastAsia="zh-CN"/>
        </w:rPr>
        <w:t>11</w:t>
      </w:r>
      <w:r w:rsidR="00CC2D8E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4769B7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4769B7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4769B7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4769B7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CC2D8E">
              <w:rPr>
                <w:b/>
                <w:lang w:eastAsia="zh-CN"/>
              </w:rPr>
              <w:t>301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4769B7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CC2D8E">
              <w:rPr>
                <w:lang w:eastAsia="zh-CN"/>
              </w:rPr>
              <w:t>11</w:t>
            </w:r>
            <w:r>
              <w:rPr>
                <w:lang w:eastAsia="zh-CN"/>
              </w:rPr>
              <w:t>/</w:t>
            </w:r>
            <w:r w:rsidR="00CC2D8E">
              <w:rPr>
                <w:lang w:eastAsia="zh-CN"/>
              </w:rPr>
              <w:t>SP</w:t>
            </w:r>
          </w:p>
          <w:p w:rsidR="00271B58" w:rsidRDefault="00271B58" w:rsidP="004769B7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0520CE" w:rsidRDefault="000520CE" w:rsidP="004769B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0520CE" w:rsidRDefault="000520CE" w:rsidP="004769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4769B7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4769B7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4769B7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 w:rsidR="00196057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17" w:type="dxa"/>
          </w:tcPr>
          <w:p w:rsidR="00742159" w:rsidRDefault="00742159" w:rsidP="004769B7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CC2D8E">
              <w:rPr>
                <w:lang w:eastAsia="zh-CN"/>
              </w:rPr>
              <w:t xml:space="preserve"> 5858</w:t>
            </w:r>
          </w:p>
          <w:p w:rsidR="00742159" w:rsidRDefault="00742159" w:rsidP="004769B7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290102" w:rsidP="004769B7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CC2D8E" w:rsidRPr="00A84D5C">
                <w:rPr>
                  <w:rStyle w:val="Hyperlink"/>
                  <w:lang w:eastAsia="zh-CN"/>
                </w:rPr>
                <w:t>tsbsg11</w:t>
              </w:r>
              <w:bookmarkStart w:id="1" w:name="_GoBack"/>
              <w:bookmarkEnd w:id="1"/>
              <w:r w:rsidR="00CC2D8E" w:rsidRPr="00A84D5C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436" w:type="dxa"/>
          </w:tcPr>
          <w:p w:rsidR="000520CE" w:rsidRDefault="000520CE" w:rsidP="004769B7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4769B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D4B2B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成员；</w:t>
            </w:r>
          </w:p>
          <w:p w:rsidR="001D4B2B" w:rsidRDefault="001D4B2B" w:rsidP="004769B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342096" w:rsidRPr="00342096" w:rsidRDefault="00342096" w:rsidP="004769B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0520CE" w:rsidRDefault="000520CE" w:rsidP="004769B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CC2D8E"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4769B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4769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0520CE" w:rsidRDefault="000520CE" w:rsidP="004769B7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4769B7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271B58" w:rsidP="004769B7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CC2D8E">
              <w:rPr>
                <w:rFonts w:hint="eastAsia"/>
                <w:b/>
                <w:lang w:eastAsia="zh-CN"/>
              </w:rPr>
              <w:t>16/11</w:t>
            </w:r>
            <w:r w:rsidR="00CC2D8E">
              <w:rPr>
                <w:rFonts w:hint="eastAsia"/>
                <w:b/>
                <w:lang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新课题的批准</w:t>
            </w:r>
          </w:p>
        </w:tc>
      </w:tr>
    </w:tbl>
    <w:p w:rsidR="000520CE" w:rsidRDefault="000520CE" w:rsidP="004769B7">
      <w:pPr>
        <w:rPr>
          <w:lang w:eastAsia="zh-CN"/>
        </w:rPr>
      </w:pPr>
    </w:p>
    <w:p w:rsidR="000520CE" w:rsidRDefault="000520CE" w:rsidP="004769B7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271B58" w:rsidRPr="00E25535" w:rsidRDefault="00271B58" w:rsidP="00D44B50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ab/>
      </w:r>
      <w:r w:rsidR="000520CE">
        <w:rPr>
          <w:rFonts w:hint="eastAsia"/>
          <w:lang w:eastAsia="zh-CN"/>
        </w:rPr>
        <w:t>应</w:t>
      </w:r>
      <w:r w:rsidR="00742159">
        <w:rPr>
          <w:rFonts w:hint="eastAsia"/>
          <w:lang w:eastAsia="zh-CN"/>
        </w:rPr>
        <w:t>有关</w:t>
      </w:r>
      <w:r w:rsidR="007D391F" w:rsidRPr="007D391F">
        <w:rPr>
          <w:rFonts w:ascii="STKaiti" w:eastAsia="STKaiti" w:hAnsi="STKaiti" w:hint="eastAsia"/>
          <w:lang w:eastAsia="zh-CN"/>
        </w:rPr>
        <w:t>信令要求、</w:t>
      </w:r>
      <w:r w:rsidR="00CC2D8E" w:rsidRPr="007D391F">
        <w:rPr>
          <w:rFonts w:ascii="STKaiti" w:eastAsia="STKaiti" w:hAnsi="STKaiti" w:hint="eastAsia"/>
          <w:lang w:eastAsia="zh-CN"/>
        </w:rPr>
        <w:t>协议和测试规范</w:t>
      </w:r>
      <w:r w:rsidR="00742159">
        <w:rPr>
          <w:rFonts w:hint="eastAsia"/>
          <w:lang w:eastAsia="zh-CN"/>
        </w:rPr>
        <w:t>的</w:t>
      </w:r>
      <w:r w:rsidR="000520CE">
        <w:rPr>
          <w:rFonts w:hint="eastAsia"/>
          <w:lang w:eastAsia="zh-CN"/>
        </w:rPr>
        <w:t>第</w:t>
      </w:r>
      <w:r w:rsidR="00CC2D8E">
        <w:rPr>
          <w:lang w:eastAsia="zh-CN"/>
        </w:rPr>
        <w:t>11</w:t>
      </w:r>
      <w:r w:rsidR="000520CE">
        <w:rPr>
          <w:rFonts w:hint="eastAsia"/>
          <w:lang w:eastAsia="zh-CN"/>
        </w:rPr>
        <w:t>研究组主席的请求，</w:t>
      </w:r>
      <w:r w:rsidRPr="00563C17">
        <w:rPr>
          <w:rFonts w:ascii="SimSun" w:hAnsi="SimSun"/>
          <w:lang w:val="fr-FR" w:eastAsia="zh-CN"/>
        </w:rPr>
        <w:t>我荣幸地通知您，根据世</w:t>
      </w:r>
      <w:r w:rsidRPr="00E25535">
        <w:rPr>
          <w:szCs w:val="24"/>
          <w:lang w:eastAsia="zh-CN"/>
        </w:rPr>
        <w:t>界电信标准化全会（</w:t>
      </w:r>
      <w:r w:rsidRPr="00E25535">
        <w:rPr>
          <w:szCs w:val="24"/>
          <w:lang w:eastAsia="zh-CN"/>
        </w:rPr>
        <w:t>200</w:t>
      </w:r>
      <w:r>
        <w:rPr>
          <w:rFonts w:hint="eastAsia"/>
          <w:szCs w:val="24"/>
          <w:lang w:eastAsia="zh-CN"/>
        </w:rPr>
        <w:t>8</w:t>
      </w:r>
      <w:r w:rsidRPr="00E25535">
        <w:rPr>
          <w:szCs w:val="24"/>
          <w:lang w:eastAsia="zh-CN"/>
        </w:rPr>
        <w:t>年，</w:t>
      </w:r>
      <w:r>
        <w:rPr>
          <w:rFonts w:hint="eastAsia"/>
          <w:szCs w:val="24"/>
          <w:lang w:eastAsia="zh-CN"/>
        </w:rPr>
        <w:t>约翰内斯堡</w:t>
      </w:r>
      <w:r w:rsidRPr="00811865">
        <w:rPr>
          <w:szCs w:val="24"/>
          <w:lang w:eastAsia="zh-CN"/>
        </w:rPr>
        <w:t>）</w:t>
      </w:r>
      <w:r w:rsidRPr="00E25535">
        <w:rPr>
          <w:szCs w:val="24"/>
          <w:lang w:eastAsia="zh-CN"/>
        </w:rPr>
        <w:t>第</w:t>
      </w:r>
      <w:r w:rsidRPr="00E25535">
        <w:rPr>
          <w:szCs w:val="24"/>
          <w:lang w:eastAsia="zh-CN"/>
        </w:rPr>
        <w:t>1</w:t>
      </w:r>
      <w:r w:rsidRPr="00E25535">
        <w:rPr>
          <w:szCs w:val="24"/>
          <w:lang w:eastAsia="zh-CN"/>
        </w:rPr>
        <w:t>号决议第</w:t>
      </w:r>
      <w:r w:rsidRPr="00E25535">
        <w:rPr>
          <w:szCs w:val="24"/>
          <w:lang w:eastAsia="zh-CN"/>
        </w:rPr>
        <w:t>7</w:t>
      </w:r>
      <w:r w:rsidRPr="00E25535">
        <w:rPr>
          <w:szCs w:val="24"/>
          <w:lang w:eastAsia="zh-CN"/>
        </w:rPr>
        <w:t>节第</w:t>
      </w:r>
      <w:r w:rsidRPr="00E25535">
        <w:rPr>
          <w:szCs w:val="24"/>
          <w:lang w:eastAsia="zh-CN"/>
        </w:rPr>
        <w:t>7.2.2</w:t>
      </w:r>
      <w:r w:rsidRPr="00E25535">
        <w:rPr>
          <w:szCs w:val="24"/>
          <w:lang w:eastAsia="zh-CN"/>
        </w:rPr>
        <w:t>段所述程序，出席</w:t>
      </w:r>
      <w:r>
        <w:rPr>
          <w:rFonts w:hint="eastAsia"/>
          <w:szCs w:val="24"/>
          <w:lang w:eastAsia="zh-CN"/>
        </w:rPr>
        <w:t>该</w:t>
      </w:r>
      <w:r w:rsidRPr="00E25535">
        <w:rPr>
          <w:szCs w:val="24"/>
          <w:lang w:eastAsia="zh-CN"/>
        </w:rPr>
        <w:t>研究组于</w:t>
      </w:r>
      <w:r w:rsidR="00075B8D">
        <w:rPr>
          <w:lang w:eastAsia="zh-CN"/>
        </w:rPr>
        <w:t>2012</w:t>
      </w:r>
      <w:r w:rsidR="00075B8D">
        <w:rPr>
          <w:rFonts w:hint="eastAsia"/>
          <w:lang w:eastAsia="zh-CN"/>
        </w:rPr>
        <w:t>年</w:t>
      </w:r>
      <w:r w:rsidR="00075B8D">
        <w:rPr>
          <w:rFonts w:hint="eastAsia"/>
          <w:lang w:eastAsia="zh-CN"/>
        </w:rPr>
        <w:t>6</w:t>
      </w:r>
      <w:r w:rsidR="00075B8D">
        <w:rPr>
          <w:rFonts w:hint="eastAsia"/>
          <w:lang w:eastAsia="zh-CN"/>
        </w:rPr>
        <w:t>月</w:t>
      </w:r>
      <w:r w:rsidR="00075B8D">
        <w:rPr>
          <w:rFonts w:hint="eastAsia"/>
          <w:lang w:eastAsia="zh-CN"/>
        </w:rPr>
        <w:t>11</w:t>
      </w:r>
      <w:r>
        <w:rPr>
          <w:rFonts w:hint="eastAsia"/>
          <w:szCs w:val="24"/>
          <w:lang w:eastAsia="zh-CN"/>
        </w:rPr>
        <w:t>至</w:t>
      </w:r>
      <w:r w:rsidR="00075B8D">
        <w:rPr>
          <w:rFonts w:hint="eastAsia"/>
          <w:szCs w:val="24"/>
          <w:lang w:eastAsia="zh-CN"/>
        </w:rPr>
        <w:t>15</w:t>
      </w:r>
      <w:r w:rsidR="00075B8D">
        <w:rPr>
          <w:rFonts w:hint="eastAsia"/>
          <w:szCs w:val="24"/>
          <w:lang w:eastAsia="zh-CN"/>
        </w:rPr>
        <w:t>日</w:t>
      </w:r>
      <w:r w:rsidRPr="00E25535">
        <w:rPr>
          <w:szCs w:val="24"/>
          <w:lang w:eastAsia="zh-CN"/>
        </w:rPr>
        <w:t>在日内瓦召开的上次会议的成员国和</w:t>
      </w:r>
      <w:r>
        <w:rPr>
          <w:rFonts w:hint="eastAsia"/>
          <w:szCs w:val="24"/>
          <w:lang w:eastAsia="zh-CN"/>
        </w:rPr>
        <w:t>部门</w:t>
      </w:r>
      <w:r w:rsidRPr="00E25535">
        <w:rPr>
          <w:szCs w:val="24"/>
          <w:lang w:eastAsia="zh-CN"/>
        </w:rPr>
        <w:t>成员，一致同意批准</w:t>
      </w:r>
      <w:r w:rsidR="00075B8D">
        <w:rPr>
          <w:rFonts w:hint="eastAsia"/>
          <w:szCs w:val="24"/>
          <w:lang w:eastAsia="zh-CN"/>
        </w:rPr>
        <w:t>以下</w:t>
      </w:r>
      <w:r>
        <w:rPr>
          <w:rFonts w:hint="eastAsia"/>
          <w:szCs w:val="24"/>
          <w:lang w:eastAsia="zh-CN"/>
        </w:rPr>
        <w:t>新课题：</w:t>
      </w:r>
    </w:p>
    <w:p w:rsidR="00271B58" w:rsidRPr="00D44B50" w:rsidRDefault="00271B58" w:rsidP="004769B7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firstLineChars="200" w:firstLine="480"/>
        <w:rPr>
          <w:rFonts w:ascii="STKaiti" w:eastAsia="STKaiti" w:hAnsi="STKaiti"/>
          <w:szCs w:val="24"/>
          <w:lang w:eastAsia="zh-CN"/>
        </w:rPr>
      </w:pPr>
      <w:r w:rsidRPr="00D44B50">
        <w:rPr>
          <w:rFonts w:ascii="STKaiti" w:eastAsia="STKaiti" w:hAnsi="STKaiti" w:hint="eastAsia"/>
          <w:szCs w:val="24"/>
          <w:lang w:eastAsia="zh-CN"/>
        </w:rPr>
        <w:t>第</w:t>
      </w:r>
      <w:r w:rsidR="00CC2D8E" w:rsidRPr="00D44B50">
        <w:rPr>
          <w:rFonts w:ascii="STKaiti" w:eastAsia="STKaiti" w:hAnsi="STKaiti"/>
          <w:szCs w:val="24"/>
          <w:lang w:eastAsia="zh-CN"/>
        </w:rPr>
        <w:t>16/11</w:t>
      </w:r>
      <w:r w:rsidRPr="00D44B50">
        <w:rPr>
          <w:rFonts w:ascii="STKaiti" w:eastAsia="STKaiti" w:hAnsi="STKaiti" w:hint="eastAsia"/>
          <w:szCs w:val="24"/>
          <w:lang w:eastAsia="zh-CN"/>
        </w:rPr>
        <w:t>号</w:t>
      </w:r>
      <w:r w:rsidRPr="00D44B50">
        <w:rPr>
          <w:rFonts w:ascii="STKaiti" w:eastAsia="STKaiti" w:hAnsi="STKaiti"/>
          <w:szCs w:val="24"/>
          <w:lang w:eastAsia="zh-CN"/>
        </w:rPr>
        <w:t>课题</w:t>
      </w:r>
      <w:r w:rsidR="00CC2D8E" w:rsidRPr="00D44B50">
        <w:rPr>
          <w:rFonts w:ascii="STKaiti" w:eastAsia="STKaiti" w:hAnsi="STKaiti"/>
          <w:szCs w:val="24"/>
          <w:lang w:eastAsia="zh-CN"/>
        </w:rPr>
        <w:t>-有关IPv6具体服务的协议程序</w:t>
      </w:r>
      <w:r w:rsidRPr="00D44B50">
        <w:rPr>
          <w:rFonts w:ascii="STKaiti" w:eastAsia="STKaiti" w:hAnsi="STKaiti" w:hint="eastAsia"/>
          <w:szCs w:val="24"/>
          <w:lang w:eastAsia="zh-CN"/>
        </w:rPr>
        <w:t>（</w:t>
      </w:r>
      <w:r w:rsidRPr="00D44B50">
        <w:rPr>
          <w:rFonts w:ascii="STKaiti" w:eastAsia="STKaiti" w:hAnsi="STKaiti"/>
          <w:szCs w:val="24"/>
          <w:lang w:eastAsia="zh-CN"/>
        </w:rPr>
        <w:t>见附件1）</w:t>
      </w:r>
      <w:r w:rsidR="00D44B50">
        <w:rPr>
          <w:rFonts w:ascii="STKaiti" w:eastAsia="STKaiti" w:hAnsi="STKaiti" w:hint="eastAsia"/>
          <w:szCs w:val="24"/>
          <w:lang w:eastAsia="zh-CN"/>
        </w:rPr>
        <w:t>。</w:t>
      </w:r>
    </w:p>
    <w:p w:rsidR="00271B58" w:rsidRPr="00E25535" w:rsidRDefault="00271B58" w:rsidP="004769B7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proofErr w:type="gramStart"/>
      <w:r w:rsidRPr="00271B58">
        <w:rPr>
          <w:rFonts w:hint="eastAsia"/>
          <w:szCs w:val="24"/>
          <w:lang w:eastAsia="zh-CN"/>
        </w:rPr>
        <w:t>2</w:t>
      </w:r>
      <w:r w:rsidRPr="00271B58">
        <w:rPr>
          <w:rFonts w:hint="eastAsia"/>
          <w:szCs w:val="24"/>
          <w:lang w:eastAsia="zh-CN"/>
        </w:rPr>
        <w:tab/>
      </w:r>
      <w:r w:rsidRPr="00E25535">
        <w:rPr>
          <w:b/>
          <w:szCs w:val="24"/>
          <w:lang w:eastAsia="zh-CN"/>
        </w:rPr>
        <w:t>因此，第</w:t>
      </w:r>
      <w:r w:rsidR="00CC2D8E">
        <w:rPr>
          <w:b/>
          <w:szCs w:val="24"/>
          <w:lang w:eastAsia="zh-CN"/>
        </w:rPr>
        <w:t>16/11</w:t>
      </w:r>
      <w:r>
        <w:rPr>
          <w:rFonts w:hint="eastAsia"/>
          <w:b/>
          <w:szCs w:val="24"/>
          <w:lang w:eastAsia="zh-CN"/>
        </w:rPr>
        <w:t>号课</w:t>
      </w:r>
      <w:r w:rsidRPr="00E25535">
        <w:rPr>
          <w:b/>
          <w:szCs w:val="24"/>
          <w:lang w:eastAsia="zh-CN"/>
        </w:rPr>
        <w:t>题获得批准。</w:t>
      </w:r>
      <w:proofErr w:type="gramEnd"/>
    </w:p>
    <w:p w:rsidR="001D4B2B" w:rsidRDefault="00271B58" w:rsidP="00D44B50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Pr="00E25535">
        <w:rPr>
          <w:lang w:eastAsia="zh-CN"/>
        </w:rPr>
        <w:t>将</w:t>
      </w:r>
      <w:r w:rsidR="00D44B50">
        <w:rPr>
          <w:rFonts w:hint="eastAsia"/>
          <w:lang w:eastAsia="zh-CN"/>
        </w:rPr>
        <w:t>采用</w:t>
      </w:r>
      <w:r w:rsidRPr="00E25535">
        <w:rPr>
          <w:lang w:eastAsia="zh-CN"/>
        </w:rPr>
        <w:t>替换批准程序（</w:t>
      </w:r>
      <w:r w:rsidRPr="00E25535">
        <w:rPr>
          <w:lang w:eastAsia="zh-CN"/>
        </w:rPr>
        <w:t>AAP</w:t>
      </w:r>
      <w:r w:rsidRPr="00E25535">
        <w:rPr>
          <w:lang w:eastAsia="zh-CN"/>
        </w:rPr>
        <w:t>）批准</w:t>
      </w:r>
      <w:r w:rsidR="00D44B50">
        <w:rPr>
          <w:rFonts w:hint="eastAsia"/>
          <w:lang w:eastAsia="zh-CN"/>
        </w:rPr>
        <w:t>所</w:t>
      </w:r>
      <w:r w:rsidRPr="00E25535">
        <w:rPr>
          <w:lang w:eastAsia="zh-CN"/>
        </w:rPr>
        <w:t>形成的建议书</w:t>
      </w:r>
      <w:r w:rsidR="00D44B50">
        <w:rPr>
          <w:rFonts w:hint="eastAsia"/>
          <w:lang w:eastAsia="zh-CN"/>
        </w:rPr>
        <w:t>，具有监管影响的建议书则</w:t>
      </w:r>
      <w:r w:rsidR="00D44B50" w:rsidRPr="00E25535">
        <w:rPr>
          <w:lang w:eastAsia="zh-CN"/>
        </w:rPr>
        <w:t>采用</w:t>
      </w:r>
      <w:r w:rsidR="00D44B50">
        <w:rPr>
          <w:rFonts w:hint="eastAsia"/>
          <w:lang w:eastAsia="zh-CN"/>
        </w:rPr>
        <w:t>传统批准程序（</w:t>
      </w:r>
      <w:r w:rsidR="00D44B50">
        <w:rPr>
          <w:rFonts w:hint="eastAsia"/>
          <w:lang w:eastAsia="zh-CN"/>
        </w:rPr>
        <w:t>TAP</w:t>
      </w:r>
      <w:r w:rsidR="00D44B50">
        <w:rPr>
          <w:rFonts w:hint="eastAsia"/>
          <w:lang w:eastAsia="zh-CN"/>
        </w:rPr>
        <w:t>）。</w:t>
      </w:r>
    </w:p>
    <w:p w:rsidR="000520CE" w:rsidRPr="00D44B50" w:rsidRDefault="00CC2D8E" w:rsidP="00D44B50">
      <w:pPr>
        <w:spacing w:before="240"/>
        <w:rPr>
          <w:rFonts w:asciiTheme="majorEastAsia" w:eastAsiaTheme="majorEastAsia" w:hAnsiTheme="majorEastAsia"/>
          <w:lang w:eastAsia="zh-CN"/>
        </w:rPr>
      </w:pPr>
      <w:proofErr w:type="gramStart"/>
      <w:r>
        <w:rPr>
          <w:lang w:eastAsia="zh-CN"/>
        </w:rPr>
        <w:t>4</w:t>
      </w:r>
      <w:r w:rsidR="00D44B50">
        <w:rPr>
          <w:rFonts w:hint="eastAsia"/>
          <w:lang w:eastAsia="zh-CN"/>
        </w:rPr>
        <w:tab/>
      </w:r>
      <w:r>
        <w:rPr>
          <w:lang w:eastAsia="zh-CN"/>
        </w:rPr>
        <w:t>新课题已分配给</w:t>
      </w:r>
      <w:r>
        <w:rPr>
          <w:lang w:eastAsia="zh-CN"/>
        </w:rPr>
        <w:t>1/11</w:t>
      </w:r>
      <w:r>
        <w:rPr>
          <w:lang w:eastAsia="zh-CN"/>
        </w:rPr>
        <w:t>工作组</w:t>
      </w:r>
      <w:r w:rsidR="00747DC6">
        <w:rPr>
          <w:rFonts w:hint="eastAsia"/>
          <w:lang w:eastAsia="zh-CN"/>
        </w:rPr>
        <w:t xml:space="preserve"> </w:t>
      </w:r>
      <w:r w:rsidR="00747DC6">
        <w:rPr>
          <w:lang w:eastAsia="zh-CN"/>
        </w:rPr>
        <w:t>–</w:t>
      </w:r>
      <w:r w:rsidRPr="00D44B50">
        <w:rPr>
          <w:rFonts w:asciiTheme="majorEastAsia" w:eastAsiaTheme="majorEastAsia" w:hAnsiTheme="majorEastAsia"/>
          <w:lang w:eastAsia="zh-CN"/>
        </w:rPr>
        <w:t>“</w:t>
      </w:r>
      <w:r w:rsidRPr="00937A44">
        <w:rPr>
          <w:rFonts w:ascii="STKaiti" w:eastAsia="STKaiti" w:hAnsi="STKaiti"/>
          <w:lang w:eastAsia="zh-CN"/>
        </w:rPr>
        <w:t>协议架构和</w:t>
      </w:r>
      <w:r w:rsidR="00D44B50" w:rsidRPr="00937A44">
        <w:rPr>
          <w:rFonts w:ascii="STKaiti" w:eastAsia="STKaiti" w:hAnsi="STKaiti" w:hint="eastAsia"/>
          <w:lang w:eastAsia="zh-CN"/>
        </w:rPr>
        <w:t>应用</w:t>
      </w:r>
      <w:r w:rsidRPr="00937A44">
        <w:rPr>
          <w:rFonts w:ascii="STKaiti" w:eastAsia="STKaiti" w:hAnsi="STKaiti"/>
          <w:lang w:eastAsia="zh-CN"/>
        </w:rPr>
        <w:t>控制</w:t>
      </w:r>
      <w:r w:rsidRPr="00D44B50">
        <w:rPr>
          <w:rFonts w:asciiTheme="majorEastAsia" w:eastAsiaTheme="majorEastAsia" w:hAnsiTheme="majorEastAsia"/>
          <w:lang w:eastAsia="zh-CN"/>
        </w:rPr>
        <w:t>”。</w:t>
      </w:r>
      <w:proofErr w:type="gramEnd"/>
    </w:p>
    <w:p w:rsidR="000520CE" w:rsidRPr="004663B4" w:rsidRDefault="000520CE" w:rsidP="004769B7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271B58">
        <w:rPr>
          <w:rFonts w:hint="eastAsia"/>
          <w:lang w:eastAsia="zh-CN"/>
        </w:rPr>
        <w:t>！</w:t>
      </w:r>
    </w:p>
    <w:p w:rsidR="000520CE" w:rsidRDefault="000520CE" w:rsidP="004769B7">
      <w:pPr>
        <w:rPr>
          <w:lang w:eastAsia="zh-CN"/>
        </w:rPr>
      </w:pPr>
    </w:p>
    <w:p w:rsidR="0005363C" w:rsidRDefault="0005363C" w:rsidP="004769B7">
      <w:pPr>
        <w:rPr>
          <w:lang w:eastAsia="zh-CN"/>
        </w:rPr>
      </w:pPr>
    </w:p>
    <w:p w:rsidR="0005363C" w:rsidRDefault="0005363C" w:rsidP="004769B7">
      <w:pPr>
        <w:rPr>
          <w:lang w:eastAsia="zh-CN"/>
        </w:rPr>
      </w:pPr>
    </w:p>
    <w:p w:rsidR="000520CE" w:rsidRDefault="000520CE" w:rsidP="004769B7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363C" w:rsidRDefault="0005363C" w:rsidP="004769B7">
      <w:pPr>
        <w:rPr>
          <w:lang w:eastAsia="zh-CN"/>
        </w:rPr>
      </w:pPr>
    </w:p>
    <w:p w:rsidR="00CC2D8E" w:rsidRDefault="000520CE" w:rsidP="004769B7">
      <w:pPr>
        <w:rPr>
          <w:b/>
          <w:bCs/>
          <w:lang w:eastAsia="zh-CN"/>
        </w:rPr>
      </w:pPr>
      <w:r w:rsidRPr="00271B58">
        <w:rPr>
          <w:rFonts w:hint="eastAsia"/>
          <w:b/>
          <w:bCs/>
          <w:lang w:eastAsia="zh-CN"/>
        </w:rPr>
        <w:t>附件：</w:t>
      </w:r>
      <w:r w:rsidRPr="00271B58">
        <w:rPr>
          <w:rFonts w:hint="eastAsia"/>
          <w:b/>
          <w:bCs/>
          <w:lang w:eastAsia="zh-CN"/>
        </w:rPr>
        <w:t>1</w:t>
      </w:r>
      <w:r w:rsidRPr="00271B58">
        <w:rPr>
          <w:rFonts w:hint="eastAsia"/>
          <w:b/>
          <w:bCs/>
          <w:lang w:eastAsia="zh-CN"/>
        </w:rPr>
        <w:t>件</w:t>
      </w:r>
    </w:p>
    <w:p w:rsidR="007D391F" w:rsidRPr="006716BB" w:rsidRDefault="00D44B50" w:rsidP="00D44B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4"/>
          <w:lang w:eastAsia="zh-CN"/>
        </w:rPr>
      </w:pPr>
      <w:r>
        <w:rPr>
          <w:rFonts w:hint="eastAsia"/>
          <w:bCs/>
          <w:szCs w:val="24"/>
          <w:lang w:eastAsia="zh-CN"/>
        </w:rPr>
        <w:lastRenderedPageBreak/>
        <w:t>附件</w:t>
      </w:r>
      <w:r w:rsidR="007D391F">
        <w:rPr>
          <w:bCs/>
          <w:szCs w:val="24"/>
          <w:lang w:eastAsia="zh-CN"/>
        </w:rPr>
        <w:t xml:space="preserve"> 1</w:t>
      </w:r>
      <w:r w:rsidR="007D391F">
        <w:rPr>
          <w:bCs/>
          <w:szCs w:val="24"/>
          <w:lang w:eastAsia="zh-CN"/>
        </w:rPr>
        <w:br/>
      </w:r>
      <w:r>
        <w:rPr>
          <w:rFonts w:hint="eastAsia"/>
          <w:bCs/>
          <w:szCs w:val="24"/>
          <w:lang w:eastAsia="zh-CN"/>
        </w:rPr>
        <w:t>（</w:t>
      </w:r>
      <w:r w:rsidR="00FC3173">
        <w:rPr>
          <w:rFonts w:hint="eastAsia"/>
          <w:bCs/>
          <w:szCs w:val="24"/>
          <w:lang w:eastAsia="zh-CN"/>
        </w:rPr>
        <w:t>电信标准化局</w:t>
      </w:r>
      <w:r w:rsidR="007D391F">
        <w:rPr>
          <w:bCs/>
          <w:szCs w:val="24"/>
          <w:lang w:eastAsia="zh-CN"/>
        </w:rPr>
        <w:t>301</w:t>
      </w:r>
      <w:r w:rsidR="00FC3173">
        <w:rPr>
          <w:rFonts w:hint="eastAsia"/>
          <w:bCs/>
          <w:szCs w:val="24"/>
          <w:lang w:eastAsia="zh-CN"/>
        </w:rPr>
        <w:t>号</w:t>
      </w:r>
      <w:r>
        <w:rPr>
          <w:rFonts w:hint="eastAsia"/>
          <w:bCs/>
          <w:szCs w:val="24"/>
          <w:lang w:eastAsia="zh-CN"/>
        </w:rPr>
        <w:t>通函）</w:t>
      </w:r>
    </w:p>
    <w:p w:rsidR="007D391F" w:rsidRPr="007A1CD0" w:rsidRDefault="007A1CD0" w:rsidP="001B1AE9">
      <w:pPr>
        <w:pStyle w:val="AnnexNotitle"/>
        <w:spacing w:before="240"/>
        <w:rPr>
          <w:lang w:eastAsia="ko-KR"/>
        </w:rPr>
      </w:pPr>
      <w:r w:rsidRPr="007A1CD0">
        <w:rPr>
          <w:rFonts w:eastAsiaTheme="minorEastAsia" w:hint="eastAsia"/>
          <w:lang w:eastAsia="zh-CN"/>
        </w:rPr>
        <w:t>第</w:t>
      </w:r>
      <w:r w:rsidRPr="007A1CD0">
        <w:rPr>
          <w:lang w:eastAsia="zh-CN"/>
        </w:rPr>
        <w:t>16/</w:t>
      </w:r>
      <w:r w:rsidRPr="007A1CD0">
        <w:rPr>
          <w:lang w:eastAsia="ko-KR"/>
        </w:rPr>
        <w:t>11</w:t>
      </w:r>
      <w:r w:rsidRPr="007A1CD0">
        <w:rPr>
          <w:rFonts w:eastAsiaTheme="minorEastAsia" w:hint="eastAsia"/>
          <w:lang w:eastAsia="zh-CN"/>
        </w:rPr>
        <w:t>号课题案文</w:t>
      </w:r>
      <w:r w:rsidR="00A60997">
        <w:rPr>
          <w:rFonts w:eastAsiaTheme="minorEastAsia" w:hint="eastAsia"/>
          <w:sz w:val="24"/>
          <w:szCs w:val="24"/>
          <w:lang w:eastAsia="zh-CN"/>
        </w:rPr>
        <w:br/>
      </w:r>
      <w:r>
        <w:rPr>
          <w:rFonts w:eastAsiaTheme="minorEastAsia" w:hint="eastAsia"/>
          <w:lang w:eastAsia="zh-CN"/>
        </w:rPr>
        <w:t>第</w:t>
      </w:r>
      <w:r w:rsidR="007D391F">
        <w:rPr>
          <w:lang w:eastAsia="zh-CN"/>
        </w:rPr>
        <w:t>16/</w:t>
      </w:r>
      <w:r w:rsidR="007D391F">
        <w:rPr>
          <w:lang w:eastAsia="ko-KR"/>
        </w:rPr>
        <w:t>11</w:t>
      </w:r>
      <w:r>
        <w:rPr>
          <w:rFonts w:eastAsiaTheme="minorEastAsia" w:hint="eastAsia"/>
          <w:lang w:eastAsia="zh-CN"/>
        </w:rPr>
        <w:t>号课题</w:t>
      </w:r>
      <w:r w:rsidR="007D391F">
        <w:rPr>
          <w:lang w:eastAsia="zh-CN"/>
        </w:rPr>
        <w:t xml:space="preserve"> –</w:t>
      </w:r>
      <w:r w:rsidRPr="007A1CD0">
        <w:rPr>
          <w:rFonts w:eastAsiaTheme="minorEastAsia"/>
          <w:lang w:eastAsia="zh-CN"/>
        </w:rPr>
        <w:t>与</w:t>
      </w:r>
      <w:r w:rsidRPr="007A1CD0">
        <w:rPr>
          <w:rFonts w:eastAsiaTheme="minorEastAsia"/>
          <w:lang w:eastAsia="zh-CN"/>
        </w:rPr>
        <w:t>IPv6</w:t>
      </w:r>
      <w:r w:rsidRPr="007A1CD0">
        <w:rPr>
          <w:rFonts w:eastAsiaTheme="minorEastAsia"/>
          <w:lang w:eastAsia="zh-CN"/>
        </w:rPr>
        <w:t>具体服务相关的协议程序</w:t>
      </w:r>
    </w:p>
    <w:p w:rsidR="007D391F" w:rsidRPr="004C6ADC" w:rsidRDefault="007A1CD0" w:rsidP="007D391F">
      <w:pPr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（新课题）</w:t>
      </w:r>
    </w:p>
    <w:p w:rsidR="007D391F" w:rsidRPr="00FC3173" w:rsidRDefault="007D391F" w:rsidP="007A1CD0">
      <w:pPr>
        <w:pStyle w:val="Heading3"/>
        <w:jc w:val="both"/>
        <w:rPr>
          <w:rFonts w:asciiTheme="majorBidi" w:hAnsiTheme="majorBidi" w:cstheme="majorBidi"/>
          <w:lang w:eastAsia="zh-CN"/>
        </w:rPr>
      </w:pPr>
      <w:r w:rsidRPr="00FC3173">
        <w:rPr>
          <w:rFonts w:asciiTheme="majorBidi" w:hAnsiTheme="majorBidi" w:cstheme="majorBidi"/>
          <w:lang w:eastAsia="ko-KR"/>
        </w:rPr>
        <w:t>1</w:t>
      </w:r>
      <w:r w:rsidRPr="00FC3173">
        <w:rPr>
          <w:rFonts w:asciiTheme="majorBidi" w:hAnsiTheme="majorBidi" w:cstheme="majorBidi"/>
          <w:lang w:eastAsia="ko-KR"/>
        </w:rPr>
        <w:tab/>
      </w:r>
      <w:r w:rsidR="007A1CD0" w:rsidRPr="00FC3173">
        <w:rPr>
          <w:rFonts w:asciiTheme="majorBidi" w:hAnsiTheme="majorBidi" w:cstheme="majorBidi"/>
          <w:lang w:eastAsia="zh-CN"/>
        </w:rPr>
        <w:t>目的</w:t>
      </w:r>
    </w:p>
    <w:p w:rsidR="007D391F" w:rsidRPr="00FC3173" w:rsidRDefault="007A1CD0" w:rsidP="007A1CD0">
      <w:pPr>
        <w:ind w:firstLineChars="200" w:firstLine="480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lang w:eastAsia="zh-CN"/>
        </w:rPr>
        <w:t>由于</w:t>
      </w:r>
      <w:r w:rsidRPr="00FC3173">
        <w:rPr>
          <w:rFonts w:asciiTheme="majorBidi" w:hAnsiTheme="majorBidi" w:cstheme="majorBidi"/>
          <w:lang w:eastAsia="zh-CN"/>
        </w:rPr>
        <w:t>IPv4</w:t>
      </w:r>
      <w:r w:rsidRPr="00FC3173">
        <w:rPr>
          <w:rFonts w:asciiTheme="majorBidi" w:hAnsiTheme="majorBidi" w:cstheme="majorBidi"/>
          <w:lang w:eastAsia="zh-CN"/>
        </w:rPr>
        <w:t>地址在全球的枯竭迫使人们向</w:t>
      </w:r>
      <w:r w:rsidRPr="00FC3173">
        <w:rPr>
          <w:rFonts w:asciiTheme="majorBidi" w:hAnsiTheme="majorBidi" w:cstheme="majorBidi"/>
          <w:lang w:eastAsia="zh-CN"/>
        </w:rPr>
        <w:t>IPv6</w:t>
      </w:r>
      <w:r w:rsidRPr="00FC3173">
        <w:rPr>
          <w:rFonts w:asciiTheme="majorBidi" w:hAnsiTheme="majorBidi" w:cstheme="majorBidi"/>
          <w:lang w:eastAsia="zh-CN"/>
        </w:rPr>
        <w:t>过渡，但</w:t>
      </w:r>
      <w:r w:rsidRPr="00FC3173">
        <w:rPr>
          <w:rFonts w:asciiTheme="majorBidi" w:hAnsiTheme="majorBidi" w:cstheme="majorBidi"/>
          <w:lang w:eastAsia="zh-CN"/>
        </w:rPr>
        <w:t>IPv4</w:t>
      </w:r>
      <w:r w:rsidRPr="00FC3173">
        <w:rPr>
          <w:rFonts w:asciiTheme="majorBidi" w:hAnsiTheme="majorBidi" w:cstheme="majorBidi"/>
          <w:lang w:eastAsia="zh-CN"/>
        </w:rPr>
        <w:t>和</w:t>
      </w:r>
      <w:r w:rsidRPr="00FC3173">
        <w:rPr>
          <w:rFonts w:asciiTheme="majorBidi" w:hAnsiTheme="majorBidi" w:cstheme="majorBidi"/>
          <w:lang w:eastAsia="zh-CN"/>
        </w:rPr>
        <w:t>IPv6</w:t>
      </w:r>
      <w:r w:rsidRPr="00FC3173">
        <w:rPr>
          <w:rFonts w:asciiTheme="majorBidi" w:hAnsiTheme="majorBidi" w:cstheme="majorBidi"/>
          <w:lang w:eastAsia="zh-CN"/>
        </w:rPr>
        <w:t>之间存在着巨大差异。如何保证服务的连续性对于服务提供商越来越重要。可能需要新的协议程序实现</w:t>
      </w:r>
      <w:r w:rsidRPr="00FC3173">
        <w:rPr>
          <w:rFonts w:asciiTheme="majorBidi" w:hAnsiTheme="majorBidi" w:cstheme="majorBidi"/>
          <w:lang w:eastAsia="zh-CN"/>
        </w:rPr>
        <w:t>Ipv6</w:t>
      </w:r>
      <w:r w:rsidRPr="00FC3173">
        <w:rPr>
          <w:rFonts w:asciiTheme="majorBidi" w:hAnsiTheme="majorBidi" w:cstheme="majorBidi"/>
          <w:lang w:eastAsia="zh-CN"/>
        </w:rPr>
        <w:t>服务（如，固定宽带、</w:t>
      </w:r>
      <w:r w:rsidRPr="00FC3173">
        <w:rPr>
          <w:rFonts w:asciiTheme="majorBidi" w:hAnsiTheme="majorBidi" w:cstheme="majorBidi"/>
          <w:lang w:eastAsia="zh-CN"/>
        </w:rPr>
        <w:t>IPTV</w:t>
      </w:r>
      <w:r w:rsidRPr="00FC3173">
        <w:rPr>
          <w:rFonts w:asciiTheme="majorBidi" w:hAnsiTheme="majorBidi" w:cstheme="majorBidi"/>
          <w:lang w:eastAsia="zh-CN"/>
        </w:rPr>
        <w:t>等）的实施和部署。</w:t>
      </w:r>
    </w:p>
    <w:p w:rsidR="007D391F" w:rsidRPr="00FC3173" w:rsidRDefault="007D391F" w:rsidP="007A1CD0">
      <w:pPr>
        <w:pStyle w:val="Heading3"/>
        <w:jc w:val="both"/>
        <w:rPr>
          <w:rFonts w:asciiTheme="majorBidi" w:hAnsiTheme="majorBidi" w:cstheme="majorBidi"/>
          <w:lang w:eastAsia="zh-CN"/>
        </w:rPr>
      </w:pPr>
      <w:r w:rsidRPr="00FC3173">
        <w:rPr>
          <w:rFonts w:asciiTheme="majorBidi" w:hAnsiTheme="majorBidi" w:cstheme="majorBidi"/>
          <w:lang w:eastAsia="ko-KR"/>
        </w:rPr>
        <w:t>2</w:t>
      </w:r>
      <w:r w:rsidRPr="00FC3173">
        <w:rPr>
          <w:rFonts w:asciiTheme="majorBidi" w:hAnsiTheme="majorBidi" w:cstheme="majorBidi"/>
          <w:lang w:eastAsia="ko-KR"/>
        </w:rPr>
        <w:tab/>
      </w:r>
      <w:r w:rsidR="007A1CD0" w:rsidRPr="00FC3173">
        <w:rPr>
          <w:rFonts w:asciiTheme="majorBidi" w:hAnsiTheme="majorBidi" w:cstheme="majorBidi"/>
          <w:lang w:eastAsia="zh-CN"/>
        </w:rPr>
        <w:t>课题</w:t>
      </w:r>
    </w:p>
    <w:p w:rsidR="007D391F" w:rsidRPr="00FC3173" w:rsidRDefault="00AC701C" w:rsidP="0047773A">
      <w:pPr>
        <w:ind w:firstLineChars="200" w:firstLine="480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lang w:eastAsia="zh-CN"/>
        </w:rPr>
        <w:t>应考虑研究的内容包括，但不限于：</w:t>
      </w:r>
    </w:p>
    <w:p w:rsidR="007D391F" w:rsidRPr="00FC3173" w:rsidRDefault="00FB3975" w:rsidP="00FB3975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lang w:eastAsia="zh-CN"/>
        </w:rPr>
        <w:t>ITU-T</w:t>
      </w:r>
      <w:r w:rsidRPr="00FC3173">
        <w:rPr>
          <w:rFonts w:asciiTheme="majorBidi" w:hAnsiTheme="majorBidi" w:cstheme="majorBidi"/>
          <w:lang w:eastAsia="zh-CN"/>
        </w:rPr>
        <w:t>哪些现有建议书需要更新以便利用</w:t>
      </w:r>
      <w:r w:rsidRPr="00FC3173">
        <w:rPr>
          <w:rFonts w:asciiTheme="majorBidi" w:hAnsiTheme="majorBidi" w:cstheme="majorBidi"/>
          <w:lang w:eastAsia="zh-CN"/>
        </w:rPr>
        <w:t>IPv6</w:t>
      </w:r>
      <w:r w:rsidRPr="00FC3173">
        <w:rPr>
          <w:rFonts w:asciiTheme="majorBidi" w:hAnsiTheme="majorBidi" w:cstheme="majorBidi"/>
          <w:lang w:eastAsia="zh-CN"/>
        </w:rPr>
        <w:t>？</w:t>
      </w:r>
      <w:r w:rsidR="007D391F" w:rsidRPr="00FC3173">
        <w:rPr>
          <w:rFonts w:asciiTheme="majorBidi" w:hAnsiTheme="majorBidi" w:cstheme="majorBidi"/>
          <w:szCs w:val="24"/>
          <w:lang w:val="en-US" w:eastAsia="zh-CN"/>
        </w:rPr>
        <w:t xml:space="preserve"> </w:t>
      </w:r>
    </w:p>
    <w:p w:rsidR="007D391F" w:rsidRPr="00FC3173" w:rsidRDefault="00FB3975" w:rsidP="00FB3975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lang w:eastAsia="zh-CN"/>
        </w:rPr>
        <w:t>可以确定哪些将</w:t>
      </w:r>
      <w:r w:rsidRPr="00FC3173">
        <w:rPr>
          <w:rFonts w:asciiTheme="majorBidi" w:hAnsiTheme="majorBidi" w:cstheme="majorBidi"/>
          <w:lang w:eastAsia="zh-CN"/>
        </w:rPr>
        <w:t>IPv6</w:t>
      </w:r>
      <w:r w:rsidRPr="00FC3173">
        <w:rPr>
          <w:rFonts w:asciiTheme="majorBidi" w:hAnsiTheme="majorBidi" w:cstheme="majorBidi"/>
          <w:lang w:eastAsia="zh-CN"/>
        </w:rPr>
        <w:t>作为必要的前提条件的新服务？</w:t>
      </w:r>
      <w:r w:rsidR="007D391F" w:rsidRPr="00FC3173">
        <w:rPr>
          <w:rFonts w:asciiTheme="majorBidi" w:hAnsiTheme="majorBidi" w:cstheme="majorBidi"/>
          <w:szCs w:val="24"/>
          <w:lang w:val="en-US" w:eastAsia="zh-CN"/>
        </w:rPr>
        <w:t xml:space="preserve"> </w:t>
      </w:r>
    </w:p>
    <w:p w:rsidR="007D391F" w:rsidRPr="00FC3173" w:rsidRDefault="00FB3975" w:rsidP="00FB3975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lang w:eastAsia="zh-CN"/>
        </w:rPr>
        <w:t>实施上述所确定的服务需要哪些新的协议程序？</w:t>
      </w:r>
    </w:p>
    <w:p w:rsidR="007D391F" w:rsidRPr="00FC3173" w:rsidRDefault="007D391F" w:rsidP="00AC701C">
      <w:pPr>
        <w:pStyle w:val="Heading3"/>
        <w:jc w:val="both"/>
        <w:rPr>
          <w:rFonts w:asciiTheme="majorBidi" w:hAnsiTheme="majorBidi" w:cstheme="majorBidi"/>
          <w:lang w:eastAsia="zh-CN"/>
        </w:rPr>
      </w:pPr>
      <w:r w:rsidRPr="00FC3173">
        <w:rPr>
          <w:rFonts w:asciiTheme="majorBidi" w:hAnsiTheme="majorBidi" w:cstheme="majorBidi"/>
          <w:lang w:eastAsia="ko-KR"/>
        </w:rPr>
        <w:t>3</w:t>
      </w:r>
      <w:r w:rsidRPr="00FC3173">
        <w:rPr>
          <w:rFonts w:asciiTheme="majorBidi" w:hAnsiTheme="majorBidi" w:cstheme="majorBidi"/>
          <w:lang w:eastAsia="ko-KR"/>
        </w:rPr>
        <w:tab/>
      </w:r>
      <w:r w:rsidR="00AC701C" w:rsidRPr="00FC3173">
        <w:rPr>
          <w:rFonts w:asciiTheme="majorBidi" w:hAnsiTheme="majorBidi" w:cstheme="majorBidi"/>
          <w:lang w:eastAsia="zh-CN"/>
        </w:rPr>
        <w:t>任务</w:t>
      </w:r>
    </w:p>
    <w:p w:rsidR="007D391F" w:rsidRPr="00FC3173" w:rsidRDefault="00AC701C" w:rsidP="0047773A">
      <w:pPr>
        <w:ind w:firstLineChars="200" w:firstLine="480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lang w:eastAsia="zh-CN"/>
        </w:rPr>
        <w:t>任务包括，但不限于：</w:t>
      </w:r>
    </w:p>
    <w:p w:rsidR="007D391F" w:rsidRPr="00FC3173" w:rsidRDefault="00FB3975" w:rsidP="00FB3975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lang w:eastAsia="zh-CN"/>
        </w:rPr>
        <w:t>（与相关研究组</w:t>
      </w:r>
      <w:r w:rsidRPr="00FC3173">
        <w:rPr>
          <w:rFonts w:asciiTheme="majorBidi" w:hAnsiTheme="majorBidi" w:cstheme="majorBidi"/>
          <w:lang w:eastAsia="zh-CN"/>
        </w:rPr>
        <w:t>/</w:t>
      </w:r>
      <w:r w:rsidRPr="00FC3173">
        <w:rPr>
          <w:rFonts w:asciiTheme="majorBidi" w:hAnsiTheme="majorBidi" w:cstheme="majorBidi"/>
          <w:lang w:eastAsia="zh-CN"/>
        </w:rPr>
        <w:t>课题合作）审议现有明确和不明确依赖于</w:t>
      </w:r>
      <w:r w:rsidRPr="00FC3173">
        <w:rPr>
          <w:rFonts w:asciiTheme="majorBidi" w:hAnsiTheme="majorBidi" w:cstheme="majorBidi"/>
          <w:lang w:eastAsia="zh-CN"/>
        </w:rPr>
        <w:t>IP</w:t>
      </w:r>
      <w:r w:rsidRPr="00FC3173">
        <w:rPr>
          <w:rFonts w:asciiTheme="majorBidi" w:hAnsiTheme="majorBidi" w:cstheme="majorBidi"/>
          <w:lang w:eastAsia="zh-CN"/>
        </w:rPr>
        <w:t>版本的建议书，为向</w:t>
      </w:r>
      <w:r w:rsidRPr="00FC3173">
        <w:rPr>
          <w:rFonts w:asciiTheme="majorBidi" w:hAnsiTheme="majorBidi" w:cstheme="majorBidi"/>
          <w:lang w:eastAsia="zh-CN"/>
        </w:rPr>
        <w:t>IPv6</w:t>
      </w:r>
      <w:r w:rsidRPr="00FC3173">
        <w:rPr>
          <w:rFonts w:asciiTheme="majorBidi" w:hAnsiTheme="majorBidi" w:cstheme="majorBidi"/>
          <w:lang w:eastAsia="zh-CN"/>
        </w:rPr>
        <w:t>成功过渡进行必要的更新；</w:t>
      </w:r>
      <w:r w:rsidR="007D391F" w:rsidRPr="00FC3173">
        <w:rPr>
          <w:rFonts w:asciiTheme="majorBidi" w:hAnsiTheme="majorBidi" w:cstheme="majorBidi"/>
          <w:szCs w:val="24"/>
          <w:lang w:val="en-US" w:eastAsia="zh-CN"/>
        </w:rPr>
        <w:t xml:space="preserve"> </w:t>
      </w:r>
    </w:p>
    <w:p w:rsidR="007D391F" w:rsidRPr="00FC3173" w:rsidRDefault="00FB3975" w:rsidP="00FB3975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lang w:eastAsia="zh-CN"/>
        </w:rPr>
        <w:t>确定向</w:t>
      </w:r>
      <w:r w:rsidRPr="00FC3173">
        <w:rPr>
          <w:rFonts w:asciiTheme="majorBidi" w:hAnsiTheme="majorBidi" w:cstheme="majorBidi"/>
          <w:lang w:eastAsia="zh-CN"/>
        </w:rPr>
        <w:t>IPv6</w:t>
      </w:r>
      <w:r w:rsidRPr="00FC3173">
        <w:rPr>
          <w:rFonts w:asciiTheme="majorBidi" w:hAnsiTheme="majorBidi" w:cstheme="majorBidi"/>
          <w:lang w:eastAsia="zh-CN"/>
        </w:rPr>
        <w:t>过渡需要新协议程序的服务；</w:t>
      </w:r>
    </w:p>
    <w:p w:rsidR="007D391F" w:rsidRPr="00FC3173" w:rsidRDefault="00FB3975" w:rsidP="00FB3975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lang w:eastAsia="zh-CN"/>
        </w:rPr>
        <w:t>对上述所确定的服务制定新的协议程序。</w:t>
      </w:r>
    </w:p>
    <w:p w:rsidR="007D391F" w:rsidRPr="00FC3173" w:rsidRDefault="007D391F" w:rsidP="00AC701C">
      <w:pPr>
        <w:pStyle w:val="Heading3"/>
        <w:jc w:val="both"/>
        <w:rPr>
          <w:rFonts w:asciiTheme="majorBidi" w:hAnsiTheme="majorBidi" w:cstheme="majorBidi"/>
          <w:lang w:eastAsia="ko-KR"/>
        </w:rPr>
      </w:pPr>
      <w:r w:rsidRPr="00FC3173">
        <w:rPr>
          <w:rFonts w:asciiTheme="majorBidi" w:hAnsiTheme="majorBidi" w:cstheme="majorBidi"/>
          <w:lang w:eastAsia="ko-KR"/>
        </w:rPr>
        <w:t>4</w:t>
      </w:r>
      <w:r w:rsidRPr="00FC3173">
        <w:rPr>
          <w:rFonts w:asciiTheme="majorBidi" w:hAnsiTheme="majorBidi" w:cstheme="majorBidi"/>
          <w:lang w:eastAsia="ko-KR"/>
        </w:rPr>
        <w:tab/>
      </w:r>
      <w:r w:rsidR="00AC701C" w:rsidRPr="00FC3173">
        <w:rPr>
          <w:rFonts w:asciiTheme="majorBidi" w:hAnsiTheme="majorBidi" w:cstheme="majorBidi"/>
          <w:lang w:val="en-US" w:eastAsia="zh-CN"/>
        </w:rPr>
        <w:t>关系</w:t>
      </w:r>
    </w:p>
    <w:p w:rsidR="007D391F" w:rsidRPr="00FC3173" w:rsidRDefault="00AC701C" w:rsidP="007D391F">
      <w:pPr>
        <w:rPr>
          <w:rFonts w:asciiTheme="majorBidi" w:hAnsiTheme="majorBidi" w:cstheme="majorBidi"/>
          <w:b/>
          <w:bCs/>
          <w:szCs w:val="24"/>
          <w:lang w:val="en-US" w:eastAsia="zh-CN"/>
        </w:rPr>
      </w:pPr>
      <w:r w:rsidRPr="00FC3173">
        <w:rPr>
          <w:rFonts w:asciiTheme="majorBidi" w:hAnsiTheme="majorBidi" w:cstheme="majorBidi"/>
          <w:b/>
          <w:bCs/>
          <w:szCs w:val="24"/>
          <w:lang w:val="en-US" w:eastAsia="zh-CN"/>
        </w:rPr>
        <w:t>建议书：</w:t>
      </w:r>
    </w:p>
    <w:p w:rsidR="007D391F" w:rsidRPr="00FC3173" w:rsidRDefault="007D391F" w:rsidP="00CF7F8F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/>
        </w:rPr>
      </w:pPr>
      <w:r w:rsidRPr="00FC3173">
        <w:rPr>
          <w:rFonts w:asciiTheme="majorBidi" w:hAnsiTheme="majorBidi" w:cstheme="majorBidi"/>
          <w:szCs w:val="24"/>
          <w:lang w:val="en-US"/>
        </w:rPr>
        <w:t>Y.2053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、</w:t>
      </w:r>
      <w:r w:rsidRPr="00FC3173">
        <w:rPr>
          <w:rFonts w:asciiTheme="majorBidi" w:hAnsiTheme="majorBidi" w:cstheme="majorBidi"/>
          <w:szCs w:val="24"/>
          <w:lang w:val="en-US"/>
        </w:rPr>
        <w:t>Y.2054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和</w:t>
      </w:r>
      <w:r w:rsidRPr="00FC3173">
        <w:rPr>
          <w:rFonts w:asciiTheme="majorBidi" w:hAnsiTheme="majorBidi" w:cstheme="majorBidi"/>
          <w:szCs w:val="24"/>
          <w:lang w:val="en-US"/>
        </w:rPr>
        <w:t xml:space="preserve"> Q.33xx-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系列。</w:t>
      </w:r>
    </w:p>
    <w:p w:rsidR="007D391F" w:rsidRPr="00FC3173" w:rsidRDefault="00AC701C" w:rsidP="007D391F">
      <w:pPr>
        <w:rPr>
          <w:rFonts w:asciiTheme="majorBidi" w:hAnsiTheme="majorBidi" w:cstheme="majorBidi"/>
          <w:b/>
          <w:bCs/>
          <w:szCs w:val="24"/>
          <w:lang w:val="en-US" w:eastAsia="zh-CN"/>
        </w:rPr>
      </w:pPr>
      <w:r w:rsidRPr="00FC3173">
        <w:rPr>
          <w:rFonts w:asciiTheme="majorBidi" w:hAnsiTheme="majorBidi" w:cstheme="majorBidi"/>
          <w:b/>
          <w:bCs/>
          <w:szCs w:val="24"/>
          <w:lang w:val="en-US" w:eastAsia="zh-CN"/>
        </w:rPr>
        <w:t>课题：</w:t>
      </w:r>
    </w:p>
    <w:p w:rsidR="007D391F" w:rsidRPr="00FC3173" w:rsidRDefault="007D391F" w:rsidP="00CF7F8F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/>
        </w:rPr>
      </w:pPr>
      <w:r w:rsidRPr="00FC3173">
        <w:rPr>
          <w:rFonts w:asciiTheme="majorBidi" w:hAnsiTheme="majorBidi" w:cstheme="majorBidi"/>
          <w:szCs w:val="24"/>
          <w:lang w:val="en-US"/>
        </w:rPr>
        <w:t>Q1/11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、</w:t>
      </w:r>
      <w:r w:rsidRPr="00FC3173">
        <w:rPr>
          <w:rFonts w:asciiTheme="majorBidi" w:hAnsiTheme="majorBidi" w:cstheme="majorBidi"/>
          <w:szCs w:val="24"/>
          <w:lang w:val="en-US"/>
        </w:rPr>
        <w:t>Q2/11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、</w:t>
      </w:r>
      <w:r w:rsidRPr="00FC3173">
        <w:rPr>
          <w:rFonts w:asciiTheme="majorBidi" w:hAnsiTheme="majorBidi" w:cstheme="majorBidi"/>
          <w:szCs w:val="24"/>
          <w:lang w:val="en-US"/>
        </w:rPr>
        <w:t>Q3/11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、</w:t>
      </w:r>
      <w:r w:rsidRPr="00FC3173">
        <w:rPr>
          <w:rFonts w:asciiTheme="majorBidi" w:hAnsiTheme="majorBidi" w:cstheme="majorBidi"/>
          <w:szCs w:val="24"/>
          <w:lang w:val="en-US"/>
        </w:rPr>
        <w:t>Q4/11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、</w:t>
      </w:r>
      <w:r w:rsidRPr="00FC3173">
        <w:rPr>
          <w:rFonts w:asciiTheme="majorBidi" w:hAnsiTheme="majorBidi" w:cstheme="majorBidi"/>
          <w:szCs w:val="24"/>
          <w:lang w:val="en-US"/>
        </w:rPr>
        <w:t>Q5/11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、</w:t>
      </w:r>
      <w:r w:rsidRPr="00FC3173">
        <w:rPr>
          <w:rFonts w:asciiTheme="majorBidi" w:hAnsiTheme="majorBidi" w:cstheme="majorBidi"/>
          <w:szCs w:val="24"/>
          <w:lang w:val="en-US"/>
        </w:rPr>
        <w:t>Q7/11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。</w:t>
      </w:r>
    </w:p>
    <w:p w:rsidR="007D391F" w:rsidRPr="00FC3173" w:rsidRDefault="00AC701C" w:rsidP="007D391F">
      <w:pPr>
        <w:rPr>
          <w:rFonts w:asciiTheme="majorBidi" w:hAnsiTheme="majorBidi" w:cstheme="majorBidi"/>
          <w:b/>
          <w:bCs/>
          <w:szCs w:val="24"/>
          <w:lang w:val="en-US" w:eastAsia="zh-CN"/>
        </w:rPr>
      </w:pPr>
      <w:r w:rsidRPr="00FC3173">
        <w:rPr>
          <w:rFonts w:asciiTheme="majorBidi" w:hAnsiTheme="majorBidi" w:cstheme="majorBidi"/>
          <w:b/>
          <w:bCs/>
          <w:szCs w:val="24"/>
          <w:lang w:val="en-US" w:eastAsia="zh-CN"/>
        </w:rPr>
        <w:t>研究组：</w:t>
      </w:r>
    </w:p>
    <w:p w:rsidR="007D391F" w:rsidRPr="00FC3173" w:rsidRDefault="007D391F" w:rsidP="007270D5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szCs w:val="24"/>
          <w:lang w:val="en-US" w:eastAsia="zh-CN"/>
        </w:rPr>
        <w:t>ITU-T</w:t>
      </w:r>
      <w:r w:rsidR="00CF7F8F" w:rsidRPr="00FC3173">
        <w:rPr>
          <w:rFonts w:asciiTheme="majorBidi" w:hAnsiTheme="majorBidi" w:cstheme="majorBidi"/>
          <w:lang w:eastAsia="zh-CN"/>
        </w:rPr>
        <w:t>有关下一代网络（</w:t>
      </w:r>
      <w:r w:rsidR="00CF7F8F" w:rsidRPr="00FC3173">
        <w:rPr>
          <w:rFonts w:asciiTheme="majorBidi" w:hAnsiTheme="majorBidi" w:cstheme="majorBidi"/>
          <w:lang w:eastAsia="zh-CN"/>
        </w:rPr>
        <w:t>NGN</w:t>
      </w:r>
      <w:r w:rsidR="00CF7F8F" w:rsidRPr="00FC3173">
        <w:rPr>
          <w:rFonts w:asciiTheme="majorBidi" w:hAnsiTheme="majorBidi" w:cstheme="majorBidi"/>
          <w:lang w:eastAsia="zh-CN"/>
        </w:rPr>
        <w:t>）的第</w:t>
      </w:r>
      <w:r w:rsidR="00CF7F8F" w:rsidRPr="00FC3173">
        <w:rPr>
          <w:rFonts w:asciiTheme="majorBidi" w:hAnsiTheme="majorBidi" w:cstheme="majorBidi"/>
          <w:lang w:eastAsia="zh-CN"/>
        </w:rPr>
        <w:t>13</w:t>
      </w:r>
      <w:r w:rsidR="00CF7F8F" w:rsidRPr="00FC3173">
        <w:rPr>
          <w:rFonts w:asciiTheme="majorBidi" w:hAnsiTheme="majorBidi" w:cstheme="majorBidi"/>
          <w:lang w:eastAsia="zh-CN"/>
        </w:rPr>
        <w:t>研究组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（特别是</w:t>
      </w:r>
      <w:r w:rsidRPr="00FC3173">
        <w:rPr>
          <w:rFonts w:asciiTheme="majorBidi" w:hAnsiTheme="majorBidi" w:cstheme="majorBidi"/>
          <w:szCs w:val="24"/>
          <w:lang w:val="en-US" w:eastAsia="zh-CN"/>
        </w:rPr>
        <w:t>Q1/13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、</w:t>
      </w:r>
      <w:r w:rsidRPr="00FC3173">
        <w:rPr>
          <w:rFonts w:asciiTheme="majorBidi" w:hAnsiTheme="majorBidi" w:cstheme="majorBidi"/>
          <w:szCs w:val="24"/>
          <w:lang w:val="en-US" w:eastAsia="zh-CN"/>
        </w:rPr>
        <w:t>Q3/13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、</w:t>
      </w:r>
      <w:r w:rsidRPr="00FC3173">
        <w:rPr>
          <w:rFonts w:asciiTheme="majorBidi" w:hAnsiTheme="majorBidi" w:cstheme="majorBidi"/>
          <w:szCs w:val="24"/>
          <w:lang w:val="en-US" w:eastAsia="zh-CN"/>
        </w:rPr>
        <w:t>Q4/13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和</w:t>
      </w:r>
      <w:r w:rsidRPr="00FC3173">
        <w:rPr>
          <w:rFonts w:asciiTheme="majorBidi" w:hAnsiTheme="majorBidi" w:cstheme="majorBidi"/>
          <w:szCs w:val="24"/>
          <w:lang w:val="en-US" w:eastAsia="zh-CN"/>
        </w:rPr>
        <w:t xml:space="preserve"> Q7/13</w:t>
      </w:r>
      <w:r w:rsidR="007270D5" w:rsidRPr="00FC3173">
        <w:rPr>
          <w:rFonts w:asciiTheme="majorBidi" w:hAnsiTheme="majorBidi" w:cstheme="majorBidi"/>
          <w:szCs w:val="24"/>
          <w:lang w:val="en-US" w:eastAsia="zh-CN"/>
        </w:rPr>
        <w:t>号课题</w:t>
      </w:r>
      <w:r w:rsidR="00CF7F8F" w:rsidRPr="00FC3173">
        <w:rPr>
          <w:rFonts w:asciiTheme="majorBidi" w:hAnsiTheme="majorBidi" w:cstheme="majorBidi"/>
          <w:szCs w:val="24"/>
          <w:lang w:val="en-US" w:eastAsia="zh-CN"/>
        </w:rPr>
        <w:t>）</w:t>
      </w:r>
    </w:p>
    <w:p w:rsidR="007D391F" w:rsidRPr="00FC3173" w:rsidRDefault="007D391F" w:rsidP="00CF7F8F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szCs w:val="24"/>
          <w:lang w:val="en-US" w:eastAsia="zh-CN"/>
        </w:rPr>
        <w:t>ITU-T</w:t>
      </w:r>
      <w:r w:rsidR="00CF7F8F" w:rsidRPr="00FC3173">
        <w:rPr>
          <w:rFonts w:asciiTheme="majorBidi" w:hAnsiTheme="majorBidi" w:cstheme="majorBidi"/>
          <w:lang w:eastAsia="zh-CN"/>
        </w:rPr>
        <w:t>有关多媒体服务和应用的第</w:t>
      </w:r>
      <w:r w:rsidR="00CF7F8F" w:rsidRPr="00FC3173">
        <w:rPr>
          <w:rFonts w:asciiTheme="majorBidi" w:hAnsiTheme="majorBidi" w:cstheme="majorBidi"/>
          <w:lang w:eastAsia="zh-CN"/>
        </w:rPr>
        <w:t>16</w:t>
      </w:r>
      <w:r w:rsidR="00CF7F8F" w:rsidRPr="00FC3173">
        <w:rPr>
          <w:rFonts w:asciiTheme="majorBidi" w:hAnsiTheme="majorBidi" w:cstheme="majorBidi"/>
          <w:lang w:eastAsia="zh-CN"/>
        </w:rPr>
        <w:t>研究组</w:t>
      </w:r>
      <w:r w:rsidRPr="00FC3173">
        <w:rPr>
          <w:rFonts w:asciiTheme="majorBidi" w:hAnsiTheme="majorBidi" w:cstheme="majorBidi"/>
          <w:szCs w:val="24"/>
          <w:lang w:val="en-US" w:eastAsia="zh-CN"/>
        </w:rPr>
        <w:t xml:space="preserve"> </w:t>
      </w:r>
    </w:p>
    <w:p w:rsidR="007D391F" w:rsidRPr="00FC3173" w:rsidRDefault="007D391F" w:rsidP="00CF7F8F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ajorBidi" w:hAnsiTheme="majorBidi" w:cstheme="majorBidi"/>
          <w:szCs w:val="24"/>
          <w:lang w:val="en-US" w:eastAsia="zh-CN"/>
        </w:rPr>
      </w:pPr>
      <w:r w:rsidRPr="00FC3173">
        <w:rPr>
          <w:rFonts w:asciiTheme="majorBidi" w:hAnsiTheme="majorBidi" w:cstheme="majorBidi"/>
          <w:szCs w:val="24"/>
          <w:lang w:val="en-US" w:eastAsia="zh-CN"/>
        </w:rPr>
        <w:t>ITU-T</w:t>
      </w:r>
      <w:r w:rsidR="00CF7F8F" w:rsidRPr="00FC3173">
        <w:rPr>
          <w:rFonts w:asciiTheme="majorBidi" w:hAnsiTheme="majorBidi" w:cstheme="majorBidi"/>
          <w:lang w:eastAsia="zh-CN"/>
        </w:rPr>
        <w:t>研究</w:t>
      </w:r>
      <w:r w:rsidR="00CF7F8F" w:rsidRPr="00FC3173">
        <w:rPr>
          <w:rFonts w:asciiTheme="majorBidi" w:hAnsiTheme="majorBidi" w:cstheme="majorBidi"/>
          <w:lang w:eastAsia="zh-CN"/>
        </w:rPr>
        <w:t>IPv6</w:t>
      </w:r>
      <w:r w:rsidR="00CF7F8F" w:rsidRPr="00FC3173">
        <w:rPr>
          <w:rFonts w:asciiTheme="majorBidi" w:hAnsiTheme="majorBidi" w:cstheme="majorBidi"/>
          <w:lang w:eastAsia="zh-CN"/>
        </w:rPr>
        <w:t>问题的第</w:t>
      </w:r>
      <w:r w:rsidR="00CF7F8F" w:rsidRPr="00FC3173">
        <w:rPr>
          <w:rFonts w:asciiTheme="majorBidi" w:hAnsiTheme="majorBidi" w:cstheme="majorBidi"/>
          <w:lang w:eastAsia="zh-CN"/>
        </w:rPr>
        <w:t>2</w:t>
      </w:r>
      <w:r w:rsidR="00CF7F8F" w:rsidRPr="00FC3173">
        <w:rPr>
          <w:rFonts w:asciiTheme="majorBidi" w:hAnsiTheme="majorBidi" w:cstheme="majorBidi"/>
          <w:lang w:eastAsia="zh-CN"/>
        </w:rPr>
        <w:t>研究组和其他研究组</w:t>
      </w:r>
      <w:r w:rsidR="00CF7F8F" w:rsidRPr="00FC3173">
        <w:rPr>
          <w:rFonts w:asciiTheme="majorBidi" w:hAnsiTheme="majorBidi" w:cstheme="majorBidi"/>
          <w:lang w:eastAsia="zh-CN"/>
        </w:rPr>
        <w:t xml:space="preserve"> </w:t>
      </w:r>
    </w:p>
    <w:p w:rsidR="007270D5" w:rsidRPr="00FC3173" w:rsidRDefault="007270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lang w:eastAsia="zh-CN"/>
        </w:rPr>
      </w:pPr>
      <w:r w:rsidRPr="00FC3173">
        <w:rPr>
          <w:rFonts w:asciiTheme="majorBidi" w:hAnsiTheme="majorBidi" w:cstheme="majorBidi"/>
          <w:b/>
          <w:bCs/>
          <w:lang w:eastAsia="zh-CN"/>
        </w:rPr>
        <w:br w:type="page"/>
      </w:r>
    </w:p>
    <w:p w:rsidR="007D391F" w:rsidRPr="006F2A08" w:rsidRDefault="00AC701C" w:rsidP="007D391F">
      <w:pPr>
        <w:rPr>
          <w:b/>
          <w:bCs/>
          <w:szCs w:val="24"/>
          <w:lang w:val="en-US"/>
        </w:rPr>
      </w:pPr>
      <w:r w:rsidRPr="00DF64C1">
        <w:rPr>
          <w:b/>
          <w:bCs/>
          <w:lang w:eastAsia="zh-CN"/>
        </w:rPr>
        <w:lastRenderedPageBreak/>
        <w:t>标准化机构：</w:t>
      </w:r>
    </w:p>
    <w:p w:rsidR="007D391F" w:rsidRPr="006F2A08" w:rsidRDefault="007D391F" w:rsidP="00CF7F8F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  <w:lang w:val="en-US"/>
        </w:rPr>
      </w:pPr>
      <w:r w:rsidRPr="006F2A08">
        <w:rPr>
          <w:szCs w:val="24"/>
          <w:lang w:val="en-US"/>
        </w:rPr>
        <w:t>IETF</w:t>
      </w:r>
      <w:r w:rsidR="00CF7F8F">
        <w:rPr>
          <w:lang w:eastAsia="zh-CN"/>
        </w:rPr>
        <w:t>、宽带论坛</w:t>
      </w:r>
    </w:p>
    <w:p w:rsidR="007D391F" w:rsidRPr="00FF547E" w:rsidRDefault="00CF7F8F" w:rsidP="00CF7F8F">
      <w:pPr>
        <w:numPr>
          <w:ilvl w:val="0"/>
          <w:numId w:val="2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  <w:lang w:val="en-US" w:eastAsia="zh-CN"/>
        </w:rPr>
      </w:pPr>
      <w:r>
        <w:rPr>
          <w:lang w:eastAsia="zh-CN"/>
        </w:rPr>
        <w:t>有关</w:t>
      </w:r>
      <w:r>
        <w:rPr>
          <w:lang w:eastAsia="zh-CN"/>
        </w:rPr>
        <w:t>NGN</w:t>
      </w:r>
      <w:r>
        <w:rPr>
          <w:lang w:eastAsia="zh-CN"/>
        </w:rPr>
        <w:t>、</w:t>
      </w:r>
      <w:r>
        <w:rPr>
          <w:lang w:eastAsia="zh-CN"/>
        </w:rPr>
        <w:t>IPv6</w:t>
      </w:r>
      <w:r>
        <w:rPr>
          <w:lang w:eastAsia="zh-CN"/>
        </w:rPr>
        <w:t>和相关服务的区域性标准制定组织（</w:t>
      </w:r>
      <w:r>
        <w:rPr>
          <w:lang w:eastAsia="zh-CN"/>
        </w:rPr>
        <w:t>SDO</w:t>
      </w:r>
      <w:r>
        <w:rPr>
          <w:lang w:eastAsia="zh-CN"/>
        </w:rPr>
        <w:t>）</w:t>
      </w:r>
      <w:r w:rsidR="00FF547E">
        <w:rPr>
          <w:rFonts w:hint="eastAsia"/>
          <w:lang w:eastAsia="zh-CN"/>
        </w:rPr>
        <w:t>。</w:t>
      </w:r>
    </w:p>
    <w:p w:rsidR="00FF547E" w:rsidRDefault="00FF547E" w:rsidP="00FF547E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en-US" w:eastAsia="zh-CN"/>
        </w:rPr>
      </w:pPr>
    </w:p>
    <w:p w:rsidR="007D391F" w:rsidRDefault="007D391F" w:rsidP="00FF54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eastAsia="zh-CN"/>
        </w:rPr>
      </w:pPr>
      <w:r>
        <w:rPr>
          <w:szCs w:val="24"/>
          <w:lang w:val="en-US"/>
        </w:rPr>
        <w:t>____________________</w:t>
      </w:r>
    </w:p>
    <w:sectPr w:rsidR="007D39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9F" w:rsidRDefault="00B5719F">
      <w:r>
        <w:separator/>
      </w:r>
    </w:p>
  </w:endnote>
  <w:endnote w:type="continuationSeparator" w:id="0">
    <w:p w:rsidR="00B5719F" w:rsidRDefault="00B5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89" w:rsidRDefault="008C10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89" w:rsidRDefault="008C1089" w:rsidP="008C1089">
    <w:pPr>
      <w:pStyle w:val="Footer"/>
      <w:rPr>
        <w:lang w:val="fr-CH"/>
      </w:rPr>
    </w:pPr>
    <w:r>
      <w:rPr>
        <w:lang w:val="fr-CH"/>
      </w:rPr>
      <w:t>ITU-T\BUREAU\CIRC\301C.DOC</w:t>
    </w:r>
  </w:p>
  <w:p w:rsidR="00B5719F" w:rsidRPr="008C1089" w:rsidRDefault="00B5719F" w:rsidP="008C1089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F" w:rsidRDefault="00B5719F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B5719F" w:rsidRDefault="00B5719F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B5719F" w:rsidRDefault="00B5719F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9F" w:rsidRDefault="00B5719F">
      <w:r>
        <w:separator/>
      </w:r>
    </w:p>
  </w:footnote>
  <w:footnote w:type="continuationSeparator" w:id="0">
    <w:p w:rsidR="00B5719F" w:rsidRDefault="00B5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89" w:rsidRDefault="008C10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F" w:rsidRPr="0005363C" w:rsidRDefault="00B5719F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Pr="0005363C">
      <w:rPr>
        <w:sz w:val="18"/>
        <w:szCs w:val="18"/>
      </w:rPr>
      <w:fldChar w:fldCharType="separate"/>
    </w:r>
    <w:r w:rsidR="00290102">
      <w:rPr>
        <w:noProof/>
        <w:sz w:val="18"/>
        <w:szCs w:val="18"/>
      </w:rPr>
      <w:t>3</w:t>
    </w:r>
    <w:r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89" w:rsidRDefault="008C1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A8479F9"/>
    <w:multiLevelType w:val="multilevel"/>
    <w:tmpl w:val="4222A56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CE"/>
    <w:rsid w:val="00043C2F"/>
    <w:rsid w:val="000520CE"/>
    <w:rsid w:val="0005363C"/>
    <w:rsid w:val="000610B1"/>
    <w:rsid w:val="00065D52"/>
    <w:rsid w:val="000747E1"/>
    <w:rsid w:val="00075B8D"/>
    <w:rsid w:val="00090E72"/>
    <w:rsid w:val="000D13BA"/>
    <w:rsid w:val="00196057"/>
    <w:rsid w:val="001B1AE9"/>
    <w:rsid w:val="001D33FE"/>
    <w:rsid w:val="001D4B2B"/>
    <w:rsid w:val="00234A9B"/>
    <w:rsid w:val="00271B58"/>
    <w:rsid w:val="00290102"/>
    <w:rsid w:val="002E05E3"/>
    <w:rsid w:val="00342096"/>
    <w:rsid w:val="003720EF"/>
    <w:rsid w:val="003B1829"/>
    <w:rsid w:val="0040509B"/>
    <w:rsid w:val="00443FA9"/>
    <w:rsid w:val="00451D51"/>
    <w:rsid w:val="00460C39"/>
    <w:rsid w:val="004769B7"/>
    <w:rsid w:val="0047773A"/>
    <w:rsid w:val="004D7AB0"/>
    <w:rsid w:val="005D1C14"/>
    <w:rsid w:val="00600C34"/>
    <w:rsid w:val="00627AE8"/>
    <w:rsid w:val="0063445E"/>
    <w:rsid w:val="00643BDA"/>
    <w:rsid w:val="0066644A"/>
    <w:rsid w:val="006D22B1"/>
    <w:rsid w:val="00724CC4"/>
    <w:rsid w:val="007270D5"/>
    <w:rsid w:val="00742159"/>
    <w:rsid w:val="00747DC6"/>
    <w:rsid w:val="007A1CD0"/>
    <w:rsid w:val="007A30ED"/>
    <w:rsid w:val="007D391F"/>
    <w:rsid w:val="008705C2"/>
    <w:rsid w:val="008C1089"/>
    <w:rsid w:val="008D5AF8"/>
    <w:rsid w:val="008F7F42"/>
    <w:rsid w:val="009050B1"/>
    <w:rsid w:val="009128F1"/>
    <w:rsid w:val="00937A44"/>
    <w:rsid w:val="00956D38"/>
    <w:rsid w:val="00981CE5"/>
    <w:rsid w:val="00A12E42"/>
    <w:rsid w:val="00A16AB0"/>
    <w:rsid w:val="00A24469"/>
    <w:rsid w:val="00A60514"/>
    <w:rsid w:val="00A60997"/>
    <w:rsid w:val="00A83DB0"/>
    <w:rsid w:val="00A95E70"/>
    <w:rsid w:val="00AA554F"/>
    <w:rsid w:val="00AC701C"/>
    <w:rsid w:val="00B2477F"/>
    <w:rsid w:val="00B508B9"/>
    <w:rsid w:val="00B5719F"/>
    <w:rsid w:val="00B73F4D"/>
    <w:rsid w:val="00B97684"/>
    <w:rsid w:val="00BB5392"/>
    <w:rsid w:val="00BE339D"/>
    <w:rsid w:val="00C46DFB"/>
    <w:rsid w:val="00C7008A"/>
    <w:rsid w:val="00C712E7"/>
    <w:rsid w:val="00CC2D8E"/>
    <w:rsid w:val="00CD5D3A"/>
    <w:rsid w:val="00CE17A9"/>
    <w:rsid w:val="00CF7F8F"/>
    <w:rsid w:val="00D34F86"/>
    <w:rsid w:val="00D44B50"/>
    <w:rsid w:val="00E27A98"/>
    <w:rsid w:val="00E3279B"/>
    <w:rsid w:val="00E35907"/>
    <w:rsid w:val="00E51278"/>
    <w:rsid w:val="00E83E1C"/>
    <w:rsid w:val="00F361FF"/>
    <w:rsid w:val="00FB3975"/>
    <w:rsid w:val="00FC3173"/>
    <w:rsid w:val="00FE4077"/>
    <w:rsid w:val="00FE5A9D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AnnexNotitle">
    <w:name w:val="Annex_No &amp; title"/>
    <w:basedOn w:val="Normal"/>
    <w:next w:val="Normal"/>
    <w:rsid w:val="007D391F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Figure">
    <w:name w:val="Figure"/>
    <w:basedOn w:val="Normal"/>
    <w:next w:val="Normal"/>
    <w:rsid w:val="007D391F"/>
    <w:pPr>
      <w:keepNext/>
      <w:keepLines/>
      <w:spacing w:before="240" w:after="120"/>
      <w:jc w:val="center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8C1089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2901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AnnexNotitle">
    <w:name w:val="Annex_No &amp; title"/>
    <w:basedOn w:val="Normal"/>
    <w:next w:val="Normal"/>
    <w:rsid w:val="007D391F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Figure">
    <w:name w:val="Figure"/>
    <w:basedOn w:val="Normal"/>
    <w:next w:val="Normal"/>
    <w:rsid w:val="007D391F"/>
    <w:pPr>
      <w:keepNext/>
      <w:keepLines/>
      <w:spacing w:before="240" w:after="120"/>
      <w:jc w:val="center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8C1089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2901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0</TotalTime>
  <Pages>3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1247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POOL</dc:creator>
  <cp:lastModifiedBy>Papara, Marion</cp:lastModifiedBy>
  <cp:revision>2</cp:revision>
  <cp:lastPrinted>2012-07-16T13:59:00Z</cp:lastPrinted>
  <dcterms:created xsi:type="dcterms:W3CDTF">2012-08-06T14:15:00Z</dcterms:created>
  <dcterms:modified xsi:type="dcterms:W3CDTF">2012-08-06T14:15:00Z</dcterms:modified>
</cp:coreProperties>
</file>