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F50108" w:rsidTr="009D51FA">
        <w:trPr>
          <w:cantSplit/>
        </w:trPr>
        <w:tc>
          <w:tcPr>
            <w:tcW w:w="6426" w:type="dxa"/>
            <w:vAlign w:val="center"/>
          </w:tcPr>
          <w:p w:rsidR="00517A03" w:rsidRPr="00E329A5" w:rsidRDefault="00517A03" w:rsidP="00A5280F">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517A03" w:rsidRPr="00F50108"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3BB81443" wp14:editId="1FEE2A34">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A5280F">
            <w:pPr>
              <w:tabs>
                <w:tab w:val="right" w:pos="8732"/>
              </w:tabs>
              <w:spacing w:before="0"/>
              <w:rPr>
                <w:rFonts w:ascii="Verdana" w:hAnsi="Verdana"/>
                <w:b/>
                <w:bCs/>
                <w:iCs/>
                <w:sz w:val="18"/>
                <w:szCs w:val="18"/>
              </w:rPr>
            </w:pPr>
          </w:p>
        </w:tc>
        <w:tc>
          <w:tcPr>
            <w:tcW w:w="3355" w:type="dxa"/>
            <w:vAlign w:val="center"/>
          </w:tcPr>
          <w:p w:rsidR="00517A03" w:rsidRPr="006A675E" w:rsidRDefault="00517A03" w:rsidP="00A5280F">
            <w:pPr>
              <w:spacing w:before="0"/>
              <w:ind w:left="993" w:hanging="993"/>
              <w:jc w:val="right"/>
              <w:rPr>
                <w:rFonts w:ascii="Verdana" w:hAnsi="Verdana"/>
                <w:sz w:val="18"/>
                <w:szCs w:val="18"/>
              </w:rPr>
            </w:pPr>
          </w:p>
        </w:tc>
      </w:tr>
    </w:tbl>
    <w:p w:rsidR="00517A03" w:rsidRDefault="00517A03" w:rsidP="00A5280F">
      <w:pPr>
        <w:tabs>
          <w:tab w:val="clear" w:pos="794"/>
          <w:tab w:val="clear" w:pos="1191"/>
          <w:tab w:val="clear" w:pos="1588"/>
          <w:tab w:val="clear" w:pos="1985"/>
          <w:tab w:val="left" w:pos="4962"/>
        </w:tabs>
        <w:spacing w:before="0"/>
      </w:pPr>
      <w:r>
        <w:tab/>
        <w:t xml:space="preserve">Genève, le </w:t>
      </w:r>
      <w:r w:rsidR="008543B2">
        <w:t>22</w:t>
      </w:r>
      <w:r w:rsidR="002547CC">
        <w:t xml:space="preserve"> </w:t>
      </w:r>
      <w:r w:rsidR="008543B2">
        <w:t>juin 2012</w:t>
      </w:r>
    </w:p>
    <w:p w:rsidR="00517A03" w:rsidRPr="006427A1" w:rsidRDefault="00517A03" w:rsidP="00A5280F">
      <w:pPr>
        <w:tabs>
          <w:tab w:val="clear" w:pos="794"/>
          <w:tab w:val="clear" w:pos="1191"/>
          <w:tab w:val="clear" w:pos="1588"/>
          <w:tab w:val="clear" w:pos="1985"/>
          <w:tab w:val="left" w:pos="4962"/>
        </w:tabs>
        <w:spacing w:before="0"/>
        <w:rPr>
          <w:sz w:val="10"/>
          <w:szCs w:val="10"/>
        </w:rPr>
      </w:pPr>
    </w:p>
    <w:p w:rsidR="00517A03" w:rsidRDefault="00517A03" w:rsidP="00A5280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Tr="009D51FA">
        <w:trPr>
          <w:cantSplit/>
          <w:trHeight w:val="340"/>
        </w:trPr>
        <w:tc>
          <w:tcPr>
            <w:tcW w:w="822" w:type="dxa"/>
          </w:tcPr>
          <w:p w:rsidR="00517A03" w:rsidRDefault="00517A03" w:rsidP="00A5280F">
            <w:pPr>
              <w:tabs>
                <w:tab w:val="left" w:pos="4111"/>
              </w:tabs>
              <w:spacing w:before="10"/>
              <w:ind w:left="57"/>
            </w:pPr>
            <w:r>
              <w:t>Réf.:</w:t>
            </w:r>
          </w:p>
          <w:p w:rsidR="00517A03" w:rsidRDefault="00517A03" w:rsidP="00A5280F">
            <w:pPr>
              <w:tabs>
                <w:tab w:val="left" w:pos="4111"/>
              </w:tabs>
              <w:spacing w:before="10"/>
              <w:ind w:left="57"/>
            </w:pPr>
          </w:p>
          <w:p w:rsidR="00517A03" w:rsidRDefault="00517A03" w:rsidP="00A5280F">
            <w:pPr>
              <w:tabs>
                <w:tab w:val="left" w:pos="4111"/>
              </w:tabs>
              <w:spacing w:before="10"/>
              <w:ind w:left="57"/>
            </w:pPr>
          </w:p>
          <w:p w:rsidR="00517A03" w:rsidRDefault="00517A03" w:rsidP="00A5280F">
            <w:pPr>
              <w:tabs>
                <w:tab w:val="left" w:pos="4111"/>
              </w:tabs>
              <w:spacing w:before="10"/>
              <w:ind w:left="57"/>
            </w:pPr>
            <w:r>
              <w:t>Tél.:</w:t>
            </w:r>
            <w:r>
              <w:br/>
              <w:t>Fax:</w:t>
            </w:r>
            <w:r>
              <w:br/>
              <w:t>E-mail:</w:t>
            </w:r>
          </w:p>
        </w:tc>
        <w:tc>
          <w:tcPr>
            <w:tcW w:w="4055" w:type="dxa"/>
          </w:tcPr>
          <w:p w:rsidR="00517A03" w:rsidRDefault="00517A03" w:rsidP="005B35AE">
            <w:pPr>
              <w:tabs>
                <w:tab w:val="left" w:pos="4111"/>
              </w:tabs>
              <w:spacing w:before="10"/>
              <w:ind w:left="57"/>
              <w:rPr>
                <w:b/>
              </w:rPr>
            </w:pPr>
            <w:r>
              <w:rPr>
                <w:b/>
              </w:rPr>
              <w:t xml:space="preserve">Circulaire TSB </w:t>
            </w:r>
            <w:r w:rsidR="005B35AE">
              <w:rPr>
                <w:b/>
              </w:rPr>
              <w:t>296</w:t>
            </w:r>
          </w:p>
          <w:p w:rsidR="00517A03" w:rsidRDefault="00517A03" w:rsidP="005B35AE">
            <w:pPr>
              <w:tabs>
                <w:tab w:val="left" w:pos="4111"/>
              </w:tabs>
              <w:spacing w:before="10"/>
              <w:ind w:left="57"/>
              <w:rPr>
                <w:b/>
              </w:rPr>
            </w:pPr>
            <w:r>
              <w:t xml:space="preserve">COM </w:t>
            </w:r>
            <w:r w:rsidR="005B35AE">
              <w:t>2</w:t>
            </w:r>
            <w:r>
              <w:t>/</w:t>
            </w:r>
            <w:r w:rsidR="005B35AE">
              <w:t>RH</w:t>
            </w:r>
          </w:p>
          <w:p w:rsidR="00517A03" w:rsidRDefault="00517A03" w:rsidP="00A5280F">
            <w:pPr>
              <w:tabs>
                <w:tab w:val="left" w:pos="4111"/>
              </w:tabs>
              <w:spacing w:before="10"/>
              <w:ind w:left="57"/>
            </w:pPr>
          </w:p>
          <w:p w:rsidR="00517A03" w:rsidRDefault="00517A03" w:rsidP="005B35AE">
            <w:pPr>
              <w:tabs>
                <w:tab w:val="left" w:pos="4111"/>
              </w:tabs>
              <w:spacing w:before="10"/>
              <w:ind w:left="57"/>
            </w:pPr>
            <w:r>
              <w:t xml:space="preserve">+41 22 730 </w:t>
            </w:r>
            <w:r w:rsidR="005B35AE">
              <w:t>5887</w:t>
            </w:r>
            <w:r>
              <w:br/>
              <w:t>+41 22 730 5853</w:t>
            </w:r>
            <w:r>
              <w:br/>
            </w:r>
            <w:hyperlink r:id="rId10" w:history="1">
              <w:r w:rsidR="008543B2" w:rsidRPr="0018035C">
                <w:rPr>
                  <w:rStyle w:val="Hyperlink"/>
                </w:rPr>
                <w:t>tsbsg2@itu.int</w:t>
              </w:r>
            </w:hyperlink>
          </w:p>
        </w:tc>
        <w:tc>
          <w:tcPr>
            <w:tcW w:w="5046" w:type="dxa"/>
          </w:tcPr>
          <w:p w:rsidR="00517A03" w:rsidRDefault="00517A03" w:rsidP="00A5280F">
            <w:pPr>
              <w:tabs>
                <w:tab w:val="clear" w:pos="794"/>
                <w:tab w:val="clear" w:pos="1191"/>
                <w:tab w:val="clear" w:pos="1588"/>
                <w:tab w:val="clear" w:pos="1985"/>
                <w:tab w:val="left" w:pos="284"/>
              </w:tabs>
              <w:spacing w:before="0"/>
              <w:ind w:left="284" w:hanging="227"/>
            </w:pPr>
            <w:bookmarkStart w:id="0" w:name="Addressee_F"/>
            <w:bookmarkEnd w:id="0"/>
            <w:r>
              <w:t>-</w:t>
            </w:r>
            <w:r>
              <w:tab/>
              <w:t>Aux administrations des Etats Membres de l</w:t>
            </w:r>
            <w:r w:rsidR="00167472">
              <w:t>'</w:t>
            </w:r>
            <w:r>
              <w:t>Union</w:t>
            </w:r>
          </w:p>
        </w:tc>
      </w:tr>
      <w:tr w:rsidR="00517A03" w:rsidTr="009D51FA">
        <w:trPr>
          <w:cantSplit/>
        </w:trPr>
        <w:tc>
          <w:tcPr>
            <w:tcW w:w="822" w:type="dxa"/>
          </w:tcPr>
          <w:p w:rsidR="00517A03" w:rsidRDefault="00517A03" w:rsidP="00A5280F">
            <w:pPr>
              <w:tabs>
                <w:tab w:val="left" w:pos="4111"/>
              </w:tabs>
              <w:spacing w:before="10"/>
              <w:ind w:left="57"/>
              <w:rPr>
                <w:rFonts w:ascii="Futura Lt BT" w:hAnsi="Futura Lt BT"/>
                <w:sz w:val="20"/>
              </w:rPr>
            </w:pPr>
          </w:p>
        </w:tc>
        <w:tc>
          <w:tcPr>
            <w:tcW w:w="4055" w:type="dxa"/>
          </w:tcPr>
          <w:p w:rsidR="00517A03" w:rsidRDefault="00517A03" w:rsidP="00A5280F">
            <w:pPr>
              <w:tabs>
                <w:tab w:val="left" w:pos="4111"/>
              </w:tabs>
              <w:spacing w:before="0"/>
              <w:ind w:left="57"/>
            </w:pPr>
          </w:p>
        </w:tc>
        <w:tc>
          <w:tcPr>
            <w:tcW w:w="5046" w:type="dxa"/>
          </w:tcPr>
          <w:p w:rsidR="00517A03" w:rsidRDefault="00517A03" w:rsidP="00A5280F">
            <w:pPr>
              <w:tabs>
                <w:tab w:val="left" w:pos="4111"/>
              </w:tabs>
              <w:spacing w:before="0"/>
            </w:pPr>
            <w:r>
              <w:rPr>
                <w:b/>
              </w:rPr>
              <w:t>Copie</w:t>
            </w:r>
            <w:r>
              <w:t>:</w:t>
            </w:r>
          </w:p>
          <w:p w:rsidR="00517A03" w:rsidRDefault="00517A03" w:rsidP="00A5280F">
            <w:pPr>
              <w:tabs>
                <w:tab w:val="clear" w:pos="794"/>
                <w:tab w:val="left" w:pos="226"/>
                <w:tab w:val="left" w:pos="4111"/>
              </w:tabs>
              <w:spacing w:before="0"/>
            </w:pPr>
            <w:r>
              <w:t>-</w:t>
            </w:r>
            <w:r>
              <w:tab/>
              <w:t>Aux Membres du Secteur UIT-T;</w:t>
            </w:r>
          </w:p>
          <w:p w:rsidR="00517A03" w:rsidRDefault="00517A03" w:rsidP="00A5280F">
            <w:pPr>
              <w:tabs>
                <w:tab w:val="clear" w:pos="794"/>
                <w:tab w:val="left" w:pos="226"/>
                <w:tab w:val="left" w:pos="4111"/>
              </w:tabs>
              <w:spacing w:before="0"/>
            </w:pPr>
            <w:r>
              <w:t>-</w:t>
            </w:r>
            <w:r>
              <w:tab/>
              <w:t>Aux Associés de l</w:t>
            </w:r>
            <w:r w:rsidR="00167472">
              <w:t>'</w:t>
            </w:r>
            <w:r>
              <w:t>UIT-T;</w:t>
            </w:r>
          </w:p>
          <w:p w:rsidR="00517A03" w:rsidRDefault="00517A03" w:rsidP="00A5280F">
            <w:pPr>
              <w:tabs>
                <w:tab w:val="clear" w:pos="794"/>
                <w:tab w:val="left" w:pos="226"/>
                <w:tab w:val="left" w:pos="4111"/>
              </w:tabs>
              <w:spacing w:before="0"/>
              <w:ind w:left="226" w:hanging="226"/>
            </w:pPr>
            <w:r>
              <w:t>-</w:t>
            </w:r>
            <w:r>
              <w:tab/>
            </w:r>
            <w:r w:rsidR="000C56BE">
              <w:t>Aux établissements universitaires participant aux travaux de l'UIT-T;</w:t>
            </w:r>
          </w:p>
          <w:p w:rsidR="00517A03" w:rsidRDefault="00517A03" w:rsidP="007B6CFB">
            <w:pPr>
              <w:tabs>
                <w:tab w:val="clear" w:pos="794"/>
                <w:tab w:val="left" w:pos="226"/>
                <w:tab w:val="left" w:pos="4111"/>
              </w:tabs>
              <w:spacing w:before="0"/>
              <w:ind w:left="226" w:hanging="226"/>
            </w:pPr>
            <w:r>
              <w:t>-</w:t>
            </w:r>
            <w:r>
              <w:tab/>
              <w:t>Aux Président</w:t>
            </w:r>
            <w:r w:rsidR="007A5DB9">
              <w:t>s</w:t>
            </w:r>
            <w:r>
              <w:t xml:space="preserve"> et Vice-Présidents de </w:t>
            </w:r>
            <w:r w:rsidR="007B6CFB">
              <w:t>toutes les</w:t>
            </w:r>
            <w:r>
              <w:t xml:space="preserve"> Commission d</w:t>
            </w:r>
            <w:r w:rsidR="00167472">
              <w:t>'</w:t>
            </w:r>
            <w:r>
              <w:t xml:space="preserve">études </w:t>
            </w:r>
            <w:r w:rsidR="007B6CFB">
              <w:t>de l'UIT-T et du CGNT</w:t>
            </w:r>
            <w:r>
              <w:t>;</w:t>
            </w:r>
          </w:p>
          <w:p w:rsidR="00517A03" w:rsidRDefault="00517A03" w:rsidP="00A5280F">
            <w:pPr>
              <w:tabs>
                <w:tab w:val="clear" w:pos="794"/>
                <w:tab w:val="left" w:pos="226"/>
                <w:tab w:val="left" w:pos="4111"/>
              </w:tabs>
              <w:spacing w:before="0"/>
              <w:ind w:left="226" w:hanging="226"/>
            </w:pPr>
            <w:r>
              <w:t>-</w:t>
            </w:r>
            <w:r>
              <w:tab/>
              <w:t>Au Directeur du Bureau de développement des télécommunications;</w:t>
            </w:r>
          </w:p>
          <w:p w:rsidR="00517A03" w:rsidRDefault="00517A03" w:rsidP="00A5280F">
            <w:pPr>
              <w:tabs>
                <w:tab w:val="clear" w:pos="794"/>
                <w:tab w:val="left" w:pos="226"/>
                <w:tab w:val="left" w:pos="4111"/>
              </w:tabs>
              <w:spacing w:before="0"/>
              <w:ind w:left="226" w:hanging="226"/>
            </w:pPr>
            <w:r>
              <w:t>-</w:t>
            </w:r>
            <w:r>
              <w:tab/>
              <w:t>Au Directeur du Bureau des</w:t>
            </w:r>
            <w:r>
              <w:br/>
              <w:t>radiocommunications</w:t>
            </w:r>
          </w:p>
        </w:tc>
      </w:tr>
    </w:tbl>
    <w:p w:rsidR="00517A03" w:rsidRDefault="00517A03" w:rsidP="00A5280F">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5124"/>
      </w:tblGrid>
      <w:tr w:rsidR="00517A03" w:rsidTr="00141890">
        <w:trPr>
          <w:cantSplit/>
          <w:trHeight w:val="459"/>
        </w:trPr>
        <w:tc>
          <w:tcPr>
            <w:tcW w:w="822" w:type="dxa"/>
          </w:tcPr>
          <w:p w:rsidR="00517A03" w:rsidRDefault="00517A03" w:rsidP="00A5280F">
            <w:pPr>
              <w:tabs>
                <w:tab w:val="left" w:pos="4111"/>
              </w:tabs>
              <w:spacing w:before="10"/>
              <w:ind w:left="57"/>
              <w:rPr>
                <w:sz w:val="22"/>
              </w:rPr>
            </w:pPr>
            <w:r>
              <w:rPr>
                <w:sz w:val="22"/>
              </w:rPr>
              <w:t>Objet:</w:t>
            </w:r>
          </w:p>
        </w:tc>
        <w:tc>
          <w:tcPr>
            <w:tcW w:w="5124" w:type="dxa"/>
          </w:tcPr>
          <w:p w:rsidR="00517A03" w:rsidRDefault="00205FC2" w:rsidP="00A5280F">
            <w:pPr>
              <w:tabs>
                <w:tab w:val="left" w:pos="4111"/>
              </w:tabs>
              <w:spacing w:before="0"/>
              <w:ind w:left="57"/>
            </w:pPr>
            <w:r w:rsidRPr="00AF33DC">
              <w:rPr>
                <w:rFonts w:asciiTheme="majorBidi" w:hAnsiTheme="majorBidi" w:cstheme="majorBidi"/>
                <w:b/>
                <w:szCs w:val="24"/>
              </w:rPr>
              <w:t>Utilisation abusive des ressources de numérotage</w:t>
            </w:r>
          </w:p>
        </w:tc>
      </w:tr>
    </w:tbl>
    <w:p w:rsidR="00517A03" w:rsidRDefault="00205FC2" w:rsidP="00141890">
      <w:pPr>
        <w:spacing w:before="0"/>
      </w:pPr>
      <w:bookmarkStart w:id="1" w:name="StartTyping_F"/>
      <w:bookmarkEnd w:id="1"/>
      <w:r w:rsidRPr="00D74A36">
        <w:rPr>
          <w:b/>
        </w:rPr>
        <w:t xml:space="preserve">Date limite pour envoyer vos réponses: </w:t>
      </w:r>
      <w:r w:rsidRPr="008543B2">
        <w:rPr>
          <w:bCs/>
        </w:rPr>
        <w:t>1er novembre 2012</w:t>
      </w:r>
    </w:p>
    <w:p w:rsidR="00517A03" w:rsidRDefault="00517A03" w:rsidP="00081B62">
      <w:pPr>
        <w:spacing w:before="240"/>
      </w:pPr>
      <w:r>
        <w:t>Madame, Monsieur,</w:t>
      </w:r>
    </w:p>
    <w:p w:rsidR="005B6CB7" w:rsidRPr="000B0BAF" w:rsidRDefault="009915D5" w:rsidP="00C533F2">
      <w:pPr>
        <w:rPr>
          <w:szCs w:val="24"/>
          <w:lang w:val="fr-CH" w:eastAsia="en-GB"/>
        </w:rPr>
      </w:pPr>
      <w:r>
        <w:rPr>
          <w:szCs w:val="24"/>
          <w:lang w:val="fr-CH" w:eastAsia="en-GB"/>
        </w:rPr>
        <w:t>1</w:t>
      </w:r>
      <w:r w:rsidR="005B6CB7" w:rsidRPr="00BC3CC5">
        <w:rPr>
          <w:szCs w:val="24"/>
          <w:lang w:val="fr-CH" w:eastAsia="en-GB"/>
        </w:rPr>
        <w:tab/>
      </w:r>
      <w:r w:rsidR="005B6CB7">
        <w:rPr>
          <w:szCs w:val="24"/>
          <w:lang w:val="fr-CH" w:eastAsia="en-GB"/>
        </w:rPr>
        <w:t>La Recommandation UIT</w:t>
      </w:r>
      <w:r w:rsidR="00D038F5">
        <w:rPr>
          <w:szCs w:val="24"/>
          <w:lang w:val="fr-CH" w:eastAsia="en-GB"/>
        </w:rPr>
        <w:noBreakHyphen/>
      </w:r>
      <w:r w:rsidR="005B6CB7">
        <w:rPr>
          <w:szCs w:val="24"/>
          <w:lang w:val="fr-CH" w:eastAsia="en-GB"/>
        </w:rPr>
        <w:t>T E.</w:t>
      </w:r>
      <w:r w:rsidR="005B6CB7" w:rsidRPr="00BC3CC5">
        <w:rPr>
          <w:szCs w:val="24"/>
          <w:lang w:val="fr-CH" w:eastAsia="en-GB"/>
        </w:rPr>
        <w:t xml:space="preserve">156 </w:t>
      </w:r>
      <w:r w:rsidR="005B6CB7">
        <w:t>définit les procédures que le Directeur du</w:t>
      </w:r>
      <w:r w:rsidR="00C533F2">
        <w:t> </w:t>
      </w:r>
      <w:r w:rsidR="005B6CB7">
        <w:t xml:space="preserve">TSB devrait mettre en </w:t>
      </w:r>
      <w:proofErr w:type="spellStart"/>
      <w:r w:rsidR="002547CC">
        <w:t>oe</w:t>
      </w:r>
      <w:r w:rsidR="005B6CB7">
        <w:t>uvre</w:t>
      </w:r>
      <w:proofErr w:type="spellEnd"/>
      <w:r w:rsidR="005B6CB7">
        <w:t xml:space="preserve"> lorsqu'il reçoit des rapports émanant de </w:t>
      </w:r>
      <w:r w:rsidR="002547CC">
        <w:t xml:space="preserve">membres </w:t>
      </w:r>
      <w:r w:rsidR="005B6CB7">
        <w:t xml:space="preserve">portant à son attention des cas de présomption d'utilisation abusive, y compris les méthodes permettant de faire face et de mettre fin à </w:t>
      </w:r>
      <w:r w:rsidR="005B6CB7" w:rsidRPr="00D038F5">
        <w:t>toute présomption d'utilisation abusive. D'après cette Recommandation, "</w:t>
      </w:r>
      <w:r w:rsidR="005B6CB7" w:rsidRPr="00D038F5">
        <w:rPr>
          <w:rFonts w:eastAsia="MS Mincho"/>
        </w:rPr>
        <w:t>il y a utilisation abusive</w:t>
      </w:r>
      <w:r w:rsidR="005B6CB7">
        <w:rPr>
          <w:rFonts w:eastAsia="MS Mincho"/>
          <w:lang w:val="fr-CH"/>
        </w:rPr>
        <w:t xml:space="preserve"> d'une ressource internationale de numérotage E.164 lorsque l'utilisation de cette ressource n'est pas conforme aux critères de la ou des Recommandations UIT</w:t>
      </w:r>
      <w:r w:rsidR="005B6CB7">
        <w:rPr>
          <w:rFonts w:eastAsia="MS Mincho"/>
          <w:lang w:val="fr-CH"/>
        </w:rPr>
        <w:noBreakHyphen/>
        <w:t>T pertinentes selon lesquels elle a été attribuée ou lorsqu'une ressource de numérotage non attribuée est utilisée pour fournir un service de télécommunication".</w:t>
      </w:r>
    </w:p>
    <w:p w:rsidR="00A45752" w:rsidRDefault="009915D5" w:rsidP="00C533F2">
      <w:pPr>
        <w:rPr>
          <w:lang w:val="fr-CH" w:eastAsia="en-GB"/>
        </w:rPr>
      </w:pPr>
      <w:r>
        <w:rPr>
          <w:lang w:val="fr-CH" w:eastAsia="en-GB"/>
        </w:rPr>
        <w:t>2</w:t>
      </w:r>
      <w:r w:rsidR="005B6CB7" w:rsidRPr="000B0BAF">
        <w:rPr>
          <w:lang w:val="fr-CH" w:eastAsia="en-GB"/>
        </w:rPr>
        <w:tab/>
      </w:r>
      <w:r w:rsidR="005B6CB7">
        <w:rPr>
          <w:lang w:val="fr-CH" w:eastAsia="en-GB"/>
        </w:rPr>
        <w:t>L</w:t>
      </w:r>
      <w:r w:rsidR="005B6CB7" w:rsidRPr="000B0BAF">
        <w:rPr>
          <w:lang w:val="fr-CH" w:eastAsia="en-GB"/>
        </w:rPr>
        <w:t xml:space="preserve">'utilisation abusive </w:t>
      </w:r>
      <w:r w:rsidR="005B6CB7">
        <w:rPr>
          <w:lang w:val="fr-CH" w:eastAsia="en-GB"/>
        </w:rPr>
        <w:t xml:space="preserve">des ressources de numérotage fait partie des sujets qui ont été examinés au cours de l'atelier </w:t>
      </w:r>
      <w:r w:rsidR="005B6CB7" w:rsidRPr="00CC0871">
        <w:rPr>
          <w:lang w:val="fr-CH" w:eastAsia="en-GB"/>
        </w:rPr>
        <w:t>sur l'identification de l'origine et les procédures alternatives d'appel</w:t>
      </w:r>
      <w:r w:rsidR="00E94804">
        <w:rPr>
          <w:lang w:val="fr-CH" w:eastAsia="en-GB"/>
        </w:rPr>
        <w:t>,</w:t>
      </w:r>
      <w:r w:rsidR="005B6CB7">
        <w:rPr>
          <w:lang w:val="fr-CH" w:eastAsia="en-GB"/>
        </w:rPr>
        <w:t xml:space="preserve"> tenu à Genève les 19</w:t>
      </w:r>
      <w:r w:rsidR="00C533F2">
        <w:rPr>
          <w:lang w:val="fr-CH" w:eastAsia="en-GB"/>
        </w:rPr>
        <w:t> </w:t>
      </w:r>
      <w:r w:rsidR="005B6CB7">
        <w:rPr>
          <w:lang w:val="fr-CH" w:eastAsia="en-GB"/>
        </w:rPr>
        <w:t>et 20</w:t>
      </w:r>
      <w:r w:rsidR="00C533F2">
        <w:rPr>
          <w:lang w:val="fr-CH" w:eastAsia="en-GB"/>
        </w:rPr>
        <w:t> </w:t>
      </w:r>
      <w:r w:rsidR="005B6CB7">
        <w:rPr>
          <w:lang w:val="fr-CH" w:eastAsia="en-GB"/>
        </w:rPr>
        <w:t>mars</w:t>
      </w:r>
      <w:r w:rsidR="00C533F2">
        <w:rPr>
          <w:lang w:val="fr-CH" w:eastAsia="en-GB"/>
        </w:rPr>
        <w:t> </w:t>
      </w:r>
      <w:r w:rsidR="005B6CB7">
        <w:rPr>
          <w:lang w:val="fr-CH" w:eastAsia="en-GB"/>
        </w:rPr>
        <w:t>2012. Pour plus d'informations, voir:</w:t>
      </w:r>
    </w:p>
    <w:p w:rsidR="005B6CB7" w:rsidRPr="0085062A" w:rsidRDefault="00A45752" w:rsidP="00D038F5">
      <w:pPr>
        <w:rPr>
          <w:lang w:val="fr-CH" w:eastAsia="en-GB"/>
        </w:rPr>
      </w:pPr>
      <w:r>
        <w:rPr>
          <w:lang w:val="fr-CH" w:eastAsia="en-GB"/>
        </w:rPr>
        <w:tab/>
      </w:r>
      <w:hyperlink r:id="rId11" w:history="1">
        <w:r w:rsidR="005B6CB7" w:rsidRPr="0085062A">
          <w:rPr>
            <w:rStyle w:val="Hyperlink"/>
            <w:szCs w:val="24"/>
            <w:lang w:val="fr-CH" w:eastAsia="en-GB"/>
          </w:rPr>
          <w:t>http://www.itu.int/ITU-T/worksem/oi-acp/index.html</w:t>
        </w:r>
      </w:hyperlink>
      <w:r w:rsidR="002547CC" w:rsidRPr="002547CC">
        <w:t>.</w:t>
      </w:r>
    </w:p>
    <w:p w:rsidR="005B6CB7" w:rsidRPr="001C7CE9" w:rsidRDefault="009915D5" w:rsidP="002E5B3E">
      <w:pPr>
        <w:rPr>
          <w:lang w:val="fr-CH" w:eastAsia="en-GB"/>
        </w:rPr>
      </w:pPr>
      <w:r>
        <w:rPr>
          <w:lang w:val="fr-CH" w:eastAsia="en-GB"/>
        </w:rPr>
        <w:t>3</w:t>
      </w:r>
      <w:r w:rsidR="005B6CB7" w:rsidRPr="0085062A">
        <w:rPr>
          <w:lang w:val="fr-CH" w:eastAsia="en-GB"/>
        </w:rPr>
        <w:tab/>
        <w:t>Entre</w:t>
      </w:r>
      <w:r w:rsidR="00C533F2">
        <w:rPr>
          <w:lang w:val="fr-CH" w:eastAsia="en-GB"/>
        </w:rPr>
        <w:t> </w:t>
      </w:r>
      <w:r w:rsidR="005B6CB7" w:rsidRPr="0085062A">
        <w:rPr>
          <w:lang w:val="fr-CH" w:eastAsia="en-GB"/>
        </w:rPr>
        <w:t>2006 et</w:t>
      </w:r>
      <w:r w:rsidR="00C533F2">
        <w:rPr>
          <w:lang w:val="fr-CH" w:eastAsia="en-GB"/>
        </w:rPr>
        <w:t> </w:t>
      </w:r>
      <w:r w:rsidR="005B6CB7" w:rsidRPr="0085062A">
        <w:rPr>
          <w:lang w:val="fr-CH" w:eastAsia="en-GB"/>
        </w:rPr>
        <w:t>2012, le TSB a reçu 21</w:t>
      </w:r>
      <w:r w:rsidR="00C533F2">
        <w:rPr>
          <w:lang w:val="fr-CH" w:eastAsia="en-GB"/>
        </w:rPr>
        <w:t> </w:t>
      </w:r>
      <w:r w:rsidR="005B6CB7" w:rsidRPr="0085062A">
        <w:rPr>
          <w:lang w:val="fr-CH" w:eastAsia="en-GB"/>
        </w:rPr>
        <w:t>rapports faisant état de cas de présomption d'utilisation abusive</w:t>
      </w:r>
      <w:r w:rsidR="005B6CB7">
        <w:rPr>
          <w:lang w:val="fr-CH" w:eastAsia="en-GB"/>
        </w:rPr>
        <w:t xml:space="preserve">. </w:t>
      </w:r>
      <w:r w:rsidR="00C533F2">
        <w:rPr>
          <w:lang w:val="fr-CH" w:eastAsia="en-GB"/>
        </w:rPr>
        <w:t>A</w:t>
      </w:r>
      <w:r w:rsidR="005B6CB7" w:rsidRPr="0085062A">
        <w:rPr>
          <w:lang w:val="fr-CH" w:eastAsia="en-GB"/>
        </w:rPr>
        <w:t xml:space="preserve"> sa réunion du 21</w:t>
      </w:r>
      <w:r w:rsidR="002E5B3E">
        <w:rPr>
          <w:lang w:val="fr-CH" w:eastAsia="en-GB"/>
        </w:rPr>
        <w:t> </w:t>
      </w:r>
      <w:r w:rsidR="005B6CB7" w:rsidRPr="0085062A">
        <w:rPr>
          <w:lang w:val="fr-CH" w:eastAsia="en-GB"/>
        </w:rPr>
        <w:t>au 29</w:t>
      </w:r>
      <w:r w:rsidR="002E5B3E">
        <w:rPr>
          <w:lang w:val="fr-CH" w:eastAsia="en-GB"/>
        </w:rPr>
        <w:t> </w:t>
      </w:r>
      <w:r w:rsidR="005B6CB7" w:rsidRPr="0085062A">
        <w:rPr>
          <w:lang w:val="fr-CH" w:eastAsia="en-GB"/>
        </w:rPr>
        <w:t>mars</w:t>
      </w:r>
      <w:r w:rsidR="002E5B3E">
        <w:rPr>
          <w:lang w:val="fr-CH" w:eastAsia="en-GB"/>
        </w:rPr>
        <w:t> </w:t>
      </w:r>
      <w:r w:rsidR="005B6CB7" w:rsidRPr="0085062A">
        <w:rPr>
          <w:lang w:val="fr-CH" w:eastAsia="en-GB"/>
        </w:rPr>
        <w:t>2012, la Commission d'études</w:t>
      </w:r>
      <w:r w:rsidR="002E5B3E">
        <w:rPr>
          <w:lang w:val="fr-CH" w:eastAsia="en-GB"/>
        </w:rPr>
        <w:t> </w:t>
      </w:r>
      <w:r w:rsidR="005B6CB7" w:rsidRPr="0085062A">
        <w:rPr>
          <w:lang w:val="fr-CH" w:eastAsia="en-GB"/>
        </w:rPr>
        <w:t>2 (CE 2) de l'UIT</w:t>
      </w:r>
      <w:r w:rsidR="002E5B3E">
        <w:rPr>
          <w:lang w:val="fr-CH" w:eastAsia="en-GB"/>
        </w:rPr>
        <w:noBreakHyphen/>
      </w:r>
      <w:r w:rsidR="005B6CB7">
        <w:rPr>
          <w:lang w:val="fr-CH" w:eastAsia="en-GB"/>
        </w:rPr>
        <w:t xml:space="preserve">T a reçu une contribution de la </w:t>
      </w:r>
      <w:r w:rsidR="005B6CB7" w:rsidRPr="0085062A">
        <w:rPr>
          <w:lang w:val="fr-CH" w:eastAsia="en-GB"/>
        </w:rPr>
        <w:t xml:space="preserve">GSM Association </w:t>
      </w:r>
      <w:r w:rsidR="005B6CB7">
        <w:rPr>
          <w:lang w:val="fr-CH" w:eastAsia="en-GB"/>
        </w:rPr>
        <w:t>qui a suscité des discussions sur l'utilisation abusive des ressources de numérotage. Cette contribution signalait 106</w:t>
      </w:r>
      <w:r w:rsidR="002E5B3E">
        <w:rPr>
          <w:lang w:val="fr-CH" w:eastAsia="en-GB"/>
        </w:rPr>
        <w:t> </w:t>
      </w:r>
      <w:r w:rsidR="005B6CB7">
        <w:rPr>
          <w:lang w:val="fr-CH" w:eastAsia="en-GB"/>
        </w:rPr>
        <w:t>cas présumés d'utilisation abusive par 14</w:t>
      </w:r>
      <w:r w:rsidR="002E5B3E">
        <w:rPr>
          <w:lang w:val="fr-CH" w:eastAsia="en-GB"/>
        </w:rPr>
        <w:t> </w:t>
      </w:r>
      <w:r w:rsidR="005B6CB7">
        <w:rPr>
          <w:lang w:val="fr-CH" w:eastAsia="en-GB"/>
        </w:rPr>
        <w:t>opérateurs de services mobiles pour le seul mois de février</w:t>
      </w:r>
      <w:r w:rsidR="002E5B3E">
        <w:rPr>
          <w:lang w:val="fr-CH" w:eastAsia="en-GB"/>
        </w:rPr>
        <w:t> </w:t>
      </w:r>
      <w:r w:rsidR="005B6CB7">
        <w:rPr>
          <w:lang w:val="fr-CH" w:eastAsia="en-GB"/>
        </w:rPr>
        <w:t>2012, dénoncés par les membres de la</w:t>
      </w:r>
      <w:r w:rsidR="002E5B3E">
        <w:rPr>
          <w:lang w:val="fr-CH" w:eastAsia="en-GB"/>
        </w:rPr>
        <w:t> </w:t>
      </w:r>
      <w:r w:rsidR="005B6CB7">
        <w:rPr>
          <w:lang w:val="fr-CH" w:eastAsia="en-GB"/>
        </w:rPr>
        <w:t>GSMA. Les rapports seront mis en ligne en temps voulu sur le site web de l'UIT</w:t>
      </w:r>
      <w:r w:rsidR="005B6CB7">
        <w:rPr>
          <w:lang w:val="fr-CH" w:eastAsia="en-GB"/>
        </w:rPr>
        <w:noBreakHyphen/>
        <w:t xml:space="preserve">T </w:t>
      </w:r>
      <w:r w:rsidR="00C10B3A">
        <w:rPr>
          <w:lang w:val="fr-CH" w:eastAsia="en-GB"/>
        </w:rPr>
        <w:t>relatif à</w:t>
      </w:r>
      <w:r w:rsidR="005B6CB7">
        <w:rPr>
          <w:lang w:val="fr-CH" w:eastAsia="en-GB"/>
        </w:rPr>
        <w:t xml:space="preserve"> l'utilisation abusive des ressources de numérotage E.164 (</w:t>
      </w:r>
      <w:hyperlink r:id="rId12" w:history="1">
        <w:r w:rsidR="005B6CB7" w:rsidRPr="001C7CE9">
          <w:rPr>
            <w:rStyle w:val="Hyperlink"/>
            <w:szCs w:val="24"/>
            <w:lang w:val="fr-CH" w:eastAsia="en-GB"/>
          </w:rPr>
          <w:t>http://www.itu.int/ITU-T/secured/misuse/index.html</w:t>
        </w:r>
      </w:hyperlink>
      <w:r w:rsidR="005B6CB7">
        <w:rPr>
          <w:lang w:val="fr-CH" w:eastAsia="en-GB"/>
        </w:rPr>
        <w:t xml:space="preserve">) et les informations fournies seront évaluées par la CE2. </w:t>
      </w:r>
    </w:p>
    <w:p w:rsidR="005B6CB7" w:rsidRPr="00E735A7" w:rsidRDefault="009915D5" w:rsidP="00D038F5">
      <w:pPr>
        <w:rPr>
          <w:lang w:val="fr-CH" w:eastAsia="en-GB"/>
        </w:rPr>
      </w:pPr>
      <w:r>
        <w:rPr>
          <w:lang w:val="fr-CH" w:eastAsia="en-GB"/>
        </w:rPr>
        <w:lastRenderedPageBreak/>
        <w:t>4</w:t>
      </w:r>
      <w:r w:rsidR="005B6CB7" w:rsidRPr="00546330">
        <w:rPr>
          <w:lang w:val="fr-CH" w:eastAsia="en-GB"/>
        </w:rPr>
        <w:tab/>
      </w:r>
      <w:r w:rsidR="005B6CB7" w:rsidRPr="00E735A7">
        <w:rPr>
          <w:lang w:val="fr-CH" w:eastAsia="en-GB"/>
        </w:rPr>
        <w:t xml:space="preserve">Selon </w:t>
      </w:r>
      <w:r w:rsidR="005B6CB7">
        <w:rPr>
          <w:lang w:val="fr-CH" w:eastAsia="en-GB"/>
        </w:rPr>
        <w:t>la</w:t>
      </w:r>
      <w:r w:rsidR="005B6CB7" w:rsidRPr="00E735A7">
        <w:rPr>
          <w:lang w:val="fr-CH" w:eastAsia="en-GB"/>
        </w:rPr>
        <w:t xml:space="preserve"> contribution</w:t>
      </w:r>
      <w:r w:rsidR="005B6CB7">
        <w:rPr>
          <w:lang w:val="fr-CH" w:eastAsia="en-GB"/>
        </w:rPr>
        <w:t xml:space="preserve"> de la GSMA</w:t>
      </w:r>
      <w:r w:rsidR="005B6CB7" w:rsidRPr="00E735A7">
        <w:rPr>
          <w:lang w:val="fr-CH" w:eastAsia="en-GB"/>
        </w:rPr>
        <w:t xml:space="preserve">, l'utilisation abusive des ressources de numérotage est un facteur clé de la fraude commise contre les réseaux mobiles et leurs clients. Les rapports relatifs à l'utilisation abusive présumée dressaient la liste des numéros ou séries de numéros internationaux utilisés pour faire gonfler frauduleusement et artificiellement le nombre d'incidents de trafic constatés par les opérateurs de services mobiles membres du </w:t>
      </w:r>
      <w:proofErr w:type="spellStart"/>
      <w:r w:rsidR="005B6CB7" w:rsidRPr="00E735A7">
        <w:rPr>
          <w:lang w:val="fr-CH" w:eastAsia="en-GB"/>
        </w:rPr>
        <w:t>Fraud</w:t>
      </w:r>
      <w:proofErr w:type="spellEnd"/>
      <w:r w:rsidR="005B6CB7" w:rsidRPr="00E735A7">
        <w:rPr>
          <w:lang w:val="fr-CH" w:eastAsia="en-GB"/>
        </w:rPr>
        <w:t xml:space="preserve"> Forum. Dans la plupart des cas, l'opérateur du réseau a réagi en bloquant l'accès à ces numéros ou séries de numéros pour empêcher de nouvelles fraudes, et a informé de l'incident, par l'intermédiaire du </w:t>
      </w:r>
      <w:proofErr w:type="spellStart"/>
      <w:r w:rsidR="005B6CB7" w:rsidRPr="00E735A7">
        <w:rPr>
          <w:lang w:val="fr-CH" w:eastAsia="en-GB"/>
        </w:rPr>
        <w:t>Fraud</w:t>
      </w:r>
      <w:proofErr w:type="spellEnd"/>
      <w:r w:rsidR="005B6CB7" w:rsidRPr="00E735A7">
        <w:rPr>
          <w:lang w:val="fr-CH" w:eastAsia="en-GB"/>
        </w:rPr>
        <w:t xml:space="preserve"> Forum, les autres opérateurs de services mobiles, qui peuvent ainsi, à leur tour, envisager de bloquer ces numéros ou séries de numéros.</w:t>
      </w:r>
    </w:p>
    <w:p w:rsidR="005B6CB7" w:rsidRPr="006136B1" w:rsidRDefault="009915D5" w:rsidP="00AC2373">
      <w:pPr>
        <w:rPr>
          <w:lang w:val="fr-CH" w:eastAsia="en-GB"/>
        </w:rPr>
      </w:pPr>
      <w:r>
        <w:rPr>
          <w:lang w:val="fr-CH" w:eastAsia="en-GB"/>
        </w:rPr>
        <w:t>5</w:t>
      </w:r>
      <w:r w:rsidR="005B6CB7" w:rsidRPr="00EF29EA">
        <w:rPr>
          <w:lang w:val="fr-CH" w:eastAsia="en-GB"/>
        </w:rPr>
        <w:tab/>
        <w:t>Les discussions au sein de la</w:t>
      </w:r>
      <w:r w:rsidR="00AC2373">
        <w:rPr>
          <w:lang w:val="fr-CH" w:eastAsia="en-GB"/>
        </w:rPr>
        <w:t> </w:t>
      </w:r>
      <w:r w:rsidR="005B6CB7" w:rsidRPr="00EF29EA">
        <w:rPr>
          <w:lang w:val="fr-CH" w:eastAsia="en-GB"/>
        </w:rPr>
        <w:t>CE</w:t>
      </w:r>
      <w:r w:rsidR="002547CC">
        <w:rPr>
          <w:lang w:val="fr-CH" w:eastAsia="en-GB"/>
        </w:rPr>
        <w:t> </w:t>
      </w:r>
      <w:r w:rsidR="005B6CB7" w:rsidRPr="00EF29EA">
        <w:rPr>
          <w:lang w:val="fr-CH" w:eastAsia="en-GB"/>
        </w:rPr>
        <w:t xml:space="preserve">2 ont abouti à l'identification </w:t>
      </w:r>
      <w:r w:rsidR="005B6CB7">
        <w:rPr>
          <w:lang w:val="fr-CH" w:eastAsia="en-GB"/>
        </w:rPr>
        <w:t>de causes possibles permettant d'expliquer l'utilisation abusive et ont permis de conclure qu'il était nécessaire d'obtenir des renseignements supplémentaires concernant l'utilisation abusive de</w:t>
      </w:r>
      <w:r w:rsidR="002B650D">
        <w:rPr>
          <w:lang w:val="fr-CH" w:eastAsia="en-GB"/>
        </w:rPr>
        <w:t>s</w:t>
      </w:r>
      <w:r w:rsidR="005B6CB7">
        <w:rPr>
          <w:lang w:val="fr-CH" w:eastAsia="en-GB"/>
        </w:rPr>
        <w:t xml:space="preserve"> ressources de numérotage. Les</w:t>
      </w:r>
      <w:r w:rsidR="00AC2373">
        <w:rPr>
          <w:lang w:val="fr-CH" w:eastAsia="en-GB"/>
        </w:rPr>
        <w:t> </w:t>
      </w:r>
      <w:r w:rsidR="005B6CB7">
        <w:rPr>
          <w:lang w:val="fr-CH" w:eastAsia="en-GB"/>
        </w:rPr>
        <w:t>causes possibles identifiées sont les suivantes:</w:t>
      </w:r>
    </w:p>
    <w:p w:rsidR="005B6CB7" w:rsidRPr="00D4505B" w:rsidRDefault="00A4406E" w:rsidP="00A4406E">
      <w:pPr>
        <w:pStyle w:val="enumlev1"/>
        <w:rPr>
          <w:lang w:val="fr-CH" w:eastAsia="en-GB"/>
        </w:rPr>
      </w:pPr>
      <w:r>
        <w:rPr>
          <w:lang w:val="fr-CH" w:eastAsia="en-GB"/>
        </w:rPr>
        <w:t>a)</w:t>
      </w:r>
      <w:r>
        <w:rPr>
          <w:lang w:val="fr-CH" w:eastAsia="en-GB"/>
        </w:rPr>
        <w:tab/>
      </w:r>
      <w:r w:rsidR="005B6CB7" w:rsidRPr="00D4505B">
        <w:rPr>
          <w:lang w:val="fr-CH" w:eastAsia="en-GB"/>
        </w:rPr>
        <w:t>Dans bo</w:t>
      </w:r>
      <w:r w:rsidR="005B6CB7">
        <w:rPr>
          <w:lang w:val="fr-CH" w:eastAsia="en-GB"/>
        </w:rPr>
        <w:t>n nombre de pays, la déréglementation du secteur a entraîné une ouverture de l'</w:t>
      </w:r>
      <w:proofErr w:type="spellStart"/>
      <w:r w:rsidR="005B6CB7">
        <w:rPr>
          <w:lang w:val="fr-CH" w:eastAsia="en-GB"/>
        </w:rPr>
        <w:t>interconnectivité</w:t>
      </w:r>
      <w:proofErr w:type="spellEnd"/>
      <w:r w:rsidR="005B6CB7" w:rsidRPr="0091177B">
        <w:rPr>
          <w:lang w:val="fr-CH" w:eastAsia="en-GB"/>
        </w:rPr>
        <w:t xml:space="preserve"> internationale</w:t>
      </w:r>
      <w:r w:rsidR="005B6CB7">
        <w:rPr>
          <w:lang w:val="fr-CH" w:eastAsia="en-GB"/>
        </w:rPr>
        <w:t xml:space="preserve"> à la concurrence: </w:t>
      </w:r>
      <w:r>
        <w:rPr>
          <w:lang w:val="fr-CH" w:eastAsia="en-GB"/>
        </w:rPr>
        <w:t xml:space="preserve">assurée </w:t>
      </w:r>
      <w:r w:rsidR="005B6CB7">
        <w:rPr>
          <w:lang w:val="fr-CH" w:eastAsia="en-GB"/>
        </w:rPr>
        <w:t>auparavant par un seul opérateur dans chaque pays</w:t>
      </w:r>
      <w:r>
        <w:rPr>
          <w:lang w:val="fr-CH" w:eastAsia="en-GB"/>
        </w:rPr>
        <w:t>,</w:t>
      </w:r>
      <w:r w:rsidR="005B6CB7">
        <w:rPr>
          <w:lang w:val="fr-CH" w:eastAsia="en-GB"/>
        </w:rPr>
        <w:t xml:space="preserve"> </w:t>
      </w:r>
      <w:r>
        <w:rPr>
          <w:lang w:val="fr-CH" w:eastAsia="en-GB"/>
        </w:rPr>
        <w:t>l'</w:t>
      </w:r>
      <w:proofErr w:type="spellStart"/>
      <w:r>
        <w:rPr>
          <w:lang w:val="fr-CH" w:eastAsia="en-GB"/>
        </w:rPr>
        <w:t>interconnectivité</w:t>
      </w:r>
      <w:proofErr w:type="spellEnd"/>
      <w:r>
        <w:rPr>
          <w:lang w:val="fr-CH" w:eastAsia="en-GB"/>
        </w:rPr>
        <w:t xml:space="preserve"> internationale</w:t>
      </w:r>
      <w:r w:rsidR="005B6CB7">
        <w:rPr>
          <w:lang w:val="fr-CH" w:eastAsia="en-GB"/>
        </w:rPr>
        <w:t xml:space="preserve"> est aujourd'hui </w:t>
      </w:r>
      <w:r>
        <w:rPr>
          <w:lang w:val="fr-CH" w:eastAsia="en-GB"/>
        </w:rPr>
        <w:t>assurée</w:t>
      </w:r>
      <w:r w:rsidR="005B6CB7">
        <w:rPr>
          <w:lang w:val="fr-CH" w:eastAsia="en-GB"/>
        </w:rPr>
        <w:t xml:space="preserve"> par plusieurs opérateurs concurrents. </w:t>
      </w:r>
    </w:p>
    <w:p w:rsidR="005B6CB7" w:rsidRPr="003D17CF" w:rsidRDefault="00A4406E" w:rsidP="00AC2373">
      <w:pPr>
        <w:pStyle w:val="enumlev1"/>
        <w:rPr>
          <w:lang w:val="fr-CH" w:eastAsia="en-GB"/>
        </w:rPr>
      </w:pPr>
      <w:r>
        <w:rPr>
          <w:lang w:val="fr-CH" w:eastAsia="en-GB"/>
        </w:rPr>
        <w:t>b)</w:t>
      </w:r>
      <w:r>
        <w:rPr>
          <w:lang w:val="fr-CH" w:eastAsia="en-GB"/>
        </w:rPr>
        <w:tab/>
      </w:r>
      <w:r w:rsidR="005B6CB7" w:rsidRPr="00AC5C64">
        <w:rPr>
          <w:lang w:val="fr-CH" w:eastAsia="en-GB"/>
        </w:rPr>
        <w:t xml:space="preserve">En outre, </w:t>
      </w:r>
      <w:r w:rsidR="005B6CB7">
        <w:rPr>
          <w:lang w:val="fr-CH" w:eastAsia="en-GB"/>
        </w:rPr>
        <w:t xml:space="preserve">l'acheminement des appels, qui était précédemment fondé sur le seul </w:t>
      </w:r>
      <w:r w:rsidR="005B6CB7" w:rsidRPr="00334AA2">
        <w:rPr>
          <w:lang w:val="fr-CH" w:eastAsia="en-GB"/>
        </w:rPr>
        <w:t>indicatif pays composé</w:t>
      </w:r>
      <w:r w:rsidR="005B6CB7">
        <w:rPr>
          <w:lang w:val="fr-CH" w:eastAsia="en-GB"/>
        </w:rPr>
        <w:t xml:space="preserve">, a évolué et permet à présent aux opérateurs d'acheminer des appels </w:t>
      </w:r>
      <w:r w:rsidR="005B6CB7" w:rsidRPr="00334AA2">
        <w:rPr>
          <w:lang w:val="fr-CH" w:eastAsia="en-GB"/>
        </w:rPr>
        <w:t xml:space="preserve">sur la base de blocs de numéros </w:t>
      </w:r>
      <w:r w:rsidR="005B6CB7">
        <w:rPr>
          <w:lang w:val="fr-CH" w:eastAsia="en-GB"/>
        </w:rPr>
        <w:t>venant après</w:t>
      </w:r>
      <w:r w:rsidR="005B6CB7" w:rsidRPr="00334AA2">
        <w:rPr>
          <w:lang w:val="fr-CH" w:eastAsia="en-GB"/>
        </w:rPr>
        <w:t xml:space="preserve"> l'indicatif de pays</w:t>
      </w:r>
      <w:r w:rsidR="005B6CB7">
        <w:rPr>
          <w:lang w:val="fr-CH" w:eastAsia="en-GB"/>
        </w:rPr>
        <w:t xml:space="preserve"> et d'utiliser différentes </w:t>
      </w:r>
      <w:r w:rsidR="005B6CB7" w:rsidRPr="00334AA2">
        <w:rPr>
          <w:lang w:val="fr-CH" w:eastAsia="en-GB"/>
        </w:rPr>
        <w:t>voies d'acheminement de transit</w:t>
      </w:r>
      <w:r w:rsidR="005B6CB7">
        <w:rPr>
          <w:lang w:val="fr-CH" w:eastAsia="en-GB"/>
        </w:rPr>
        <w:t xml:space="preserve"> sur la base des </w:t>
      </w:r>
      <w:r w:rsidR="005B6CB7" w:rsidRPr="00334AA2">
        <w:rPr>
          <w:lang w:val="fr-CH" w:eastAsia="en-GB"/>
        </w:rPr>
        <w:t>règles relatives aux blocs de numéros</w:t>
      </w:r>
      <w:r w:rsidR="005B6CB7">
        <w:rPr>
          <w:lang w:val="fr-CH" w:eastAsia="en-GB"/>
        </w:rPr>
        <w:t>. Cela</w:t>
      </w:r>
      <w:r w:rsidR="00AC2373">
        <w:rPr>
          <w:lang w:val="fr-CH" w:eastAsia="en-GB"/>
        </w:rPr>
        <w:t> </w:t>
      </w:r>
      <w:r>
        <w:rPr>
          <w:lang w:val="fr-CH" w:eastAsia="en-GB"/>
        </w:rPr>
        <w:t xml:space="preserve">découle des différentes structures qui existent à l'intérieur des </w:t>
      </w:r>
      <w:r w:rsidR="001A490C">
        <w:rPr>
          <w:lang w:val="fr-CH" w:eastAsia="en-GB"/>
        </w:rPr>
        <w:t xml:space="preserve">plans de </w:t>
      </w:r>
      <w:r w:rsidR="005B6CB7">
        <w:rPr>
          <w:lang w:val="fr-CH" w:eastAsia="en-GB"/>
        </w:rPr>
        <w:t xml:space="preserve">numérotage nationaux </w:t>
      </w:r>
      <w:r w:rsidR="001A490C">
        <w:rPr>
          <w:lang w:val="fr-CH" w:eastAsia="en-GB"/>
        </w:rPr>
        <w:t>et</w:t>
      </w:r>
      <w:r w:rsidR="005B6CB7">
        <w:rPr>
          <w:lang w:val="fr-CH" w:eastAsia="en-GB"/>
        </w:rPr>
        <w:t xml:space="preserve"> qui ont évolué au cours des dernières décennies. La mise en place de la portabilité des numéros a également entraîné une complexification de ce contexte: compte tenu de l'ajout d'informations supplémentaires concernant la signalisation et l'acheminement, il est de plus en plus difficile de déterminer </w:t>
      </w:r>
      <w:r w:rsidR="005B6CB7" w:rsidRPr="00CB0066">
        <w:rPr>
          <w:lang w:val="fr-CH" w:eastAsia="en-GB"/>
        </w:rPr>
        <w:t>des informations de numérotage valables</w:t>
      </w:r>
      <w:r w:rsidR="005B6CB7">
        <w:rPr>
          <w:lang w:val="fr-CH" w:eastAsia="en-GB"/>
        </w:rPr>
        <w:t>.</w:t>
      </w:r>
      <w:r w:rsidR="005B6CB7" w:rsidRPr="003D17CF">
        <w:rPr>
          <w:lang w:val="fr-CH" w:eastAsia="en-GB"/>
        </w:rPr>
        <w:t xml:space="preserve"> </w:t>
      </w:r>
    </w:p>
    <w:p w:rsidR="005B6CB7" w:rsidRPr="00FA33D7" w:rsidRDefault="004871ED" w:rsidP="00A61CD1">
      <w:pPr>
        <w:pStyle w:val="enumlev1"/>
        <w:rPr>
          <w:lang w:val="fr-CH" w:eastAsia="en-GB"/>
        </w:rPr>
      </w:pPr>
      <w:r>
        <w:rPr>
          <w:lang w:val="fr-CH" w:eastAsia="en-GB"/>
        </w:rPr>
        <w:t>c)</w:t>
      </w:r>
      <w:r>
        <w:rPr>
          <w:lang w:val="fr-CH" w:eastAsia="en-GB"/>
        </w:rPr>
        <w:tab/>
      </w:r>
      <w:r w:rsidR="005B6CB7" w:rsidRPr="003D17CF">
        <w:rPr>
          <w:lang w:val="fr-CH" w:eastAsia="en-GB"/>
        </w:rPr>
        <w:t>La déréglementation et l'évolution des plans</w:t>
      </w:r>
      <w:r w:rsidR="005B6CB7">
        <w:rPr>
          <w:lang w:val="fr-CH" w:eastAsia="en-GB"/>
        </w:rPr>
        <w:t xml:space="preserve"> de numérotage nationaux ont abouti à une structure tarifaire complexe et </w:t>
      </w:r>
      <w:r>
        <w:rPr>
          <w:lang w:val="fr-CH" w:eastAsia="en-GB"/>
        </w:rPr>
        <w:t>variable</w:t>
      </w:r>
      <w:r w:rsidR="005B6CB7">
        <w:rPr>
          <w:lang w:val="fr-CH" w:eastAsia="en-GB"/>
        </w:rPr>
        <w:t xml:space="preserve">, incitant ainsi les opérateurs d'origine à vouloir constamment obtenir des </w:t>
      </w:r>
      <w:r w:rsidR="005B6CB7" w:rsidRPr="00D43A62">
        <w:rPr>
          <w:lang w:val="fr-CH" w:eastAsia="en-GB"/>
        </w:rPr>
        <w:t>arrangements commerciaux</w:t>
      </w:r>
      <w:r w:rsidR="005B6CB7">
        <w:rPr>
          <w:lang w:val="fr-CH" w:eastAsia="en-GB"/>
        </w:rPr>
        <w:t xml:space="preserve"> plus intéressants. Dans ces cas, l</w:t>
      </w:r>
      <w:r>
        <w:rPr>
          <w:lang w:val="fr-CH" w:eastAsia="en-GB"/>
        </w:rPr>
        <w:t xml:space="preserve">'opérateur </w:t>
      </w:r>
      <w:r w:rsidR="005B6CB7">
        <w:rPr>
          <w:lang w:val="fr-CH" w:eastAsia="en-GB"/>
        </w:rPr>
        <w:t xml:space="preserve">qui reçoit l'appel peut être </w:t>
      </w:r>
      <w:r>
        <w:rPr>
          <w:lang w:val="fr-CH" w:eastAsia="en-GB"/>
        </w:rPr>
        <w:t>contourné</w:t>
      </w:r>
      <w:r w:rsidR="005B6CB7">
        <w:rPr>
          <w:lang w:val="fr-CH" w:eastAsia="en-GB"/>
        </w:rPr>
        <w:t>, même si son indicatif de pays est utilisé. De</w:t>
      </w:r>
      <w:r w:rsidR="00A61CD1">
        <w:rPr>
          <w:lang w:val="fr-CH" w:eastAsia="en-GB"/>
        </w:rPr>
        <w:t> son</w:t>
      </w:r>
      <w:r w:rsidR="005B6CB7">
        <w:rPr>
          <w:lang w:val="fr-CH" w:eastAsia="en-GB"/>
        </w:rPr>
        <w:t xml:space="preserve"> point de vue, il est </w:t>
      </w:r>
      <w:r>
        <w:rPr>
          <w:lang w:val="fr-CH" w:eastAsia="en-GB"/>
        </w:rPr>
        <w:t>escroqué</w:t>
      </w:r>
      <w:r w:rsidR="005B6CB7">
        <w:rPr>
          <w:lang w:val="fr-CH" w:eastAsia="en-GB"/>
        </w:rPr>
        <w:t xml:space="preserve"> des </w:t>
      </w:r>
      <w:r w:rsidR="005B6CB7" w:rsidRPr="00511255">
        <w:rPr>
          <w:lang w:val="fr-CH" w:eastAsia="en-GB"/>
        </w:rPr>
        <w:t>recettes après règlement</w:t>
      </w:r>
      <w:r w:rsidR="005B6CB7">
        <w:rPr>
          <w:lang w:val="fr-CH" w:eastAsia="en-GB"/>
        </w:rPr>
        <w:t xml:space="preserve"> qui lui reviennent</w:t>
      </w:r>
      <w:r>
        <w:rPr>
          <w:lang w:val="fr-CH" w:eastAsia="en-GB"/>
        </w:rPr>
        <w:t>,</w:t>
      </w:r>
      <w:r w:rsidR="005B6CB7">
        <w:rPr>
          <w:lang w:val="fr-CH" w:eastAsia="en-GB"/>
        </w:rPr>
        <w:t xml:space="preserve"> en raison de l'"utilisation abusive" du bloc de </w:t>
      </w:r>
      <w:r w:rsidR="005B6CB7" w:rsidRPr="00511255">
        <w:rPr>
          <w:lang w:val="fr-CH" w:eastAsia="en-GB"/>
        </w:rPr>
        <w:t xml:space="preserve">numéros venant après </w:t>
      </w:r>
      <w:r w:rsidR="005B6CB7">
        <w:rPr>
          <w:lang w:val="fr-CH" w:eastAsia="en-GB"/>
        </w:rPr>
        <w:t>son indicatif de pays.</w:t>
      </w:r>
      <w:r w:rsidR="005B6CB7" w:rsidRPr="00FA33D7">
        <w:rPr>
          <w:lang w:val="fr-CH" w:eastAsia="en-GB"/>
        </w:rPr>
        <w:t xml:space="preserve"> </w:t>
      </w:r>
    </w:p>
    <w:p w:rsidR="005B6CB7" w:rsidRPr="00BD73FA" w:rsidRDefault="009915D5" w:rsidP="00160E45">
      <w:pPr>
        <w:rPr>
          <w:lang w:val="fr-CH"/>
        </w:rPr>
      </w:pPr>
      <w:r>
        <w:rPr>
          <w:lang w:val="fr-CH" w:eastAsia="en-GB"/>
        </w:rPr>
        <w:t>6</w:t>
      </w:r>
      <w:r w:rsidR="005B6CB7" w:rsidRPr="00FA33D7">
        <w:rPr>
          <w:lang w:val="fr-CH" w:eastAsia="en-GB"/>
        </w:rPr>
        <w:tab/>
      </w:r>
      <w:r w:rsidR="005B6CB7">
        <w:rPr>
          <w:lang w:val="fr-CH" w:eastAsia="en-GB"/>
        </w:rPr>
        <w:t>Indépendamment de</w:t>
      </w:r>
      <w:r w:rsidR="005B6CB7" w:rsidRPr="00FA33D7">
        <w:rPr>
          <w:lang w:val="fr-CH" w:eastAsia="en-GB"/>
        </w:rPr>
        <w:t xml:space="preserve"> la nature des plans de numérotage nationaux, </w:t>
      </w:r>
      <w:r w:rsidR="005B6CB7">
        <w:rPr>
          <w:lang w:val="fr-CH" w:eastAsia="en-GB"/>
        </w:rPr>
        <w:t xml:space="preserve">les mesures visant à lutter contre l'utilisation abusive des ressources de numérotage se justifient essentiellement par le souci de réduire la perte inévitable de recettes </w:t>
      </w:r>
      <w:r w:rsidR="005B6CB7">
        <w:t xml:space="preserve">au titre des règlements de comptes internationaux, engendrée lorsque les opérateurs d'origine </w:t>
      </w:r>
      <w:r w:rsidR="00C1232C">
        <w:t>établissent</w:t>
      </w:r>
      <w:r w:rsidR="005B6CB7">
        <w:t xml:space="preserve"> leur barème de prix sur la base d'arrangements commerciaux, en utilisant des voies d'acheminement de trafic qui contournent les arrangements classiques de comptabilité des appels.</w:t>
      </w:r>
    </w:p>
    <w:p w:rsidR="005B6CB7" w:rsidRPr="00BD73FA" w:rsidRDefault="009915D5" w:rsidP="00C119D6">
      <w:pPr>
        <w:rPr>
          <w:lang w:val="fr-CH" w:eastAsia="en-GB"/>
        </w:rPr>
      </w:pPr>
      <w:r>
        <w:rPr>
          <w:lang w:val="fr-CH" w:eastAsia="en-GB"/>
        </w:rPr>
        <w:t>7</w:t>
      </w:r>
      <w:r w:rsidR="005B6CB7" w:rsidRPr="00BD73FA">
        <w:rPr>
          <w:lang w:val="fr-CH" w:eastAsia="en-GB"/>
        </w:rPr>
        <w:tab/>
        <w:t xml:space="preserve">Pour beaucoup de pays ou d'opérateurs </w:t>
      </w:r>
      <w:r w:rsidR="005B6CB7">
        <w:rPr>
          <w:lang w:val="fr-CH" w:eastAsia="en-GB"/>
        </w:rPr>
        <w:t xml:space="preserve">qui ne sont pas confrontés à une forte concurrence, il en résulte des difficultés financières. Leurs sources de revenus en provenance de l'étranger disparaissent parallèlement à la diminution des minutes de terminaison d'appel. Les opérateurs n'ont pas une grande marge de </w:t>
      </w:r>
      <w:proofErr w:type="spellStart"/>
      <w:r w:rsidR="005B6CB7">
        <w:rPr>
          <w:lang w:val="fr-CH" w:eastAsia="en-GB"/>
        </w:rPr>
        <w:t>man</w:t>
      </w:r>
      <w:r w:rsidR="002547CC">
        <w:rPr>
          <w:lang w:val="fr-CH" w:eastAsia="en-GB"/>
        </w:rPr>
        <w:t>oe</w:t>
      </w:r>
      <w:r w:rsidR="005B6CB7">
        <w:rPr>
          <w:lang w:val="fr-CH" w:eastAsia="en-GB"/>
        </w:rPr>
        <w:t>uvre</w:t>
      </w:r>
      <w:proofErr w:type="spellEnd"/>
      <w:r w:rsidR="005B6CB7">
        <w:rPr>
          <w:lang w:val="fr-CH" w:eastAsia="en-GB"/>
        </w:rPr>
        <w:t xml:space="preserve"> lorsqu'ils constatent un cas d'utilisation abusive et l'objectif de la présente Circulaire est d'obtenir des éclaircissements à propos des questions relatives à ce sujet.</w:t>
      </w:r>
    </w:p>
    <w:p w:rsidR="005B6CB7" w:rsidRPr="007B5F4F" w:rsidRDefault="009915D5" w:rsidP="00AC2373">
      <w:pPr>
        <w:rPr>
          <w:lang w:val="fr-CH"/>
        </w:rPr>
      </w:pPr>
      <w:r>
        <w:rPr>
          <w:lang w:val="fr-CH"/>
        </w:rPr>
        <w:t>8</w:t>
      </w:r>
      <w:r w:rsidR="005B6CB7" w:rsidRPr="007B5F4F">
        <w:rPr>
          <w:lang w:val="fr-CH"/>
        </w:rPr>
        <w:tab/>
      </w:r>
      <w:r w:rsidR="005B6CB7" w:rsidRPr="00190035">
        <w:rPr>
          <w:lang w:val="fr-CH"/>
        </w:rPr>
        <w:t>Au cours des débats</w:t>
      </w:r>
      <w:r w:rsidR="005B6CB7">
        <w:rPr>
          <w:lang w:val="fr-CH"/>
        </w:rPr>
        <w:t xml:space="preserve"> au sein de la</w:t>
      </w:r>
      <w:r w:rsidR="00AC2373">
        <w:rPr>
          <w:lang w:val="fr-CH"/>
        </w:rPr>
        <w:t> </w:t>
      </w:r>
      <w:r w:rsidR="005B6CB7">
        <w:rPr>
          <w:lang w:val="fr-CH"/>
        </w:rPr>
        <w:t>CE</w:t>
      </w:r>
      <w:r w:rsidR="002547CC">
        <w:rPr>
          <w:lang w:val="fr-CH"/>
        </w:rPr>
        <w:t> </w:t>
      </w:r>
      <w:r w:rsidR="005B6CB7">
        <w:rPr>
          <w:lang w:val="fr-CH"/>
        </w:rPr>
        <w:t>2</w:t>
      </w:r>
      <w:r w:rsidR="005B6CB7" w:rsidRPr="00190035">
        <w:rPr>
          <w:lang w:val="fr-CH"/>
        </w:rPr>
        <w:t>, il a été fait remarquer que l'existence d'informations fiables et à jour sur le plan de numérotage E.164 était essentielle. En particulier, on pourrait facilement éviter les cas d'utilisation abusive de séries de numéros non attribués si on disposait d'informations actualisées sur les plans nationaux de numérotage.</w:t>
      </w:r>
    </w:p>
    <w:p w:rsidR="005B6CB7" w:rsidRPr="00885852" w:rsidRDefault="009915D5" w:rsidP="002547CC">
      <w:pPr>
        <w:keepNext/>
        <w:keepLines/>
        <w:rPr>
          <w:lang w:val="fr-CH"/>
        </w:rPr>
      </w:pPr>
      <w:r>
        <w:rPr>
          <w:lang w:val="fr-CH"/>
        </w:rPr>
        <w:lastRenderedPageBreak/>
        <w:t>9</w:t>
      </w:r>
      <w:r w:rsidR="005B6CB7" w:rsidRPr="00885852">
        <w:rPr>
          <w:lang w:val="fr-CH"/>
        </w:rPr>
        <w:tab/>
        <w:t xml:space="preserve">Par conséquent, nous </w:t>
      </w:r>
      <w:r w:rsidR="00B278AA">
        <w:rPr>
          <w:lang w:val="fr-CH"/>
        </w:rPr>
        <w:t>prions les</w:t>
      </w:r>
      <w:r w:rsidR="005B6CB7" w:rsidRPr="00885852">
        <w:rPr>
          <w:lang w:val="fr-CH"/>
        </w:rPr>
        <w:t xml:space="preserve"> </w:t>
      </w:r>
      <w:r w:rsidR="00F8742A">
        <w:rPr>
          <w:lang w:val="fr-CH"/>
        </w:rPr>
        <w:t>E</w:t>
      </w:r>
      <w:r w:rsidR="005B6CB7" w:rsidRPr="00885852">
        <w:rPr>
          <w:lang w:val="fr-CH"/>
        </w:rPr>
        <w:t xml:space="preserve">tats Membres et </w:t>
      </w:r>
      <w:r w:rsidR="002547CC">
        <w:rPr>
          <w:lang w:val="fr-CH"/>
        </w:rPr>
        <w:t>les</w:t>
      </w:r>
      <w:r w:rsidR="005B6CB7">
        <w:rPr>
          <w:lang w:val="fr-CH"/>
        </w:rPr>
        <w:t xml:space="preserve"> Membres de Secteur de </w:t>
      </w:r>
      <w:r w:rsidR="00567596">
        <w:rPr>
          <w:lang w:val="fr-CH"/>
        </w:rPr>
        <w:t xml:space="preserve">bien vouloir </w:t>
      </w:r>
      <w:r w:rsidR="005B6CB7">
        <w:rPr>
          <w:lang w:val="fr-CH"/>
        </w:rPr>
        <w:t>fournir l</w:t>
      </w:r>
      <w:r w:rsidR="005B6CB7" w:rsidRPr="00885852">
        <w:rPr>
          <w:lang w:val="fr-CH"/>
        </w:rPr>
        <w:t>es informations</w:t>
      </w:r>
      <w:r w:rsidR="005B6CB7">
        <w:rPr>
          <w:lang w:val="fr-CH"/>
        </w:rPr>
        <w:t xml:space="preserve"> suivantes:</w:t>
      </w:r>
      <w:r w:rsidR="005B6CB7" w:rsidRPr="00885852">
        <w:rPr>
          <w:lang w:val="fr-CH"/>
        </w:rPr>
        <w:t xml:space="preserve"> </w:t>
      </w:r>
    </w:p>
    <w:p w:rsidR="005B6CB7" w:rsidRDefault="00DB613D" w:rsidP="002547CC">
      <w:pPr>
        <w:pStyle w:val="enumlev1"/>
        <w:keepNext/>
        <w:keepLines/>
        <w:rPr>
          <w:lang w:val="it-IT"/>
        </w:rPr>
      </w:pPr>
      <w:r>
        <w:rPr>
          <w:lang w:val="it-IT"/>
        </w:rPr>
        <w:t>a)</w:t>
      </w:r>
      <w:r>
        <w:rPr>
          <w:lang w:val="it-IT"/>
        </w:rPr>
        <w:tab/>
      </w:r>
      <w:r w:rsidR="005B6CB7">
        <w:rPr>
          <w:lang w:val="it-IT"/>
        </w:rPr>
        <w:t>Critères permettant de définir un cas d'utilisation abusive.</w:t>
      </w:r>
    </w:p>
    <w:p w:rsidR="005B6CB7" w:rsidRPr="00132891" w:rsidRDefault="00DB613D" w:rsidP="00DB613D">
      <w:pPr>
        <w:pStyle w:val="enumlev1"/>
        <w:rPr>
          <w:lang w:val="it-IT"/>
        </w:rPr>
      </w:pPr>
      <w:r>
        <w:rPr>
          <w:lang w:val="it-IT"/>
        </w:rPr>
        <w:t>b)</w:t>
      </w:r>
      <w:r>
        <w:rPr>
          <w:lang w:val="it-IT"/>
        </w:rPr>
        <w:tab/>
      </w:r>
      <w:r w:rsidR="005B6CB7">
        <w:rPr>
          <w:lang w:val="it-IT"/>
        </w:rPr>
        <w:t>Critères permettant de définir un cas de fraude.</w:t>
      </w:r>
    </w:p>
    <w:p w:rsidR="005B6CB7" w:rsidRPr="00FD31D3" w:rsidRDefault="00DB613D" w:rsidP="002547CC">
      <w:pPr>
        <w:pStyle w:val="enumlev1"/>
        <w:rPr>
          <w:lang w:val="fr-CH"/>
        </w:rPr>
      </w:pPr>
      <w:r>
        <w:rPr>
          <w:lang w:val="it-IT"/>
        </w:rPr>
        <w:t>c)</w:t>
      </w:r>
      <w:r>
        <w:rPr>
          <w:lang w:val="it-IT"/>
        </w:rPr>
        <w:tab/>
      </w:r>
      <w:r w:rsidR="005B6CB7">
        <w:rPr>
          <w:lang w:val="it-IT"/>
        </w:rPr>
        <w:t xml:space="preserve">Quelles </w:t>
      </w:r>
      <w:r w:rsidR="005B6CB7">
        <w:rPr>
          <w:lang w:val="fr-CH"/>
        </w:rPr>
        <w:t>actions entreprenez-vous pour bloquer d</w:t>
      </w:r>
      <w:r w:rsidR="005B6CB7" w:rsidRPr="00885852">
        <w:rPr>
          <w:lang w:val="fr-CH"/>
        </w:rPr>
        <w:t xml:space="preserve">es numéros </w:t>
      </w:r>
      <w:r w:rsidR="005B6CB7">
        <w:rPr>
          <w:lang w:val="fr-CH"/>
        </w:rPr>
        <w:t xml:space="preserve">de téléphone: bloquez-vous des numéros de téléphone individuels, des séries de numéros ou </w:t>
      </w:r>
      <w:r w:rsidR="002547CC">
        <w:rPr>
          <w:lang w:val="fr-CH"/>
        </w:rPr>
        <w:t>des</w:t>
      </w:r>
      <w:r w:rsidR="005B6CB7">
        <w:rPr>
          <w:lang w:val="fr-CH"/>
        </w:rPr>
        <w:t xml:space="preserve"> indicatifs de pays?</w:t>
      </w:r>
    </w:p>
    <w:p w:rsidR="005B6CB7" w:rsidRPr="00BF05D3" w:rsidRDefault="00DB613D" w:rsidP="00DB613D">
      <w:pPr>
        <w:pStyle w:val="enumlev1"/>
        <w:rPr>
          <w:lang w:val="fr-CH"/>
        </w:rPr>
      </w:pPr>
      <w:r>
        <w:rPr>
          <w:lang w:val="fr-CH"/>
        </w:rPr>
        <w:t>d)</w:t>
      </w:r>
      <w:r>
        <w:rPr>
          <w:lang w:val="fr-CH"/>
        </w:rPr>
        <w:tab/>
      </w:r>
      <w:r w:rsidR="005B6CB7">
        <w:rPr>
          <w:lang w:val="fr-CH"/>
        </w:rPr>
        <w:t>Quelles actions entreprenez-vous</w:t>
      </w:r>
      <w:r w:rsidR="005B6CB7" w:rsidRPr="00FD31D3">
        <w:rPr>
          <w:lang w:val="fr-CH"/>
        </w:rPr>
        <w:t xml:space="preserve"> lorsque vos numéros </w:t>
      </w:r>
      <w:r w:rsidR="005B6CB7">
        <w:rPr>
          <w:lang w:val="fr-CH"/>
        </w:rPr>
        <w:t>de téléphone sont bloqués pour utilisation abusive?</w:t>
      </w:r>
    </w:p>
    <w:p w:rsidR="005B6CB7" w:rsidRPr="00BF05D3" w:rsidRDefault="00DB613D" w:rsidP="00DB613D">
      <w:pPr>
        <w:pStyle w:val="enumlev1"/>
        <w:rPr>
          <w:lang w:val="fr-CH"/>
        </w:rPr>
      </w:pPr>
      <w:r>
        <w:rPr>
          <w:lang w:val="fr-CH"/>
        </w:rPr>
        <w:t>e)</w:t>
      </w:r>
      <w:r>
        <w:rPr>
          <w:lang w:val="fr-CH"/>
        </w:rPr>
        <w:tab/>
      </w:r>
      <w:r w:rsidR="005B6CB7">
        <w:rPr>
          <w:lang w:val="fr-CH"/>
        </w:rPr>
        <w:t>Quelles actions entreprenez-vous</w:t>
      </w:r>
      <w:r w:rsidR="005B6CB7" w:rsidRPr="00FD31D3">
        <w:rPr>
          <w:lang w:val="fr-CH"/>
        </w:rPr>
        <w:t xml:space="preserve"> lorsque vos numéros </w:t>
      </w:r>
      <w:r w:rsidR="005B6CB7">
        <w:rPr>
          <w:lang w:val="fr-CH"/>
        </w:rPr>
        <w:t>de téléphone sont bloqués pour fraude?</w:t>
      </w:r>
    </w:p>
    <w:p w:rsidR="005B6CB7" w:rsidRPr="00BF05D3" w:rsidRDefault="00DB613D" w:rsidP="00DB613D">
      <w:pPr>
        <w:pStyle w:val="enumlev1"/>
        <w:rPr>
          <w:lang w:val="fr-CH"/>
        </w:rPr>
      </w:pPr>
      <w:r>
        <w:rPr>
          <w:lang w:val="fr-CH"/>
        </w:rPr>
        <w:t>f)</w:t>
      </w:r>
      <w:r>
        <w:rPr>
          <w:lang w:val="fr-CH"/>
        </w:rPr>
        <w:tab/>
      </w:r>
      <w:r w:rsidR="005B6CB7">
        <w:rPr>
          <w:lang w:val="fr-CH"/>
        </w:rPr>
        <w:t xml:space="preserve">Quelles </w:t>
      </w:r>
      <w:r w:rsidR="005B6CB7" w:rsidRPr="00FD31D3">
        <w:rPr>
          <w:lang w:val="fr-CH"/>
        </w:rPr>
        <w:t xml:space="preserve">informations </w:t>
      </w:r>
      <w:r w:rsidR="005B6CB7">
        <w:rPr>
          <w:lang w:val="fr-CH"/>
        </w:rPr>
        <w:t xml:space="preserve">relatives à </w:t>
      </w:r>
      <w:r w:rsidR="005B6CB7" w:rsidRPr="00FD31D3">
        <w:rPr>
          <w:lang w:val="fr-CH"/>
        </w:rPr>
        <w:t xml:space="preserve">la signalisation </w:t>
      </w:r>
      <w:r w:rsidR="005B6CB7">
        <w:rPr>
          <w:lang w:val="fr-CH"/>
        </w:rPr>
        <w:t xml:space="preserve">envoie </w:t>
      </w:r>
      <w:r w:rsidR="005B6CB7" w:rsidRPr="00FD31D3">
        <w:rPr>
          <w:lang w:val="fr-CH"/>
        </w:rPr>
        <w:t xml:space="preserve">votre réseau </w:t>
      </w:r>
      <w:r w:rsidR="005B6CB7">
        <w:rPr>
          <w:lang w:val="fr-CH"/>
        </w:rPr>
        <w:t>avec le numéro de téléphone d'origine et comment sont-elles transmises à l'opérateur suivant?</w:t>
      </w:r>
    </w:p>
    <w:p w:rsidR="005B6CB7" w:rsidRPr="000F46D8" w:rsidRDefault="00DB613D" w:rsidP="002547CC">
      <w:pPr>
        <w:pStyle w:val="enumlev1"/>
        <w:rPr>
          <w:lang w:val="fr-CH"/>
        </w:rPr>
      </w:pPr>
      <w:r>
        <w:rPr>
          <w:lang w:val="fr-CH"/>
        </w:rPr>
        <w:t>g)</w:t>
      </w:r>
      <w:r>
        <w:rPr>
          <w:lang w:val="fr-CH"/>
        </w:rPr>
        <w:tab/>
      </w:r>
      <w:r w:rsidR="005B6CB7" w:rsidRPr="000F46D8">
        <w:rPr>
          <w:lang w:val="fr-CH"/>
        </w:rPr>
        <w:t xml:space="preserve">Attribuez-vous des ressources </w:t>
      </w:r>
      <w:r w:rsidR="005B6CB7">
        <w:rPr>
          <w:lang w:val="fr-CH"/>
        </w:rPr>
        <w:t xml:space="preserve">téléphoniques relevant de votre responsabilité en dehors de </w:t>
      </w:r>
      <w:r>
        <w:rPr>
          <w:lang w:val="fr-CH"/>
        </w:rPr>
        <w:t>la</w:t>
      </w:r>
      <w:r w:rsidR="005B6CB7">
        <w:rPr>
          <w:lang w:val="fr-CH"/>
        </w:rPr>
        <w:t xml:space="preserve"> zone géographique </w:t>
      </w:r>
      <w:r>
        <w:rPr>
          <w:lang w:val="fr-CH"/>
        </w:rPr>
        <w:t>relevant de votre</w:t>
      </w:r>
      <w:r w:rsidR="005B6CB7">
        <w:rPr>
          <w:lang w:val="fr-CH"/>
        </w:rPr>
        <w:t xml:space="preserve"> compétence? Veuillez noter qu'il est nécessaire de différencier l'utilisation extraterritoriale d</w:t>
      </w:r>
      <w:r>
        <w:rPr>
          <w:lang w:val="fr-CH"/>
        </w:rPr>
        <w:t>e ressources de</w:t>
      </w:r>
      <w:r w:rsidR="005B6CB7">
        <w:rPr>
          <w:lang w:val="fr-CH"/>
        </w:rPr>
        <w:t xml:space="preserve"> numérotage et </w:t>
      </w:r>
      <w:r>
        <w:rPr>
          <w:lang w:val="fr-CH"/>
        </w:rPr>
        <w:t>les ressources de</w:t>
      </w:r>
      <w:r w:rsidR="005B6CB7">
        <w:rPr>
          <w:lang w:val="fr-CH"/>
        </w:rPr>
        <w:t xml:space="preserve"> numérotage </w:t>
      </w:r>
      <w:r>
        <w:rPr>
          <w:lang w:val="fr-CH"/>
        </w:rPr>
        <w:t>associées à</w:t>
      </w:r>
      <w:r w:rsidR="005B6CB7">
        <w:rPr>
          <w:lang w:val="fr-CH"/>
        </w:rPr>
        <w:t xml:space="preserve"> l'itinérance mobile. L'utilisation extraterritoriale s'entend de l'utilisation de numéros autres que ceux qui sont attribués aux réseaux mobiles de la zone géographique pour laquelle ils ont été attribués/assignés. Voir également la note publiée dans le Bulletin d'exploitation </w:t>
      </w:r>
      <w:r w:rsidR="002547CC">
        <w:rPr>
          <w:lang w:val="fr-CH"/>
        </w:rPr>
        <w:t>N° </w:t>
      </w:r>
      <w:r w:rsidR="005B6CB7">
        <w:rPr>
          <w:lang w:val="fr-CH"/>
        </w:rPr>
        <w:t>974 du 15.II.2011, jointe dans l'Annexe 1.</w:t>
      </w:r>
    </w:p>
    <w:p w:rsidR="005B6CB7" w:rsidRPr="009643B2" w:rsidRDefault="00DB613D" w:rsidP="00AC2373">
      <w:pPr>
        <w:pStyle w:val="enumlev1"/>
        <w:rPr>
          <w:lang w:val="fr-CH"/>
        </w:rPr>
      </w:pPr>
      <w:r>
        <w:rPr>
          <w:lang w:val="fr-CH"/>
        </w:rPr>
        <w:t>h)</w:t>
      </w:r>
      <w:r>
        <w:rPr>
          <w:lang w:val="fr-CH"/>
        </w:rPr>
        <w:tab/>
      </w:r>
      <w:r w:rsidR="005B6CB7" w:rsidRPr="009643B2">
        <w:rPr>
          <w:lang w:val="fr-CH"/>
        </w:rPr>
        <w:t>A quelle fréquence fournissez-vous des renseignements sur vos plans nationaux de numérotage</w:t>
      </w:r>
      <w:r w:rsidR="005B6CB7" w:rsidRPr="000D4F65">
        <w:rPr>
          <w:lang w:val="fr-CH"/>
        </w:rPr>
        <w:t xml:space="preserve"> </w:t>
      </w:r>
      <w:r w:rsidR="005B6CB7" w:rsidRPr="009643B2">
        <w:rPr>
          <w:lang w:val="fr-CH"/>
        </w:rPr>
        <w:t>à l'UIT?</w:t>
      </w:r>
      <w:r w:rsidR="005B6CB7">
        <w:rPr>
          <w:lang w:val="fr-CH"/>
        </w:rPr>
        <w:t xml:space="preserve"> </w:t>
      </w:r>
      <w:r w:rsidR="00AC2373">
        <w:rPr>
          <w:lang w:val="fr-CH"/>
        </w:rPr>
        <w:t>A</w:t>
      </w:r>
      <w:r w:rsidR="005B6CB7">
        <w:rPr>
          <w:lang w:val="fr-CH"/>
        </w:rPr>
        <w:t xml:space="preserve"> ce titre</w:t>
      </w:r>
      <w:r w:rsidR="005B6CB7" w:rsidRPr="009643B2">
        <w:rPr>
          <w:lang w:val="fr-CH"/>
        </w:rPr>
        <w:t>, voir la Recommandation</w:t>
      </w:r>
      <w:r w:rsidR="005B6CB7">
        <w:rPr>
          <w:lang w:val="fr-CH"/>
        </w:rPr>
        <w:t xml:space="preserve"> UIT</w:t>
      </w:r>
      <w:r w:rsidR="00AC2373">
        <w:rPr>
          <w:lang w:val="fr-CH"/>
        </w:rPr>
        <w:noBreakHyphen/>
      </w:r>
      <w:r w:rsidR="005B6CB7" w:rsidRPr="009643B2">
        <w:rPr>
          <w:lang w:val="fr-CH"/>
        </w:rPr>
        <w:t>T</w:t>
      </w:r>
      <w:r w:rsidR="00AC2373">
        <w:rPr>
          <w:lang w:val="fr-CH"/>
        </w:rPr>
        <w:t> </w:t>
      </w:r>
      <w:r w:rsidR="005B6CB7" w:rsidRPr="009643B2">
        <w:rPr>
          <w:lang w:val="fr-CH"/>
        </w:rPr>
        <w:t xml:space="preserve">E.129 </w:t>
      </w:r>
      <w:r w:rsidR="005B6CB7">
        <w:rPr>
          <w:lang w:val="fr-CH"/>
        </w:rPr>
        <w:t>et le site</w:t>
      </w:r>
      <w:r w:rsidR="005B6CB7" w:rsidRPr="009643B2">
        <w:rPr>
          <w:lang w:val="fr-CH"/>
        </w:rPr>
        <w:t xml:space="preserve"> web</w:t>
      </w:r>
      <w:r w:rsidR="005B6CB7">
        <w:rPr>
          <w:lang w:val="fr-CH"/>
        </w:rPr>
        <w:t xml:space="preserve"> suivant</w:t>
      </w:r>
      <w:r w:rsidR="005B6CB7" w:rsidRPr="009643B2">
        <w:rPr>
          <w:lang w:val="fr-CH"/>
        </w:rPr>
        <w:t>:</w:t>
      </w:r>
    </w:p>
    <w:p w:rsidR="005B6CB7" w:rsidRPr="00957742" w:rsidRDefault="00E40206" w:rsidP="00A45752">
      <w:pPr>
        <w:spacing w:before="80"/>
        <w:ind w:left="794"/>
        <w:rPr>
          <w:szCs w:val="24"/>
          <w:lang w:val="fr-CH"/>
        </w:rPr>
      </w:pPr>
      <w:hyperlink r:id="rId13" w:history="1">
        <w:r w:rsidR="005B6CB7" w:rsidRPr="00957742">
          <w:rPr>
            <w:rStyle w:val="Hyperlink"/>
            <w:szCs w:val="24"/>
            <w:lang w:val="fr-CH"/>
          </w:rPr>
          <w:t>http://www.itu.int/oth/T0202.aspx?parent=T0202</w:t>
        </w:r>
      </w:hyperlink>
      <w:r w:rsidR="002547CC">
        <w:rPr>
          <w:szCs w:val="24"/>
          <w:lang w:val="fr-CH"/>
        </w:rPr>
        <w:t>.</w:t>
      </w:r>
    </w:p>
    <w:p w:rsidR="005B6CB7" w:rsidRDefault="009915D5" w:rsidP="00AC2373">
      <w:pPr>
        <w:rPr>
          <w:lang w:val="fr-CH"/>
        </w:rPr>
      </w:pPr>
      <w:r>
        <w:rPr>
          <w:lang w:val="fr-CH"/>
        </w:rPr>
        <w:t>10</w:t>
      </w:r>
      <w:r w:rsidR="005B6CB7" w:rsidRPr="009643B2">
        <w:rPr>
          <w:lang w:val="fr-CH"/>
        </w:rPr>
        <w:tab/>
        <w:t xml:space="preserve">Veuillez noter qu'il n'existe aucune définition </w:t>
      </w:r>
      <w:r w:rsidR="005B6CB7">
        <w:rPr>
          <w:lang w:val="fr-CH"/>
        </w:rPr>
        <w:t xml:space="preserve">convenue du terme "fraude" à l'UIT-T: cette question est </w:t>
      </w:r>
      <w:r w:rsidR="00DB613D">
        <w:rPr>
          <w:lang w:val="fr-CH"/>
        </w:rPr>
        <w:t>actuellement</w:t>
      </w:r>
      <w:r w:rsidR="005B6CB7">
        <w:rPr>
          <w:lang w:val="fr-CH"/>
        </w:rPr>
        <w:t xml:space="preserve"> à l'étude au sein de la Commission d'études</w:t>
      </w:r>
      <w:r w:rsidR="00AC2373">
        <w:rPr>
          <w:lang w:val="fr-CH"/>
        </w:rPr>
        <w:t> </w:t>
      </w:r>
      <w:r w:rsidR="005B6CB7">
        <w:rPr>
          <w:lang w:val="fr-CH"/>
        </w:rPr>
        <w:t>3 de l'UIT</w:t>
      </w:r>
      <w:r w:rsidR="00AC2373">
        <w:rPr>
          <w:lang w:val="fr-CH"/>
        </w:rPr>
        <w:noBreakHyphen/>
      </w:r>
      <w:r w:rsidR="005B6CB7">
        <w:rPr>
          <w:lang w:val="fr-CH"/>
        </w:rPr>
        <w:t>T,</w:t>
      </w:r>
      <w:r w:rsidR="00F25E33">
        <w:rPr>
          <w:lang w:val="fr-CH"/>
        </w:rPr>
        <w:t xml:space="preserve"> conformément à la contribution</w:t>
      </w:r>
      <w:r w:rsidR="00AC2373">
        <w:rPr>
          <w:lang w:val="fr-CH"/>
        </w:rPr>
        <w:t> </w:t>
      </w:r>
      <w:hyperlink r:id="rId14" w:history="1">
        <w:r w:rsidR="005B6CB7" w:rsidRPr="009643B2">
          <w:rPr>
            <w:rStyle w:val="Hyperlink"/>
            <w:bCs/>
            <w:lang w:val="fr-CH"/>
          </w:rPr>
          <w:t>COM 3 – C 97</w:t>
        </w:r>
      </w:hyperlink>
      <w:r w:rsidR="00F25E33">
        <w:rPr>
          <w:lang w:val="fr-CH"/>
        </w:rPr>
        <w:t xml:space="preserve">. </w:t>
      </w:r>
      <w:r w:rsidR="005B6CB7">
        <w:rPr>
          <w:lang w:val="fr-CH"/>
        </w:rPr>
        <w:t xml:space="preserve">Le </w:t>
      </w:r>
      <w:proofErr w:type="spellStart"/>
      <w:r w:rsidR="005B6CB7">
        <w:rPr>
          <w:lang w:val="fr-CH"/>
        </w:rPr>
        <w:t>Fraud</w:t>
      </w:r>
      <w:proofErr w:type="spellEnd"/>
      <w:r w:rsidR="005B6CB7">
        <w:rPr>
          <w:lang w:val="fr-CH"/>
        </w:rPr>
        <w:t xml:space="preserve"> Forum de la GSMA propose des définitions pour certains types de "fraude". Par conséquent, pour répondre à la question e) ci-dessus, veuillez utiliser votre propre interprétation du terme "fraude".</w:t>
      </w:r>
    </w:p>
    <w:p w:rsidR="005B6CB7" w:rsidRPr="00D74A36" w:rsidRDefault="005B6CB7" w:rsidP="00AC2373">
      <w:pPr>
        <w:ind w:right="91"/>
        <w:rPr>
          <w:bCs/>
        </w:rPr>
      </w:pPr>
      <w:r w:rsidRPr="005B56CE">
        <w:t>11</w:t>
      </w:r>
      <w:r w:rsidRPr="005B56CE">
        <w:tab/>
        <w:t>Nous vous saurions gré de bien vouloir nous faire parvenir votre réponse à la présente</w:t>
      </w:r>
      <w:r w:rsidRPr="00D74A36">
        <w:rPr>
          <w:bCs/>
        </w:rPr>
        <w:t xml:space="preserve"> Circulaire d'ici au</w:t>
      </w:r>
      <w:r w:rsidR="00AC2373">
        <w:rPr>
          <w:bCs/>
        </w:rPr>
        <w:t> </w:t>
      </w:r>
      <w:r w:rsidRPr="00D74A36">
        <w:rPr>
          <w:b/>
        </w:rPr>
        <w:t>1</w:t>
      </w:r>
      <w:r w:rsidRPr="00D74A36">
        <w:rPr>
          <w:b/>
          <w:bCs/>
        </w:rPr>
        <w:t>er</w:t>
      </w:r>
      <w:r w:rsidRPr="00D74A36">
        <w:rPr>
          <w:b/>
        </w:rPr>
        <w:t xml:space="preserve"> </w:t>
      </w:r>
      <w:r>
        <w:rPr>
          <w:b/>
        </w:rPr>
        <w:t>novembre</w:t>
      </w:r>
      <w:r w:rsidRPr="00D74A36">
        <w:rPr>
          <w:b/>
        </w:rPr>
        <w:t xml:space="preserve"> 2012</w:t>
      </w:r>
      <w:r w:rsidRPr="00D74A36">
        <w:rPr>
          <w:bCs/>
        </w:rPr>
        <w:t>, à l'adresse suivante:</w:t>
      </w:r>
    </w:p>
    <w:p w:rsidR="005B6CB7" w:rsidRPr="00D74A36" w:rsidRDefault="005B6CB7" w:rsidP="005B6CB7">
      <w:pPr>
        <w:ind w:left="794" w:right="91"/>
        <w:rPr>
          <w:bCs/>
        </w:rPr>
      </w:pPr>
      <w:r w:rsidRPr="00D74A36">
        <w:rPr>
          <w:bCs/>
        </w:rPr>
        <w:t>Bureau de la normalisation des télécommunications/</w:t>
      </w:r>
      <w:r>
        <w:rPr>
          <w:bCs/>
        </w:rPr>
        <w:t>UIT</w:t>
      </w:r>
    </w:p>
    <w:p w:rsidR="005B6CB7" w:rsidRPr="00D74A36" w:rsidRDefault="005B6CB7" w:rsidP="005B6CB7">
      <w:pPr>
        <w:spacing w:before="0"/>
        <w:ind w:left="794" w:right="91"/>
        <w:rPr>
          <w:bCs/>
        </w:rPr>
      </w:pPr>
      <w:r w:rsidRPr="00D74A36">
        <w:rPr>
          <w:bCs/>
        </w:rPr>
        <w:t>Place des Nations</w:t>
      </w:r>
    </w:p>
    <w:p w:rsidR="005B6CB7" w:rsidRPr="00D74A36" w:rsidRDefault="005B6CB7" w:rsidP="005B6CB7">
      <w:pPr>
        <w:spacing w:before="0"/>
        <w:ind w:left="794" w:right="91"/>
        <w:rPr>
          <w:bCs/>
        </w:rPr>
      </w:pPr>
      <w:r w:rsidRPr="00D74A36">
        <w:rPr>
          <w:bCs/>
        </w:rPr>
        <w:t>CH-1211 Genève 20 (Suisse)</w:t>
      </w:r>
    </w:p>
    <w:p w:rsidR="005B6CB7" w:rsidRPr="00D74A36" w:rsidRDefault="005B6CB7" w:rsidP="005B6CB7">
      <w:pPr>
        <w:spacing w:before="0"/>
        <w:ind w:left="794" w:right="91"/>
        <w:rPr>
          <w:bCs/>
        </w:rPr>
      </w:pPr>
      <w:r w:rsidRPr="00D74A36">
        <w:rPr>
          <w:bCs/>
        </w:rPr>
        <w:t>Fax: +41 22 730 5853</w:t>
      </w:r>
    </w:p>
    <w:p w:rsidR="005B6CB7" w:rsidRPr="00D74A36" w:rsidRDefault="005B6CB7" w:rsidP="005B6CB7">
      <w:pPr>
        <w:spacing w:before="0"/>
        <w:ind w:left="794" w:right="91"/>
        <w:rPr>
          <w:bCs/>
        </w:rPr>
      </w:pPr>
      <w:r w:rsidRPr="00D74A36">
        <w:rPr>
          <w:bCs/>
        </w:rPr>
        <w:t xml:space="preserve">Email: </w:t>
      </w:r>
      <w:hyperlink r:id="rId15" w:history="1">
        <w:r w:rsidRPr="00D74A36">
          <w:rPr>
            <w:rStyle w:val="Hyperlink"/>
            <w:bCs/>
          </w:rPr>
          <w:t>tsbsg2@itu.int</w:t>
        </w:r>
      </w:hyperlink>
    </w:p>
    <w:p w:rsidR="00F43697" w:rsidRDefault="005B6CB7" w:rsidP="00F43697">
      <w:pPr>
        <w:spacing w:before="240"/>
        <w:ind w:right="91"/>
      </w:pPr>
      <w:r w:rsidRPr="00D74A36">
        <w:t>Veuillez agréer, Madame, Monsieur, l'assurance de ma considération distinguée.</w:t>
      </w:r>
    </w:p>
    <w:p w:rsidR="00F43697" w:rsidRDefault="00F43697" w:rsidP="00F43697">
      <w:pPr>
        <w:spacing w:before="240"/>
        <w:ind w:right="91"/>
      </w:pPr>
    </w:p>
    <w:p w:rsidR="00F43697" w:rsidRDefault="00F43697" w:rsidP="00F43697">
      <w:pPr>
        <w:spacing w:before="240"/>
        <w:ind w:right="91"/>
      </w:pPr>
    </w:p>
    <w:p w:rsidR="005B6CB7" w:rsidRDefault="005B6CB7" w:rsidP="00F43697">
      <w:pPr>
        <w:spacing w:before="240"/>
        <w:ind w:right="91"/>
      </w:pPr>
      <w:r>
        <w:t>Malcolm Johnson</w:t>
      </w:r>
      <w:r>
        <w:br/>
        <w:t>Directeu</w:t>
      </w:r>
      <w:r w:rsidRPr="00C32163">
        <w:t xml:space="preserve">r </w:t>
      </w:r>
      <w:r>
        <w:t xml:space="preserve">du Bureau de la </w:t>
      </w:r>
      <w:r w:rsidR="00F43697">
        <w:br/>
      </w:r>
      <w:r>
        <w:t>normalisation des télécommunications</w:t>
      </w:r>
    </w:p>
    <w:p w:rsidR="005B6CB7" w:rsidRPr="00C32163" w:rsidRDefault="005B6CB7" w:rsidP="005B6CB7">
      <w:pPr>
        <w:spacing w:before="240"/>
      </w:pPr>
      <w:r w:rsidRPr="002547CC">
        <w:rPr>
          <w:b/>
          <w:bCs/>
        </w:rPr>
        <w:t>Annexe</w:t>
      </w:r>
      <w:r w:rsidRPr="00C32163">
        <w:t>: 1</w:t>
      </w:r>
      <w:r w:rsidRPr="00C32163">
        <w:br w:type="page"/>
      </w:r>
    </w:p>
    <w:p w:rsidR="005B6CB7" w:rsidRPr="00C313C9" w:rsidRDefault="005B6CB7" w:rsidP="00C313C9">
      <w:pPr>
        <w:pStyle w:val="Annex"/>
        <w:rPr>
          <w:caps w:val="0"/>
        </w:rPr>
      </w:pPr>
      <w:r w:rsidRPr="00CF42BC">
        <w:lastRenderedPageBreak/>
        <w:t>ANNEXE 1</w:t>
      </w:r>
      <w:r w:rsidR="00C313C9">
        <w:br/>
      </w:r>
      <w:r w:rsidRPr="00C313C9">
        <w:rPr>
          <w:caps w:val="0"/>
        </w:rPr>
        <w:t xml:space="preserve">(à la Circulaire </w:t>
      </w:r>
      <w:r w:rsidR="002A5CFD" w:rsidRPr="00C313C9">
        <w:rPr>
          <w:caps w:val="0"/>
        </w:rPr>
        <w:t xml:space="preserve">TSB </w:t>
      </w:r>
      <w:r w:rsidRPr="00C313C9">
        <w:rPr>
          <w:caps w:val="0"/>
        </w:rPr>
        <w:t>296)</w:t>
      </w:r>
    </w:p>
    <w:p w:rsidR="00CF42BC" w:rsidRPr="007313CD" w:rsidRDefault="00CF42BC" w:rsidP="00CF42BC">
      <w:pPr>
        <w:jc w:val="center"/>
        <w:rPr>
          <w:lang w:val="fr-CH"/>
        </w:rPr>
      </w:pPr>
    </w:p>
    <w:p w:rsidR="005B6CB7" w:rsidRDefault="005B6CB7" w:rsidP="002547CC">
      <w:pPr>
        <w:jc w:val="center"/>
        <w:rPr>
          <w:b/>
          <w:bCs/>
          <w:lang w:val="fr-CH"/>
        </w:rPr>
      </w:pPr>
      <w:r w:rsidRPr="007C3983">
        <w:rPr>
          <w:b/>
          <w:bCs/>
          <w:lang w:val="fr-CH"/>
        </w:rPr>
        <w:t xml:space="preserve">Note publiée dans le Bulletin d'exploitation </w:t>
      </w:r>
      <w:r w:rsidR="002547CC">
        <w:rPr>
          <w:b/>
          <w:bCs/>
          <w:lang w:val="fr-CH"/>
        </w:rPr>
        <w:t>N° </w:t>
      </w:r>
      <w:r w:rsidRPr="007C3983">
        <w:rPr>
          <w:b/>
          <w:bCs/>
          <w:lang w:val="fr-CH"/>
        </w:rPr>
        <w:t>974 du 15.II.2012</w:t>
      </w:r>
    </w:p>
    <w:p w:rsidR="005B6CB7" w:rsidRPr="007C3983" w:rsidRDefault="005B6CB7" w:rsidP="005B6CB7">
      <w:pPr>
        <w:jc w:val="center"/>
        <w:rPr>
          <w:b/>
          <w:bCs/>
          <w:lang w:val="fr-CH"/>
        </w:rPr>
      </w:pPr>
    </w:p>
    <w:p w:rsidR="005B6CB7" w:rsidRPr="007C3983" w:rsidRDefault="005B6CB7" w:rsidP="005B6CB7">
      <w:pPr>
        <w:rPr>
          <w:lang w:val="fr-CH"/>
        </w:rPr>
      </w:pPr>
      <w:r>
        <w:rPr>
          <w:b/>
          <w:bCs/>
          <w:lang w:val="fr-CH"/>
        </w:rPr>
        <w:t>Origine:</w:t>
      </w:r>
      <w:r w:rsidRPr="007C3983">
        <w:rPr>
          <w:b/>
          <w:bCs/>
          <w:lang w:val="fr-CH"/>
        </w:rPr>
        <w:t xml:space="preserve"> TSB</w:t>
      </w:r>
    </w:p>
    <w:p w:rsidR="005B6CB7" w:rsidRPr="007C3983" w:rsidRDefault="005B6CB7" w:rsidP="00AC2373">
      <w:pPr>
        <w:rPr>
          <w:lang w:val="fr-CH"/>
        </w:rPr>
      </w:pPr>
      <w:r w:rsidRPr="007C3983">
        <w:rPr>
          <w:lang w:val="fr-CH"/>
        </w:rPr>
        <w:t>Il nous a été signalé que certaines organisations proposent d'utiliser des numéros</w:t>
      </w:r>
      <w:r w:rsidR="00AC2373">
        <w:rPr>
          <w:lang w:val="fr-CH"/>
        </w:rPr>
        <w:t> </w:t>
      </w:r>
      <w:r w:rsidRPr="007C3983">
        <w:rPr>
          <w:lang w:val="fr-CH"/>
        </w:rPr>
        <w:t>E.164 nationaux et/ou des</w:t>
      </w:r>
      <w:r>
        <w:rPr>
          <w:lang w:val="fr-CH"/>
        </w:rPr>
        <w:t xml:space="preserve"> </w:t>
      </w:r>
      <w:r w:rsidRPr="007C3983">
        <w:rPr>
          <w:lang w:val="fr-CH"/>
        </w:rPr>
        <w:t>codes de réseau</w:t>
      </w:r>
      <w:r w:rsidR="00AC2373">
        <w:rPr>
          <w:lang w:val="fr-CH"/>
        </w:rPr>
        <w:t> </w:t>
      </w:r>
      <w:r w:rsidRPr="007C3983">
        <w:rPr>
          <w:lang w:val="fr-CH"/>
        </w:rPr>
        <w:t>E.164 communs pour des services kiosque internationaux. Dans certains cas, il semblerait que</w:t>
      </w:r>
      <w:r>
        <w:rPr>
          <w:lang w:val="fr-CH"/>
        </w:rPr>
        <w:t xml:space="preserve"> </w:t>
      </w:r>
      <w:r w:rsidRPr="007C3983">
        <w:rPr>
          <w:lang w:val="fr-CH"/>
        </w:rPr>
        <w:t>les appels à destination de tels numéros n'atteignent pas le pays ou le réseau pour lequel l'indicatif de pays</w:t>
      </w:r>
      <w:r>
        <w:rPr>
          <w:lang w:val="fr-CH"/>
        </w:rPr>
        <w:t xml:space="preserve"> </w:t>
      </w:r>
      <w:r w:rsidRPr="007C3983">
        <w:rPr>
          <w:lang w:val="fr-CH"/>
        </w:rPr>
        <w:t>E.164 a été attribué par l'UIT.</w:t>
      </w:r>
    </w:p>
    <w:p w:rsidR="005B6CB7" w:rsidRDefault="005B6CB7" w:rsidP="00AC2373">
      <w:pPr>
        <w:rPr>
          <w:lang w:val="fr-CH"/>
        </w:rPr>
      </w:pPr>
      <w:r w:rsidRPr="007C3983">
        <w:rPr>
          <w:lang w:val="fr-CH"/>
        </w:rPr>
        <w:t>Cela étant, nous vous prions de noter qu'aux termes du paragraphe</w:t>
      </w:r>
      <w:r w:rsidR="00AC2373">
        <w:rPr>
          <w:lang w:val="fr-CH"/>
        </w:rPr>
        <w:t> </w:t>
      </w:r>
      <w:r w:rsidRPr="007C3983">
        <w:rPr>
          <w:lang w:val="fr-CH"/>
        </w:rPr>
        <w:t>6.2.6 de la Recommandation</w:t>
      </w:r>
      <w:r w:rsidR="00AC2373">
        <w:rPr>
          <w:lang w:val="fr-CH"/>
        </w:rPr>
        <w:t> </w:t>
      </w:r>
      <w:r w:rsidRPr="007C3983">
        <w:rPr>
          <w:lang w:val="fr-CH"/>
        </w:rPr>
        <w:t>UIT</w:t>
      </w:r>
      <w:r w:rsidR="00D250B5">
        <w:rPr>
          <w:lang w:val="fr-CH"/>
        </w:rPr>
        <w:noBreakHyphen/>
      </w:r>
      <w:r w:rsidRPr="007C3983">
        <w:rPr>
          <w:lang w:val="fr-CH"/>
        </w:rPr>
        <w:t>T E.190:</w:t>
      </w:r>
      <w:r>
        <w:rPr>
          <w:lang w:val="fr-CH"/>
        </w:rPr>
        <w:t xml:space="preserve"> </w:t>
      </w:r>
      <w:r w:rsidRPr="007C3983">
        <w:rPr>
          <w:lang w:val="fr-CH"/>
        </w:rPr>
        <w:t>"Les ressources de numérotage de la série</w:t>
      </w:r>
      <w:r w:rsidR="00AC2373">
        <w:rPr>
          <w:lang w:val="fr-CH"/>
        </w:rPr>
        <w:t> </w:t>
      </w:r>
      <w:r w:rsidRPr="007C3983">
        <w:rPr>
          <w:lang w:val="fr-CH"/>
        </w:rPr>
        <w:t>E seront utilisées par le titulaire exclusivement pour l'application</w:t>
      </w:r>
      <w:r>
        <w:rPr>
          <w:lang w:val="fr-CH"/>
        </w:rPr>
        <w:t xml:space="preserve"> </w:t>
      </w:r>
      <w:r w:rsidRPr="007C3983">
        <w:rPr>
          <w:lang w:val="fr-CH"/>
        </w:rPr>
        <w:t>spécifique pour laquelle elles ont été attribuées par le TSB." En conséquence, les ressources de numérotage</w:t>
      </w:r>
      <w:r>
        <w:rPr>
          <w:lang w:val="fr-CH"/>
        </w:rPr>
        <w:t xml:space="preserve"> </w:t>
      </w:r>
      <w:r w:rsidRPr="007C3983">
        <w:rPr>
          <w:lang w:val="fr-CH"/>
        </w:rPr>
        <w:t>nationales devraient uniquement être utilisées pour assurer des services nationaux. Bien entendu, il n'est pas</w:t>
      </w:r>
      <w:r>
        <w:rPr>
          <w:lang w:val="fr-CH"/>
        </w:rPr>
        <w:t xml:space="preserve"> </w:t>
      </w:r>
      <w:r w:rsidRPr="007C3983">
        <w:rPr>
          <w:lang w:val="fr-CH"/>
        </w:rPr>
        <w:t>interdit de faire connaître des numéros nationaux à l'échelle internationale et, de fait, l'objet même du plan de</w:t>
      </w:r>
      <w:r>
        <w:rPr>
          <w:lang w:val="fr-CH"/>
        </w:rPr>
        <w:t xml:space="preserve"> </w:t>
      </w:r>
      <w:r w:rsidRPr="007C3983">
        <w:rPr>
          <w:lang w:val="fr-CH"/>
        </w:rPr>
        <w:t>numérotage international est de faciliter les appels internationaux. Toutefois, tout appel à destination d'un</w:t>
      </w:r>
      <w:r>
        <w:rPr>
          <w:lang w:val="fr-CH"/>
        </w:rPr>
        <w:t xml:space="preserve"> </w:t>
      </w:r>
      <w:r w:rsidRPr="007C3983">
        <w:rPr>
          <w:lang w:val="fr-CH"/>
        </w:rPr>
        <w:t>numéro national devrait aboutir dans le pays auquel le numéro est attribué (sauf dans le cas de l'itinérance</w:t>
      </w:r>
      <w:r>
        <w:rPr>
          <w:lang w:val="fr-CH"/>
        </w:rPr>
        <w:t xml:space="preserve"> </w:t>
      </w:r>
      <w:r w:rsidRPr="007C3983">
        <w:rPr>
          <w:lang w:val="fr-CH"/>
        </w:rPr>
        <w:t>mobile), car les numéros nationaux sont attribués à cette fin. Ainsi, un appel à destination d'un numéro</w:t>
      </w:r>
      <w:r>
        <w:rPr>
          <w:lang w:val="fr-CH"/>
        </w:rPr>
        <w:t xml:space="preserve"> </w:t>
      </w:r>
      <w:r w:rsidRPr="007C3983">
        <w:rPr>
          <w:lang w:val="fr-CH"/>
        </w:rPr>
        <w:t>national ne devrait pas aboutir en dehors du pays auquel il a été attribué.</w:t>
      </w:r>
    </w:p>
    <w:p w:rsidR="005B6CB7" w:rsidRDefault="005B6CB7" w:rsidP="00AC2373">
      <w:pPr>
        <w:rPr>
          <w:lang w:val="fr-CH"/>
        </w:rPr>
      </w:pPr>
      <w:r w:rsidRPr="007C3983">
        <w:rPr>
          <w:lang w:val="fr-CH"/>
        </w:rPr>
        <w:t>De même, les appels à destination de codes de réseau</w:t>
      </w:r>
      <w:r w:rsidR="00AC2373">
        <w:rPr>
          <w:lang w:val="fr-CH"/>
        </w:rPr>
        <w:t> </w:t>
      </w:r>
      <w:r w:rsidRPr="007C3983">
        <w:rPr>
          <w:lang w:val="fr-CH"/>
        </w:rPr>
        <w:t>E.164 communs devraient aboutir sur le réseau auquel</w:t>
      </w:r>
      <w:r>
        <w:rPr>
          <w:lang w:val="fr-CH"/>
        </w:rPr>
        <w:t xml:space="preserve"> </w:t>
      </w:r>
      <w:r w:rsidRPr="007C3983">
        <w:rPr>
          <w:lang w:val="fr-CH"/>
        </w:rPr>
        <w:t>le code a été attribué, et non en dehors de ce réseau.</w:t>
      </w:r>
      <w:r>
        <w:rPr>
          <w:lang w:val="fr-CH"/>
        </w:rPr>
        <w:t xml:space="preserve"> </w:t>
      </w:r>
    </w:p>
    <w:p w:rsidR="005B6CB7" w:rsidRPr="007C3983" w:rsidRDefault="005B6CB7" w:rsidP="00AC2373">
      <w:pPr>
        <w:rPr>
          <w:lang w:val="fr-CH"/>
        </w:rPr>
      </w:pPr>
      <w:r w:rsidRPr="007C3983">
        <w:rPr>
          <w:lang w:val="fr-CH"/>
        </w:rPr>
        <w:t>Par la présente, nous informons les exploitations que toute utilisation d'indicatifs ou de codes</w:t>
      </w:r>
      <w:r w:rsidR="00AC2373">
        <w:rPr>
          <w:lang w:val="fr-CH"/>
        </w:rPr>
        <w:t> </w:t>
      </w:r>
      <w:r w:rsidRPr="007C3983">
        <w:rPr>
          <w:lang w:val="fr-CH"/>
        </w:rPr>
        <w:t>E.164 qui n'est</w:t>
      </w:r>
      <w:r>
        <w:rPr>
          <w:lang w:val="fr-CH"/>
        </w:rPr>
        <w:t xml:space="preserve"> </w:t>
      </w:r>
      <w:r w:rsidRPr="007C3983">
        <w:rPr>
          <w:lang w:val="fr-CH"/>
        </w:rPr>
        <w:t>pas compatible avec l'objet pour lequel les indicatifs ou codes ont été attribués peut constituer une utilisation</w:t>
      </w:r>
      <w:r>
        <w:rPr>
          <w:lang w:val="fr-CH"/>
        </w:rPr>
        <w:t xml:space="preserve"> </w:t>
      </w:r>
      <w:r w:rsidRPr="007C3983">
        <w:rPr>
          <w:lang w:val="fr-CH"/>
        </w:rPr>
        <w:t>abusive au sens de la Recommandation</w:t>
      </w:r>
      <w:r w:rsidR="00AC2373">
        <w:rPr>
          <w:lang w:val="fr-CH"/>
        </w:rPr>
        <w:t> </w:t>
      </w:r>
      <w:r w:rsidRPr="007C3983">
        <w:rPr>
          <w:lang w:val="fr-CH"/>
        </w:rPr>
        <w:t>UIT</w:t>
      </w:r>
      <w:r w:rsidR="00AC2373">
        <w:rPr>
          <w:lang w:val="fr-CH"/>
        </w:rPr>
        <w:noBreakHyphen/>
      </w:r>
      <w:r w:rsidRPr="007C3983">
        <w:rPr>
          <w:lang w:val="fr-CH"/>
        </w:rPr>
        <w:t>T</w:t>
      </w:r>
      <w:r w:rsidR="00AC2373">
        <w:rPr>
          <w:lang w:val="fr-CH"/>
        </w:rPr>
        <w:t> </w:t>
      </w:r>
      <w:r w:rsidRPr="007C3983">
        <w:rPr>
          <w:lang w:val="fr-CH"/>
        </w:rPr>
        <w:t>E.156 et que des mesures pourront être prises conformément</w:t>
      </w:r>
      <w:r>
        <w:rPr>
          <w:lang w:val="fr-CH"/>
        </w:rPr>
        <w:t xml:space="preserve"> </w:t>
      </w:r>
      <w:r w:rsidRPr="007C3983">
        <w:rPr>
          <w:lang w:val="fr-CH"/>
        </w:rPr>
        <w:t>aux dispositions de cette Recommandation.</w:t>
      </w:r>
    </w:p>
    <w:p w:rsidR="005B6CB7" w:rsidRPr="009D5120" w:rsidRDefault="005B6CB7" w:rsidP="00AC2373">
      <w:pPr>
        <w:rPr>
          <w:lang w:val="fr-CH"/>
        </w:rPr>
      </w:pPr>
      <w:r w:rsidRPr="007C3983">
        <w:rPr>
          <w:lang w:val="fr-CH"/>
        </w:rPr>
        <w:t>Par ailleurs, nous attirons votre attention sur la Circulaire TSB</w:t>
      </w:r>
      <w:r w:rsidR="00AC2373">
        <w:rPr>
          <w:lang w:val="fr-CH"/>
        </w:rPr>
        <w:t> </w:t>
      </w:r>
      <w:r w:rsidRPr="007C3983">
        <w:rPr>
          <w:lang w:val="fr-CH"/>
        </w:rPr>
        <w:t>66 de la période d'études</w:t>
      </w:r>
      <w:r w:rsidR="00AC2373">
        <w:rPr>
          <w:lang w:val="fr-CH"/>
        </w:rPr>
        <w:t> </w:t>
      </w:r>
      <w:r w:rsidRPr="007C3983">
        <w:rPr>
          <w:lang w:val="fr-CH"/>
        </w:rPr>
        <w:t>2001</w:t>
      </w:r>
      <w:r w:rsidR="00AC2373">
        <w:rPr>
          <w:lang w:val="fr-CH"/>
        </w:rPr>
        <w:noBreakHyphen/>
      </w:r>
      <w:r w:rsidRPr="007C3983">
        <w:rPr>
          <w:lang w:val="fr-CH"/>
        </w:rPr>
        <w:t>2004, concernant</w:t>
      </w:r>
      <w:r>
        <w:rPr>
          <w:lang w:val="fr-CH"/>
        </w:rPr>
        <w:t xml:space="preserve"> </w:t>
      </w:r>
      <w:r w:rsidRPr="007C3983">
        <w:rPr>
          <w:lang w:val="fr-CH"/>
        </w:rPr>
        <w:t xml:space="preserve">l'utilisation de numéros nationaux pour des services internationaux. </w:t>
      </w:r>
      <w:r w:rsidRPr="009D5120">
        <w:rPr>
          <w:lang w:val="fr-CH"/>
        </w:rPr>
        <w:t>Cette Circulaire est disponible à l'adresse:</w:t>
      </w:r>
      <w:r>
        <w:rPr>
          <w:lang w:val="fr-CH"/>
        </w:rPr>
        <w:t xml:space="preserve"> </w:t>
      </w:r>
      <w:hyperlink r:id="rId16" w:history="1">
        <w:r w:rsidRPr="00B356F2">
          <w:rPr>
            <w:rStyle w:val="Hyperlink"/>
            <w:lang w:val="fr-CH"/>
          </w:rPr>
          <w:t>www.itu.int/md/T01</w:t>
        </w:r>
        <w:bookmarkStart w:id="2" w:name="_GoBack"/>
        <w:bookmarkEnd w:id="2"/>
        <w:r w:rsidRPr="00B356F2">
          <w:rPr>
            <w:rStyle w:val="Hyperlink"/>
            <w:lang w:val="fr-CH"/>
          </w:rPr>
          <w:t>-TSB-CIR-0066/en</w:t>
        </w:r>
      </w:hyperlink>
      <w:r>
        <w:rPr>
          <w:lang w:val="fr-CH"/>
        </w:rPr>
        <w:t xml:space="preserve">. </w:t>
      </w:r>
    </w:p>
    <w:p w:rsidR="002A5CFD" w:rsidRPr="00F02C24" w:rsidRDefault="002A5CFD" w:rsidP="00824A9E">
      <w:pPr>
        <w:pStyle w:val="Reasons"/>
        <w:rPr>
          <w:lang w:val="fr-FR"/>
        </w:rPr>
      </w:pPr>
    </w:p>
    <w:p w:rsidR="002A5CFD" w:rsidRPr="00F02C24" w:rsidRDefault="002A5CFD" w:rsidP="00824A9E">
      <w:pPr>
        <w:pStyle w:val="Reasons"/>
        <w:rPr>
          <w:lang w:val="fr-FR"/>
        </w:rPr>
      </w:pPr>
    </w:p>
    <w:p w:rsidR="005B6CB7" w:rsidRPr="000E78F9" w:rsidRDefault="002A5CFD" w:rsidP="00C313C9">
      <w:pPr>
        <w:jc w:val="center"/>
        <w:rPr>
          <w:caps/>
        </w:rPr>
      </w:pPr>
      <w:r>
        <w:t>______________</w:t>
      </w:r>
    </w:p>
    <w:sectPr w:rsidR="005B6CB7" w:rsidRPr="000E78F9" w:rsidSect="00A15179">
      <w:headerReference w:type="default" r:id="rId17"/>
      <w:footerReference w:type="default" r:id="rId18"/>
      <w:headerReference w:type="first" r:id="rId19"/>
      <w:footerReference w:type="first" r:id="rId20"/>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82D" w:rsidRDefault="00C9382D">
      <w:r>
        <w:separator/>
      </w:r>
    </w:p>
  </w:endnote>
  <w:endnote w:type="continuationSeparator" w:id="0">
    <w:p w:rsidR="00C9382D" w:rsidRDefault="00C9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A9E" w:rsidRPr="00C313C9" w:rsidRDefault="00C313C9" w:rsidP="00930651">
    <w:pPr>
      <w:pStyle w:val="Footer"/>
      <w:rPr>
        <w:sz w:val="16"/>
        <w:lang w:val="fr-CH"/>
      </w:rPr>
    </w:pPr>
    <w:r w:rsidRPr="00C313C9">
      <w:rPr>
        <w:lang w:val="fr-CH"/>
      </w:rPr>
      <w:t>ITU-T\BUREAU\CIRC\200\296F.DOCX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824A9E" w:rsidRPr="00F43697" w:rsidTr="00824A9E">
      <w:trPr>
        <w:cantSplit/>
      </w:trPr>
      <w:tc>
        <w:tcPr>
          <w:tcW w:w="1062" w:type="pct"/>
          <w:tcBorders>
            <w:top w:val="single" w:sz="6" w:space="0" w:color="auto"/>
          </w:tcBorders>
          <w:tcMar>
            <w:top w:w="57" w:type="dxa"/>
          </w:tcMar>
        </w:tcPr>
        <w:p w:rsidR="00824A9E" w:rsidRDefault="00824A9E" w:rsidP="00824A9E">
          <w:pPr>
            <w:pStyle w:val="itu"/>
          </w:pPr>
          <w:r>
            <w:t>Place des Nations</w:t>
          </w:r>
        </w:p>
      </w:tc>
      <w:tc>
        <w:tcPr>
          <w:tcW w:w="1584" w:type="pct"/>
          <w:tcBorders>
            <w:top w:val="single" w:sz="6" w:space="0" w:color="auto"/>
          </w:tcBorders>
          <w:tcMar>
            <w:top w:w="57" w:type="dxa"/>
          </w:tcMar>
        </w:tcPr>
        <w:p w:rsidR="00824A9E" w:rsidRDefault="00824A9E" w:rsidP="00824A9E">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824A9E" w:rsidRDefault="00824A9E" w:rsidP="00824A9E">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824A9E" w:rsidRDefault="00824A9E" w:rsidP="00824A9E">
          <w:pPr>
            <w:pStyle w:val="itu"/>
          </w:pPr>
          <w:r>
            <w:t>E-mail:</w:t>
          </w:r>
          <w:r>
            <w:tab/>
            <w:t>itumail@itu.int</w:t>
          </w:r>
        </w:p>
      </w:tc>
    </w:tr>
    <w:tr w:rsidR="00824A9E" w:rsidTr="00824A9E">
      <w:trPr>
        <w:cantSplit/>
      </w:trPr>
      <w:tc>
        <w:tcPr>
          <w:tcW w:w="1062" w:type="pct"/>
        </w:tcPr>
        <w:p w:rsidR="00824A9E" w:rsidRDefault="00824A9E" w:rsidP="00824A9E">
          <w:pPr>
            <w:pStyle w:val="itu"/>
          </w:pPr>
          <w:r>
            <w:t>CH-1211 Genève 20</w:t>
          </w:r>
        </w:p>
      </w:tc>
      <w:tc>
        <w:tcPr>
          <w:tcW w:w="1584" w:type="pct"/>
        </w:tcPr>
        <w:p w:rsidR="00824A9E" w:rsidRDefault="00824A9E" w:rsidP="00824A9E">
          <w:pPr>
            <w:pStyle w:val="itu"/>
          </w:pPr>
          <w:proofErr w:type="spellStart"/>
          <w:r>
            <w:t>Téléfax</w:t>
          </w:r>
          <w:proofErr w:type="spellEnd"/>
          <w:r>
            <w:tab/>
            <w:t>Gr3:</w:t>
          </w:r>
          <w:r>
            <w:tab/>
            <w:t>+41 22 733 72 56</w:t>
          </w:r>
        </w:p>
      </w:tc>
      <w:tc>
        <w:tcPr>
          <w:tcW w:w="1223" w:type="pct"/>
        </w:tcPr>
        <w:p w:rsidR="00824A9E" w:rsidRDefault="00824A9E" w:rsidP="00824A9E">
          <w:pPr>
            <w:pStyle w:val="itu"/>
          </w:pPr>
          <w:proofErr w:type="spellStart"/>
          <w:r>
            <w:t>Télégramme</w:t>
          </w:r>
          <w:proofErr w:type="spellEnd"/>
          <w:r>
            <w:t xml:space="preserve"> ITU GENEVE</w:t>
          </w:r>
        </w:p>
      </w:tc>
      <w:tc>
        <w:tcPr>
          <w:tcW w:w="1131" w:type="pct"/>
        </w:tcPr>
        <w:p w:rsidR="00824A9E" w:rsidRDefault="00824A9E" w:rsidP="00824A9E">
          <w:pPr>
            <w:pStyle w:val="itu"/>
          </w:pPr>
          <w:r>
            <w:tab/>
            <w:t>www.itu.int</w:t>
          </w:r>
        </w:p>
      </w:tc>
    </w:tr>
    <w:tr w:rsidR="00824A9E" w:rsidTr="00824A9E">
      <w:trPr>
        <w:cantSplit/>
      </w:trPr>
      <w:tc>
        <w:tcPr>
          <w:tcW w:w="1062" w:type="pct"/>
        </w:tcPr>
        <w:p w:rsidR="00824A9E" w:rsidRDefault="00824A9E" w:rsidP="00824A9E">
          <w:pPr>
            <w:pStyle w:val="itu"/>
          </w:pPr>
          <w:r>
            <w:t>Suisse</w:t>
          </w:r>
        </w:p>
      </w:tc>
      <w:tc>
        <w:tcPr>
          <w:tcW w:w="1584" w:type="pct"/>
        </w:tcPr>
        <w:p w:rsidR="00824A9E" w:rsidRDefault="00824A9E" w:rsidP="00824A9E">
          <w:pPr>
            <w:pStyle w:val="itu"/>
          </w:pPr>
          <w:r>
            <w:tab/>
            <w:t>Gr4:</w:t>
          </w:r>
          <w:r>
            <w:tab/>
            <w:t>+41 22 730 65 00</w:t>
          </w:r>
        </w:p>
      </w:tc>
      <w:tc>
        <w:tcPr>
          <w:tcW w:w="1223" w:type="pct"/>
        </w:tcPr>
        <w:p w:rsidR="00824A9E" w:rsidRDefault="00824A9E" w:rsidP="00824A9E">
          <w:pPr>
            <w:pStyle w:val="itu"/>
          </w:pPr>
        </w:p>
      </w:tc>
      <w:tc>
        <w:tcPr>
          <w:tcW w:w="1131" w:type="pct"/>
        </w:tcPr>
        <w:p w:rsidR="00824A9E" w:rsidRDefault="00824A9E" w:rsidP="00824A9E">
          <w:pPr>
            <w:pStyle w:val="itu"/>
          </w:pPr>
        </w:p>
      </w:tc>
    </w:tr>
  </w:tbl>
  <w:p w:rsidR="00824A9E" w:rsidRPr="00930651" w:rsidRDefault="00824A9E" w:rsidP="00930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82D" w:rsidRDefault="00C9382D">
      <w:r>
        <w:t>____________________</w:t>
      </w:r>
    </w:p>
  </w:footnote>
  <w:footnote w:type="continuationSeparator" w:id="0">
    <w:p w:rsidR="00C9382D" w:rsidRDefault="00C93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672611"/>
      <w:docPartObj>
        <w:docPartGallery w:val="Page Numbers (Top of Page)"/>
        <w:docPartUnique/>
      </w:docPartObj>
    </w:sdtPr>
    <w:sdtEndPr/>
    <w:sdtContent>
      <w:p w:rsidR="00824A9E" w:rsidRDefault="00824A9E" w:rsidP="00930651">
        <w:pPr>
          <w:pStyle w:val="Header"/>
        </w:pPr>
        <w:r>
          <w:fldChar w:fldCharType="begin"/>
        </w:r>
        <w:r>
          <w:instrText>PAGE   \* MERGEFORMAT</w:instrText>
        </w:r>
        <w:r>
          <w:fldChar w:fldCharType="separate"/>
        </w:r>
        <w:r w:rsidR="00E40206">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A9E" w:rsidRPr="006427A1" w:rsidRDefault="00824A9E" w:rsidP="00930651">
    <w:pPr>
      <w:pStyle w:val="Header"/>
      <w:rPr>
        <w:sz w:val="18"/>
        <w:szCs w:val="18"/>
      </w:rPr>
    </w:pPr>
  </w:p>
  <w:p w:rsidR="00824A9E" w:rsidRPr="006427A1" w:rsidRDefault="00824A9E">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087B7EDC"/>
    <w:multiLevelType w:val="hybridMultilevel"/>
    <w:tmpl w:val="0D1065B4"/>
    <w:lvl w:ilvl="0" w:tplc="04090017">
      <w:start w:val="1"/>
      <w:numFmt w:val="lowerLetter"/>
      <w:lvlText w:val="%1)"/>
      <w:lvlJc w:val="left"/>
      <w:pPr>
        <w:ind w:left="1154" w:hanging="360"/>
      </w:pPr>
      <w:rPr>
        <w:rFonts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nsid w:val="3C000A7C"/>
    <w:multiLevelType w:val="hybridMultilevel"/>
    <w:tmpl w:val="EB3C106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87"/>
    <w:rsid w:val="000039EE"/>
    <w:rsid w:val="00005622"/>
    <w:rsid w:val="0002519E"/>
    <w:rsid w:val="00035B43"/>
    <w:rsid w:val="000758B3"/>
    <w:rsid w:val="00081B62"/>
    <w:rsid w:val="000B0D96"/>
    <w:rsid w:val="000B59D8"/>
    <w:rsid w:val="000C3377"/>
    <w:rsid w:val="000C56BE"/>
    <w:rsid w:val="000E78F9"/>
    <w:rsid w:val="001026FD"/>
    <w:rsid w:val="00115DD7"/>
    <w:rsid w:val="00141890"/>
    <w:rsid w:val="00151487"/>
    <w:rsid w:val="00160E45"/>
    <w:rsid w:val="00167472"/>
    <w:rsid w:val="00167F92"/>
    <w:rsid w:val="00173738"/>
    <w:rsid w:val="001A490C"/>
    <w:rsid w:val="001B79A3"/>
    <w:rsid w:val="00205FC2"/>
    <w:rsid w:val="002152A3"/>
    <w:rsid w:val="002547CC"/>
    <w:rsid w:val="00260B17"/>
    <w:rsid w:val="002A5CFD"/>
    <w:rsid w:val="002B650D"/>
    <w:rsid w:val="002E5B3E"/>
    <w:rsid w:val="00333A80"/>
    <w:rsid w:val="003579BF"/>
    <w:rsid w:val="00364E95"/>
    <w:rsid w:val="00372875"/>
    <w:rsid w:val="003B1E80"/>
    <w:rsid w:val="003B66E8"/>
    <w:rsid w:val="004033F1"/>
    <w:rsid w:val="00414B0C"/>
    <w:rsid w:val="004257AC"/>
    <w:rsid w:val="0043711B"/>
    <w:rsid w:val="00441134"/>
    <w:rsid w:val="004871ED"/>
    <w:rsid w:val="004950E8"/>
    <w:rsid w:val="004B732E"/>
    <w:rsid w:val="004D51F4"/>
    <w:rsid w:val="004D64E0"/>
    <w:rsid w:val="004E68AB"/>
    <w:rsid w:val="0051210D"/>
    <w:rsid w:val="005136D2"/>
    <w:rsid w:val="00517A03"/>
    <w:rsid w:val="00566D4A"/>
    <w:rsid w:val="00567596"/>
    <w:rsid w:val="005A3DD9"/>
    <w:rsid w:val="005B1DFC"/>
    <w:rsid w:val="005B35AE"/>
    <w:rsid w:val="005B56CE"/>
    <w:rsid w:val="005B6CB7"/>
    <w:rsid w:val="00601682"/>
    <w:rsid w:val="00616EE5"/>
    <w:rsid w:val="00617B30"/>
    <w:rsid w:val="006333F7"/>
    <w:rsid w:val="006427A1"/>
    <w:rsid w:val="00644741"/>
    <w:rsid w:val="00681E50"/>
    <w:rsid w:val="006A6FFE"/>
    <w:rsid w:val="006C5A91"/>
    <w:rsid w:val="00716BBC"/>
    <w:rsid w:val="007321BC"/>
    <w:rsid w:val="00750425"/>
    <w:rsid w:val="00760063"/>
    <w:rsid w:val="00775E4B"/>
    <w:rsid w:val="0079553B"/>
    <w:rsid w:val="007A40FE"/>
    <w:rsid w:val="007A5DB9"/>
    <w:rsid w:val="007B6CFB"/>
    <w:rsid w:val="00810105"/>
    <w:rsid w:val="008157E0"/>
    <w:rsid w:val="00824A9E"/>
    <w:rsid w:val="00827603"/>
    <w:rsid w:val="008543B2"/>
    <w:rsid w:val="00854E1D"/>
    <w:rsid w:val="00887FA6"/>
    <w:rsid w:val="008C4397"/>
    <w:rsid w:val="008C465A"/>
    <w:rsid w:val="008F2C9B"/>
    <w:rsid w:val="008F7203"/>
    <w:rsid w:val="00923CD6"/>
    <w:rsid w:val="00930651"/>
    <w:rsid w:val="00935AA8"/>
    <w:rsid w:val="00971C9A"/>
    <w:rsid w:val="009915D5"/>
    <w:rsid w:val="009D51FA"/>
    <w:rsid w:val="009F1E23"/>
    <w:rsid w:val="00A15179"/>
    <w:rsid w:val="00A4406E"/>
    <w:rsid w:val="00A45752"/>
    <w:rsid w:val="00A51537"/>
    <w:rsid w:val="00A5280F"/>
    <w:rsid w:val="00A60FC1"/>
    <w:rsid w:val="00A61CD1"/>
    <w:rsid w:val="00A97C37"/>
    <w:rsid w:val="00AC2373"/>
    <w:rsid w:val="00AC37B5"/>
    <w:rsid w:val="00AD752F"/>
    <w:rsid w:val="00B278AA"/>
    <w:rsid w:val="00B27B41"/>
    <w:rsid w:val="00B8573E"/>
    <w:rsid w:val="00BB24C0"/>
    <w:rsid w:val="00C07AA5"/>
    <w:rsid w:val="00C10B3A"/>
    <w:rsid w:val="00C119D6"/>
    <w:rsid w:val="00C1232C"/>
    <w:rsid w:val="00C26F2E"/>
    <w:rsid w:val="00C313C9"/>
    <w:rsid w:val="00C45376"/>
    <w:rsid w:val="00C533F2"/>
    <w:rsid w:val="00C9028F"/>
    <w:rsid w:val="00C9382D"/>
    <w:rsid w:val="00CA0416"/>
    <w:rsid w:val="00CB1125"/>
    <w:rsid w:val="00CD042E"/>
    <w:rsid w:val="00CF2560"/>
    <w:rsid w:val="00CF42BC"/>
    <w:rsid w:val="00CF5B46"/>
    <w:rsid w:val="00D038F5"/>
    <w:rsid w:val="00D250B5"/>
    <w:rsid w:val="00D46B68"/>
    <w:rsid w:val="00D542A5"/>
    <w:rsid w:val="00DA7239"/>
    <w:rsid w:val="00DB613D"/>
    <w:rsid w:val="00DC3D47"/>
    <w:rsid w:val="00DD77DA"/>
    <w:rsid w:val="00E06C61"/>
    <w:rsid w:val="00E13DB3"/>
    <w:rsid w:val="00E2408B"/>
    <w:rsid w:val="00E40206"/>
    <w:rsid w:val="00E72AE1"/>
    <w:rsid w:val="00E94804"/>
    <w:rsid w:val="00EB4965"/>
    <w:rsid w:val="00ED6A7A"/>
    <w:rsid w:val="00F02C24"/>
    <w:rsid w:val="00F179EB"/>
    <w:rsid w:val="00F25E33"/>
    <w:rsid w:val="00F346CE"/>
    <w:rsid w:val="00F34F98"/>
    <w:rsid w:val="00F40540"/>
    <w:rsid w:val="00F43697"/>
    <w:rsid w:val="00F8742A"/>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CommentReference">
    <w:name w:val="annotation reference"/>
    <w:basedOn w:val="DefaultParagraphFont"/>
    <w:rsid w:val="00205FC2"/>
    <w:rPr>
      <w:sz w:val="16"/>
      <w:szCs w:val="16"/>
    </w:rPr>
  </w:style>
  <w:style w:type="paragraph" w:styleId="CommentText">
    <w:name w:val="annotation text"/>
    <w:basedOn w:val="Normal"/>
    <w:link w:val="CommentTextChar"/>
    <w:rsid w:val="00205FC2"/>
    <w:rPr>
      <w:sz w:val="20"/>
    </w:rPr>
  </w:style>
  <w:style w:type="character" w:customStyle="1" w:styleId="CommentTextChar">
    <w:name w:val="Comment Text Char"/>
    <w:basedOn w:val="DefaultParagraphFont"/>
    <w:link w:val="CommentText"/>
    <w:rsid w:val="00205FC2"/>
    <w:rPr>
      <w:rFonts w:ascii="Times New Roman" w:hAnsi="Times New Roman"/>
      <w:lang w:val="fr-FR" w:eastAsia="en-US"/>
    </w:rPr>
  </w:style>
  <w:style w:type="paragraph" w:styleId="ListParagraph">
    <w:name w:val="List Paragraph"/>
    <w:basedOn w:val="Normal"/>
    <w:uiPriority w:val="34"/>
    <w:qFormat/>
    <w:rsid w:val="005B6CB7"/>
    <w:pPr>
      <w:overflowPunct/>
      <w:autoSpaceDE/>
      <w:autoSpaceDN/>
      <w:adjustRightInd/>
      <w:ind w:left="720"/>
      <w:contextualSpacing/>
      <w:textAlignment w:val="auto"/>
    </w:pPr>
    <w:rPr>
      <w:lang w:val="en-GB"/>
    </w:rPr>
  </w:style>
  <w:style w:type="paragraph" w:customStyle="1" w:styleId="Reasons">
    <w:name w:val="Reasons"/>
    <w:basedOn w:val="Normal"/>
    <w:qFormat/>
    <w:rsid w:val="002A5CFD"/>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F43697"/>
    <w:pPr>
      <w:spacing w:before="0"/>
    </w:pPr>
    <w:rPr>
      <w:rFonts w:ascii="Tahoma" w:hAnsi="Tahoma" w:cs="Tahoma"/>
      <w:sz w:val="16"/>
      <w:szCs w:val="16"/>
    </w:rPr>
  </w:style>
  <w:style w:type="character" w:customStyle="1" w:styleId="BalloonTextChar">
    <w:name w:val="Balloon Text Char"/>
    <w:basedOn w:val="DefaultParagraphFont"/>
    <w:link w:val="BalloonText"/>
    <w:rsid w:val="00F43697"/>
    <w:rPr>
      <w:rFonts w:ascii="Tahoma" w:hAnsi="Tahoma" w:cs="Tahoma"/>
      <w:sz w:val="16"/>
      <w:szCs w:val="16"/>
      <w:lang w:val="fr-FR" w:eastAsia="en-US"/>
    </w:rPr>
  </w:style>
  <w:style w:type="character" w:styleId="FollowedHyperlink">
    <w:name w:val="FollowedHyperlink"/>
    <w:basedOn w:val="DefaultParagraphFont"/>
    <w:rsid w:val="00E402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CommentReference">
    <w:name w:val="annotation reference"/>
    <w:basedOn w:val="DefaultParagraphFont"/>
    <w:rsid w:val="00205FC2"/>
    <w:rPr>
      <w:sz w:val="16"/>
      <w:szCs w:val="16"/>
    </w:rPr>
  </w:style>
  <w:style w:type="paragraph" w:styleId="CommentText">
    <w:name w:val="annotation text"/>
    <w:basedOn w:val="Normal"/>
    <w:link w:val="CommentTextChar"/>
    <w:rsid w:val="00205FC2"/>
    <w:rPr>
      <w:sz w:val="20"/>
    </w:rPr>
  </w:style>
  <w:style w:type="character" w:customStyle="1" w:styleId="CommentTextChar">
    <w:name w:val="Comment Text Char"/>
    <w:basedOn w:val="DefaultParagraphFont"/>
    <w:link w:val="CommentText"/>
    <w:rsid w:val="00205FC2"/>
    <w:rPr>
      <w:rFonts w:ascii="Times New Roman" w:hAnsi="Times New Roman"/>
      <w:lang w:val="fr-FR" w:eastAsia="en-US"/>
    </w:rPr>
  </w:style>
  <w:style w:type="paragraph" w:styleId="ListParagraph">
    <w:name w:val="List Paragraph"/>
    <w:basedOn w:val="Normal"/>
    <w:uiPriority w:val="34"/>
    <w:qFormat/>
    <w:rsid w:val="005B6CB7"/>
    <w:pPr>
      <w:overflowPunct/>
      <w:autoSpaceDE/>
      <w:autoSpaceDN/>
      <w:adjustRightInd/>
      <w:ind w:left="720"/>
      <w:contextualSpacing/>
      <w:textAlignment w:val="auto"/>
    </w:pPr>
    <w:rPr>
      <w:lang w:val="en-GB"/>
    </w:rPr>
  </w:style>
  <w:style w:type="paragraph" w:customStyle="1" w:styleId="Reasons">
    <w:name w:val="Reasons"/>
    <w:basedOn w:val="Normal"/>
    <w:qFormat/>
    <w:rsid w:val="002A5CFD"/>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F43697"/>
    <w:pPr>
      <w:spacing w:before="0"/>
    </w:pPr>
    <w:rPr>
      <w:rFonts w:ascii="Tahoma" w:hAnsi="Tahoma" w:cs="Tahoma"/>
      <w:sz w:val="16"/>
      <w:szCs w:val="16"/>
    </w:rPr>
  </w:style>
  <w:style w:type="character" w:customStyle="1" w:styleId="BalloonTextChar">
    <w:name w:val="Balloon Text Char"/>
    <w:basedOn w:val="DefaultParagraphFont"/>
    <w:link w:val="BalloonText"/>
    <w:rsid w:val="00F43697"/>
    <w:rPr>
      <w:rFonts w:ascii="Tahoma" w:hAnsi="Tahoma" w:cs="Tahoma"/>
      <w:sz w:val="16"/>
      <w:szCs w:val="16"/>
      <w:lang w:val="fr-FR" w:eastAsia="en-US"/>
    </w:rPr>
  </w:style>
  <w:style w:type="character" w:styleId="FollowedHyperlink">
    <w:name w:val="FollowedHyperlink"/>
    <w:basedOn w:val="DefaultParagraphFont"/>
    <w:rsid w:val="00E402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oth/T0202.aspx?parent=T020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ITU-T/secured/misuse/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T01-TSB-CIR-0066/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worksem/oi-acp/index.html" TargetMode="External"/><Relationship Id="rId5" Type="http://schemas.openxmlformats.org/officeDocument/2006/relationships/settings" Target="settings.xml"/><Relationship Id="rId15" Type="http://schemas.openxmlformats.org/officeDocument/2006/relationships/hyperlink" Target="mailto:tsbsg2@itu.int" TargetMode="External"/><Relationship Id="rId10" Type="http://schemas.openxmlformats.org/officeDocument/2006/relationships/hyperlink" Target="mailto:tsbsg2@itu.in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T09-SG03-C-0097/e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nouldc\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865FA-9549-497D-812F-0C45852D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0</TotalTime>
  <Pages>4</Pages>
  <Words>1682</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11783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Arnould, Carinne-Jeanne</dc:creator>
  <cp:lastModifiedBy>Papara, Marion</cp:lastModifiedBy>
  <cp:revision>2</cp:revision>
  <cp:lastPrinted>2012-07-02T13:20:00Z</cp:lastPrinted>
  <dcterms:created xsi:type="dcterms:W3CDTF">2012-07-03T07:27:00Z</dcterms:created>
  <dcterms:modified xsi:type="dcterms:W3CDTF">2012-07-03T07:27:00Z</dcterms:modified>
</cp:coreProperties>
</file>