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Tr="00ED6A7A">
        <w:trPr>
          <w:cantSplit/>
        </w:trPr>
        <w:tc>
          <w:tcPr>
            <w:tcW w:w="6426" w:type="dxa"/>
            <w:vAlign w:val="center"/>
          </w:tcPr>
          <w:p w:rsidR="00ED6A7A" w:rsidRPr="00E329A5" w:rsidRDefault="00ED6A7A"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ED6A7A"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D74AB08" wp14:editId="4FD21438">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F50108" w:rsidTr="00ED6A7A">
        <w:trPr>
          <w:cantSplit/>
        </w:trPr>
        <w:tc>
          <w:tcPr>
            <w:tcW w:w="6426" w:type="dxa"/>
            <w:vAlign w:val="center"/>
          </w:tcPr>
          <w:p w:rsidR="00ED6A7A" w:rsidRPr="00F50108" w:rsidRDefault="00ED6A7A" w:rsidP="00A5280F">
            <w:pPr>
              <w:tabs>
                <w:tab w:val="right" w:pos="8732"/>
              </w:tabs>
              <w:spacing w:before="0"/>
              <w:rPr>
                <w:rFonts w:ascii="Verdana" w:hAnsi="Verdana"/>
                <w:b/>
                <w:bCs/>
                <w:iCs/>
                <w:sz w:val="18"/>
                <w:szCs w:val="18"/>
              </w:rPr>
            </w:pPr>
          </w:p>
        </w:tc>
        <w:tc>
          <w:tcPr>
            <w:tcW w:w="3355" w:type="dxa"/>
            <w:vAlign w:val="center"/>
          </w:tcPr>
          <w:p w:rsidR="00ED6A7A" w:rsidRPr="006A675E" w:rsidRDefault="00ED6A7A" w:rsidP="00A5280F">
            <w:pPr>
              <w:spacing w:before="0"/>
              <w:ind w:left="993" w:hanging="993"/>
              <w:jc w:val="right"/>
              <w:rPr>
                <w:rFonts w:ascii="Verdana" w:hAnsi="Verdana"/>
                <w:sz w:val="18"/>
                <w:szCs w:val="18"/>
              </w:rPr>
            </w:pPr>
          </w:p>
        </w:tc>
      </w:tr>
    </w:tbl>
    <w:p w:rsidR="00ED6A7A" w:rsidRDefault="00ED6A7A" w:rsidP="00A5280F">
      <w:pPr>
        <w:tabs>
          <w:tab w:val="clear" w:pos="794"/>
          <w:tab w:val="clear" w:pos="1191"/>
          <w:tab w:val="clear" w:pos="1588"/>
          <w:tab w:val="clear" w:pos="1985"/>
          <w:tab w:val="left" w:pos="4962"/>
        </w:tabs>
      </w:pPr>
      <w:r>
        <w:tab/>
        <w:t xml:space="preserve">Genève, le </w:t>
      </w:r>
      <w:r w:rsidR="00C756AF">
        <w:t>11 juin 2012</w:t>
      </w:r>
    </w:p>
    <w:p w:rsidR="00ED6A7A" w:rsidRDefault="00ED6A7A" w:rsidP="00A5280F">
      <w:pPr>
        <w:spacing w:before="0" w:after="24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ED6A7A" w:rsidTr="00ED6A7A">
        <w:trPr>
          <w:cantSplit/>
        </w:trPr>
        <w:tc>
          <w:tcPr>
            <w:tcW w:w="822" w:type="dxa"/>
          </w:tcPr>
          <w:p w:rsidR="00367F93" w:rsidRDefault="00ED6A7A" w:rsidP="00367F93">
            <w:pPr>
              <w:tabs>
                <w:tab w:val="left" w:pos="4111"/>
              </w:tabs>
              <w:spacing w:before="40"/>
              <w:rPr>
                <w:szCs w:val="24"/>
              </w:rPr>
            </w:pPr>
            <w:r w:rsidRPr="00367F93">
              <w:rPr>
                <w:szCs w:val="24"/>
              </w:rPr>
              <w:t>Réf.:</w:t>
            </w:r>
            <w:r w:rsidR="00367F93" w:rsidRPr="00367F93">
              <w:rPr>
                <w:szCs w:val="24"/>
              </w:rPr>
              <w:br/>
            </w:r>
          </w:p>
          <w:p w:rsidR="00367F93" w:rsidRDefault="00367F93" w:rsidP="00367F93">
            <w:pPr>
              <w:tabs>
                <w:tab w:val="left" w:pos="4111"/>
              </w:tabs>
              <w:spacing w:before="40"/>
              <w:rPr>
                <w:szCs w:val="24"/>
              </w:rPr>
            </w:pPr>
          </w:p>
          <w:p w:rsidR="00367F93" w:rsidRPr="00367F93" w:rsidRDefault="00367F93" w:rsidP="00367F93">
            <w:pPr>
              <w:tabs>
                <w:tab w:val="left" w:pos="4111"/>
              </w:tabs>
              <w:spacing w:before="40"/>
              <w:rPr>
                <w:szCs w:val="24"/>
              </w:rPr>
            </w:pPr>
          </w:p>
          <w:p w:rsidR="00367F93" w:rsidRPr="00367F93" w:rsidRDefault="00367F93" w:rsidP="00367F93">
            <w:pPr>
              <w:tabs>
                <w:tab w:val="left" w:pos="4111"/>
              </w:tabs>
              <w:spacing w:before="40"/>
              <w:rPr>
                <w:szCs w:val="24"/>
              </w:rPr>
            </w:pPr>
            <w:r w:rsidRPr="00367F93">
              <w:rPr>
                <w:szCs w:val="24"/>
              </w:rPr>
              <w:t>Tél.:</w:t>
            </w:r>
            <w:r w:rsidRPr="00367F93">
              <w:rPr>
                <w:szCs w:val="24"/>
              </w:rPr>
              <w:br/>
              <w:t>Fax:</w:t>
            </w:r>
          </w:p>
        </w:tc>
        <w:tc>
          <w:tcPr>
            <w:tcW w:w="4055" w:type="dxa"/>
          </w:tcPr>
          <w:p w:rsidR="00ED6A7A" w:rsidRPr="00367F93" w:rsidRDefault="00C756AF" w:rsidP="00367F93">
            <w:pPr>
              <w:tabs>
                <w:tab w:val="left" w:pos="4111"/>
              </w:tabs>
              <w:spacing w:before="40"/>
              <w:rPr>
                <w:szCs w:val="24"/>
                <w:lang w:val="en-US"/>
              </w:rPr>
            </w:pPr>
            <w:proofErr w:type="spellStart"/>
            <w:r w:rsidRPr="00367F93">
              <w:rPr>
                <w:b/>
                <w:szCs w:val="24"/>
                <w:lang w:val="en-US"/>
              </w:rPr>
              <w:t>Circulaire</w:t>
            </w:r>
            <w:proofErr w:type="spellEnd"/>
            <w:r w:rsidRPr="00367F93">
              <w:rPr>
                <w:b/>
                <w:szCs w:val="24"/>
                <w:lang w:val="en-US"/>
              </w:rPr>
              <w:t xml:space="preserve"> TSB 276</w:t>
            </w:r>
            <w:r w:rsidR="00367F93" w:rsidRPr="00367F93">
              <w:rPr>
                <w:b/>
                <w:szCs w:val="24"/>
                <w:lang w:val="en-US"/>
              </w:rPr>
              <w:br/>
            </w:r>
            <w:r w:rsidR="006968AF" w:rsidRPr="00367F93">
              <w:rPr>
                <w:szCs w:val="24"/>
                <w:lang w:val="en-US"/>
              </w:rPr>
              <w:t xml:space="preserve">TSB </w:t>
            </w:r>
            <w:proofErr w:type="spellStart"/>
            <w:r w:rsidR="006968AF" w:rsidRPr="00367F93">
              <w:rPr>
                <w:szCs w:val="24"/>
                <w:lang w:val="en-US"/>
              </w:rPr>
              <w:t>Kaléidoscope</w:t>
            </w:r>
            <w:proofErr w:type="spellEnd"/>
            <w:r w:rsidR="006968AF" w:rsidRPr="00367F93">
              <w:rPr>
                <w:szCs w:val="24"/>
                <w:lang w:val="en-US"/>
              </w:rPr>
              <w:t>/AM</w:t>
            </w:r>
          </w:p>
          <w:p w:rsidR="00367F93" w:rsidRDefault="00367F93" w:rsidP="00367F93">
            <w:pPr>
              <w:tabs>
                <w:tab w:val="left" w:pos="4111"/>
              </w:tabs>
              <w:spacing w:before="40"/>
              <w:rPr>
                <w:szCs w:val="24"/>
                <w:lang w:val="en-US"/>
              </w:rPr>
            </w:pPr>
          </w:p>
          <w:p w:rsidR="00367F93" w:rsidRPr="00367F93" w:rsidRDefault="00367F93" w:rsidP="00367F93">
            <w:pPr>
              <w:tabs>
                <w:tab w:val="left" w:pos="4111"/>
              </w:tabs>
              <w:spacing w:before="40"/>
              <w:rPr>
                <w:szCs w:val="24"/>
                <w:lang w:val="en-US"/>
              </w:rPr>
            </w:pPr>
          </w:p>
          <w:p w:rsidR="00367F93" w:rsidRPr="00367F93" w:rsidRDefault="00367F93" w:rsidP="00367F93">
            <w:pPr>
              <w:tabs>
                <w:tab w:val="left" w:pos="4111"/>
              </w:tabs>
              <w:spacing w:before="40"/>
              <w:rPr>
                <w:szCs w:val="24"/>
                <w:lang w:val="en-US"/>
              </w:rPr>
            </w:pPr>
            <w:r w:rsidRPr="00367F93">
              <w:rPr>
                <w:szCs w:val="24"/>
                <w:lang w:val="en-US"/>
              </w:rPr>
              <w:t>+41 22 730 5882</w:t>
            </w:r>
            <w:r w:rsidRPr="00367F93">
              <w:rPr>
                <w:szCs w:val="24"/>
                <w:lang w:val="en-US"/>
              </w:rPr>
              <w:br/>
              <w:t>+41 22 730 5853</w:t>
            </w:r>
          </w:p>
        </w:tc>
        <w:tc>
          <w:tcPr>
            <w:tcW w:w="5329" w:type="dxa"/>
          </w:tcPr>
          <w:p w:rsidR="00ED6A7A" w:rsidRDefault="00ED6A7A" w:rsidP="00A5280F">
            <w:pPr>
              <w:numPr>
                <w:ilvl w:val="0"/>
                <w:numId w:val="3"/>
              </w:numPr>
              <w:tabs>
                <w:tab w:val="clear" w:pos="794"/>
                <w:tab w:val="clear" w:pos="1191"/>
                <w:tab w:val="clear" w:pos="1588"/>
                <w:tab w:val="clear" w:pos="1985"/>
                <w:tab w:val="left" w:pos="284"/>
              </w:tabs>
              <w:spacing w:before="0"/>
            </w:pPr>
            <w:r>
              <w:t>Aux administrations des Etats Membres de l</w:t>
            </w:r>
            <w:r w:rsidR="00167472">
              <w:t>'</w:t>
            </w:r>
            <w:r>
              <w:t>Union;</w:t>
            </w:r>
          </w:p>
          <w:p w:rsidR="00ED6A7A" w:rsidRDefault="00ED6A7A" w:rsidP="00A5280F">
            <w:pPr>
              <w:numPr>
                <w:ilvl w:val="0"/>
                <w:numId w:val="3"/>
              </w:numPr>
              <w:tabs>
                <w:tab w:val="clear" w:pos="794"/>
                <w:tab w:val="clear" w:pos="1191"/>
                <w:tab w:val="clear" w:pos="1588"/>
                <w:tab w:val="clear" w:pos="1985"/>
                <w:tab w:val="left" w:pos="284"/>
              </w:tabs>
              <w:spacing w:before="0"/>
            </w:pPr>
            <w:r>
              <w:t>Aux Membres du Secteur UIT-T;</w:t>
            </w:r>
          </w:p>
          <w:p w:rsidR="00ED6A7A" w:rsidRDefault="00ED6A7A" w:rsidP="00A5280F">
            <w:pPr>
              <w:numPr>
                <w:ilvl w:val="0"/>
                <w:numId w:val="3"/>
              </w:numPr>
              <w:tabs>
                <w:tab w:val="clear" w:pos="794"/>
                <w:tab w:val="clear" w:pos="1191"/>
                <w:tab w:val="clear" w:pos="1588"/>
                <w:tab w:val="clear" w:pos="1985"/>
                <w:tab w:val="left" w:pos="284"/>
              </w:tabs>
              <w:spacing w:before="0"/>
            </w:pPr>
            <w:r>
              <w:t>Aux Associés de l</w:t>
            </w:r>
            <w:r w:rsidR="00167472">
              <w:t>'</w:t>
            </w:r>
            <w:r>
              <w:t>UIT-T</w:t>
            </w:r>
            <w:r w:rsidR="00CF5B46">
              <w:t>;</w:t>
            </w:r>
          </w:p>
          <w:p w:rsidR="00ED6A7A" w:rsidRDefault="000C56BE" w:rsidP="00A5280F">
            <w:pPr>
              <w:numPr>
                <w:ilvl w:val="0"/>
                <w:numId w:val="3"/>
              </w:numPr>
              <w:tabs>
                <w:tab w:val="clear" w:pos="794"/>
                <w:tab w:val="clear" w:pos="1191"/>
                <w:tab w:val="clear" w:pos="1588"/>
                <w:tab w:val="clear" w:pos="1985"/>
                <w:tab w:val="left" w:pos="284"/>
              </w:tabs>
              <w:spacing w:before="0"/>
              <w:ind w:left="284" w:hanging="227"/>
            </w:pPr>
            <w:r>
              <w:t>Aux établissements universitaires participant aux travaux de l'UIT-T</w:t>
            </w:r>
          </w:p>
          <w:p w:rsidR="00ED6A7A" w:rsidRDefault="00ED6A7A" w:rsidP="00A5280F">
            <w:pPr>
              <w:tabs>
                <w:tab w:val="clear" w:pos="794"/>
                <w:tab w:val="clear" w:pos="1191"/>
                <w:tab w:val="clear" w:pos="1588"/>
                <w:tab w:val="clear" w:pos="1985"/>
                <w:tab w:val="left" w:pos="284"/>
              </w:tabs>
              <w:spacing w:before="0"/>
              <w:ind w:left="57"/>
            </w:pPr>
          </w:p>
        </w:tc>
      </w:tr>
      <w:tr w:rsidR="00ED6A7A" w:rsidTr="00ED6A7A">
        <w:trPr>
          <w:cantSplit/>
        </w:trPr>
        <w:tc>
          <w:tcPr>
            <w:tcW w:w="822" w:type="dxa"/>
          </w:tcPr>
          <w:p w:rsidR="00ED6A7A" w:rsidRDefault="00ED6A7A" w:rsidP="00A5280F">
            <w:pPr>
              <w:tabs>
                <w:tab w:val="left" w:pos="4111"/>
              </w:tabs>
              <w:spacing w:before="10"/>
              <w:rPr>
                <w:sz w:val="22"/>
              </w:rPr>
            </w:pPr>
          </w:p>
          <w:p w:rsidR="00ED6A7A" w:rsidRDefault="00ED6A7A"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E-mail:</w:t>
            </w:r>
          </w:p>
        </w:tc>
        <w:tc>
          <w:tcPr>
            <w:tcW w:w="4055" w:type="dxa"/>
          </w:tcPr>
          <w:p w:rsidR="00ED6A7A" w:rsidRDefault="00ED6A7A" w:rsidP="00A5280F">
            <w:pPr>
              <w:tabs>
                <w:tab w:val="left" w:pos="4111"/>
              </w:tabs>
              <w:spacing w:before="0"/>
            </w:pPr>
          </w:p>
          <w:p w:rsidR="00ED6A7A" w:rsidRDefault="00FA78E9" w:rsidP="00C756AF">
            <w:pPr>
              <w:pStyle w:val="Index1"/>
              <w:tabs>
                <w:tab w:val="left" w:pos="4111"/>
              </w:tabs>
              <w:spacing w:before="0"/>
            </w:pPr>
            <w:hyperlink r:id="rId10" w:history="1">
              <w:r w:rsidR="00C756AF" w:rsidRPr="00E510E8">
                <w:rPr>
                  <w:rStyle w:val="Hyperlink"/>
                </w:rPr>
                <w:t>kaleidoscope@itu.int</w:t>
              </w:r>
            </w:hyperlink>
            <w:r w:rsidR="00ED6A7A">
              <w:t xml:space="preserve"> </w:t>
            </w:r>
          </w:p>
        </w:tc>
        <w:tc>
          <w:tcPr>
            <w:tcW w:w="5329" w:type="dxa"/>
          </w:tcPr>
          <w:p w:rsidR="00ED6A7A" w:rsidRDefault="00ED6A7A" w:rsidP="00A5280F">
            <w:pPr>
              <w:tabs>
                <w:tab w:val="left" w:pos="4111"/>
              </w:tabs>
              <w:spacing w:before="0"/>
            </w:pPr>
            <w:r>
              <w:rPr>
                <w:b/>
              </w:rPr>
              <w:t>Copie</w:t>
            </w:r>
            <w:r>
              <w:t>:</w:t>
            </w:r>
          </w:p>
          <w:p w:rsidR="00ED6A7A" w:rsidRDefault="00ED6A7A" w:rsidP="00921A55">
            <w:pPr>
              <w:tabs>
                <w:tab w:val="clear" w:pos="794"/>
                <w:tab w:val="clear" w:pos="1191"/>
                <w:tab w:val="clear" w:pos="1588"/>
                <w:tab w:val="clear" w:pos="1985"/>
                <w:tab w:val="left" w:pos="226"/>
                <w:tab w:val="left" w:pos="4111"/>
              </w:tabs>
              <w:spacing w:before="0"/>
              <w:ind w:left="226" w:hanging="226"/>
            </w:pPr>
            <w:r>
              <w:t>-</w:t>
            </w:r>
            <w:r>
              <w:tab/>
              <w:t xml:space="preserve">Aux Président et Vice-Présidents </w:t>
            </w:r>
            <w:r w:rsidR="00921A55">
              <w:t>des</w:t>
            </w:r>
            <w:r>
              <w:t xml:space="preserve"> </w:t>
            </w:r>
            <w:r>
              <w:br/>
              <w:t>Commission</w:t>
            </w:r>
            <w:r w:rsidR="00921A55">
              <w:t>s</w:t>
            </w:r>
            <w:r>
              <w:t xml:space="preserve"> d</w:t>
            </w:r>
            <w:r w:rsidR="00167472">
              <w:t>'</w:t>
            </w:r>
            <w:r w:rsidR="00C756AF">
              <w:t>études de l'UIT-T</w:t>
            </w:r>
            <w:r>
              <w:t>;</w:t>
            </w:r>
          </w:p>
          <w:p w:rsidR="00ED6A7A" w:rsidRDefault="00ED6A7A" w:rsidP="00A5280F">
            <w:pPr>
              <w:tabs>
                <w:tab w:val="clear" w:pos="794"/>
                <w:tab w:val="clear" w:pos="1191"/>
                <w:tab w:val="clear" w:pos="1588"/>
                <w:tab w:val="clear" w:pos="1985"/>
                <w:tab w:val="left" w:pos="226"/>
                <w:tab w:val="left" w:pos="4111"/>
              </w:tabs>
              <w:spacing w:before="0"/>
              <w:ind w:left="226" w:hanging="226"/>
            </w:pPr>
            <w:r>
              <w:t>-</w:t>
            </w:r>
            <w:r>
              <w:tab/>
              <w:t>Au Directeur du Bureau de développement des télécommunications;</w:t>
            </w:r>
          </w:p>
          <w:p w:rsidR="00ED6A7A" w:rsidRDefault="00921A55" w:rsidP="00A5280F">
            <w:pPr>
              <w:tabs>
                <w:tab w:val="clear" w:pos="794"/>
                <w:tab w:val="clear" w:pos="1191"/>
                <w:tab w:val="clear" w:pos="1588"/>
                <w:tab w:val="clear" w:pos="1985"/>
                <w:tab w:val="left" w:pos="218"/>
              </w:tabs>
              <w:spacing w:before="0"/>
              <w:ind w:left="218" w:hanging="218"/>
            </w:pPr>
            <w:r>
              <w:t>-</w:t>
            </w:r>
            <w:r>
              <w:tab/>
              <w:t>Au Directeur du Bureau des r</w:t>
            </w:r>
            <w:r w:rsidR="00ED6A7A">
              <w:t>adiocommunications</w:t>
            </w:r>
          </w:p>
        </w:tc>
      </w:tr>
    </w:tbl>
    <w:p w:rsidR="00ED6A7A" w:rsidRDefault="00ED6A7A" w:rsidP="00367F93">
      <w:pPr>
        <w:spacing w:before="240"/>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D6A7A" w:rsidTr="00367F93">
        <w:trPr>
          <w:cantSplit/>
          <w:trHeight w:val="680"/>
        </w:trPr>
        <w:tc>
          <w:tcPr>
            <w:tcW w:w="822" w:type="dxa"/>
          </w:tcPr>
          <w:p w:rsidR="00ED6A7A" w:rsidRDefault="00ED6A7A" w:rsidP="00A5280F">
            <w:pPr>
              <w:tabs>
                <w:tab w:val="left" w:pos="4111"/>
              </w:tabs>
              <w:spacing w:before="10"/>
              <w:ind w:left="57"/>
              <w:rPr>
                <w:sz w:val="22"/>
              </w:rPr>
            </w:pPr>
            <w:r>
              <w:rPr>
                <w:sz w:val="22"/>
              </w:rPr>
              <w:t>Objet:</w:t>
            </w:r>
          </w:p>
        </w:tc>
        <w:tc>
          <w:tcPr>
            <w:tcW w:w="9376" w:type="dxa"/>
          </w:tcPr>
          <w:p w:rsidR="00ED6A7A" w:rsidRDefault="007F0734" w:rsidP="00367F93">
            <w:pPr>
              <w:tabs>
                <w:tab w:val="left" w:pos="4111"/>
              </w:tabs>
              <w:spacing w:before="0"/>
              <w:ind w:left="57"/>
            </w:pPr>
            <w:r>
              <w:rPr>
                <w:b/>
              </w:rPr>
              <w:t xml:space="preserve">Manifestation multidisciplinaire </w:t>
            </w:r>
            <w:r w:rsidR="00650014">
              <w:rPr>
                <w:b/>
              </w:rPr>
              <w:t>Kaléidoscope</w:t>
            </w:r>
            <w:r>
              <w:rPr>
                <w:b/>
              </w:rPr>
              <w:t xml:space="preserve"> 2013 "Bâtir des communautés durables" Kyoto (Japon), 22</w:t>
            </w:r>
            <w:r>
              <w:rPr>
                <w:b/>
              </w:rPr>
              <w:noBreakHyphen/>
              <w:t>24 avril 2013</w:t>
            </w:r>
            <w:r>
              <w:rPr>
                <w:b/>
              </w:rPr>
              <w:br/>
              <w:t>Atelier sur l'UIT et les établ</w:t>
            </w:r>
            <w:r w:rsidR="00367F93">
              <w:rPr>
                <w:b/>
              </w:rPr>
              <w:t>issements universitaires</w:t>
            </w:r>
            <w:r w:rsidR="00921A55">
              <w:rPr>
                <w:b/>
              </w:rPr>
              <w:t xml:space="preserve"> </w:t>
            </w:r>
            <w:r w:rsidR="00E256C1">
              <w:rPr>
                <w:b/>
              </w:rPr>
              <w:br/>
            </w:r>
            <w:r w:rsidR="00921A55">
              <w:rPr>
                <w:b/>
              </w:rPr>
              <w:t>Kyoto </w:t>
            </w:r>
            <w:r>
              <w:rPr>
                <w:b/>
              </w:rPr>
              <w:t>(Japon), 25 avril 2013</w:t>
            </w:r>
          </w:p>
        </w:tc>
      </w:tr>
    </w:tbl>
    <w:p w:rsidR="00ED6A7A" w:rsidRDefault="00ED6A7A" w:rsidP="00367F93">
      <w:pPr>
        <w:spacing w:before="360"/>
      </w:pPr>
      <w:r>
        <w:t>Madame, Monsieur,</w:t>
      </w:r>
    </w:p>
    <w:p w:rsidR="00ED6A7A" w:rsidRDefault="00ED6A7A" w:rsidP="00921A55">
      <w:r w:rsidRPr="00650014">
        <w:t>1</w:t>
      </w:r>
      <w:r>
        <w:tab/>
      </w:r>
      <w:r w:rsidR="007F0734">
        <w:t xml:space="preserve">Dans le cadre des manifestations multidisciplinaires </w:t>
      </w:r>
      <w:r w:rsidR="00650014">
        <w:t>Kaléidoscope</w:t>
      </w:r>
      <w:r w:rsidR="007F0734">
        <w:t>, initiative de l'UIT-T visant à accroître la coopération avec les milieux universitaires et les instituts de recherche, j'ai l'honneur de vous informer de la tenue d'une cinquième manifestation sous la forme d'une série de conférences validées par des spécialistes, dont l'objectif est d'améliorer le dialogue entre les milieux universitaires et les experts exerçant des activités en matière de normalisation des te</w:t>
      </w:r>
      <w:r w:rsidR="006968AF">
        <w:t>chnologies de l'information et de</w:t>
      </w:r>
      <w:r w:rsidR="007F0734">
        <w:t xml:space="preserve"> la communication (TIC). </w:t>
      </w:r>
      <w:r w:rsidR="00921A55">
        <w:t xml:space="preserve">La manifestation multidisciplinaire </w:t>
      </w:r>
      <w:r w:rsidR="007F0734">
        <w:t>2013 "Bâtir des communautés durables" aura lieu à l'Université de Kyoto (Japon), du 22 au 24 avril 2013, à l'aimable invitation de l'Administration japonaise.</w:t>
      </w:r>
    </w:p>
    <w:p w:rsidR="00ED6A7A" w:rsidRDefault="00ED6A7A" w:rsidP="00650014">
      <w:r w:rsidRPr="00650014">
        <w:t>2</w:t>
      </w:r>
      <w:r>
        <w:tab/>
      </w:r>
      <w:r w:rsidR="007F0734">
        <w:t xml:space="preserve">Les technologies du futur devraient être conçues pour améliorer notre qualité de vie. La manifestation </w:t>
      </w:r>
      <w:r w:rsidR="00650014">
        <w:t>Kaléidoscope</w:t>
      </w:r>
      <w:r w:rsidR="007F0734">
        <w:t> 2013 mettra en avant les aspects multidisciplinaires des TIC du futur, y compris en ce qui concerne la demande future de services et d'applications, ainsi que les aspects socio</w:t>
      </w:r>
      <w:r w:rsidR="007F0734">
        <w:noBreakHyphen/>
        <w:t xml:space="preserve">économiques, </w:t>
      </w:r>
      <w:r w:rsidR="00650014">
        <w:t>culturels, éthiques et juridiques des communautés du futur, et les politiques de développement durable qui s'y rapportent.</w:t>
      </w:r>
    </w:p>
    <w:p w:rsidR="00650014" w:rsidRDefault="00650014" w:rsidP="007F0734">
      <w:r>
        <w:t>3</w:t>
      </w:r>
      <w:r>
        <w:tab/>
        <w:t>Il est demandé aux universitaires dans le cadre de cette manifestation, de présenter des communications originales sur des conceptions inédites et novatrices de la recherche</w:t>
      </w:r>
      <w:r>
        <w:noBreakHyphen/>
        <w:t xml:space="preserve">développement en vue de </w:t>
      </w:r>
      <w:r w:rsidR="007040DF">
        <w:t>l'édification</w:t>
      </w:r>
      <w:r>
        <w:t xml:space="preserve"> de communautés ayant un mode de vie intelligent, éthique et durable. On trouvera dans l'</w:t>
      </w:r>
      <w:r w:rsidRPr="00367F93">
        <w:rPr>
          <w:b/>
          <w:bCs/>
        </w:rPr>
        <w:t>Annexe 1</w:t>
      </w:r>
      <w:r>
        <w:t xml:space="preserve"> le texte intégral de l'appel à contributions, qui devront être soumises avant le 10 septembre 2012.</w:t>
      </w:r>
    </w:p>
    <w:p w:rsidR="007040DF" w:rsidRDefault="007040DF" w:rsidP="00367F93">
      <w:pPr>
        <w:keepNext/>
        <w:keepLines/>
      </w:pPr>
      <w:r>
        <w:lastRenderedPageBreak/>
        <w:t>4</w:t>
      </w:r>
      <w:r>
        <w:tab/>
      </w:r>
      <w:r w:rsidRPr="002179AF">
        <w:t xml:space="preserve">La participation </w:t>
      </w:r>
      <w:r>
        <w:t xml:space="preserve">à la manifestation </w:t>
      </w:r>
      <w:r w:rsidRPr="002179AF">
        <w:t xml:space="preserve">est ouverte aux Etats </w:t>
      </w:r>
      <w:r>
        <w:t>Membres, aux Membres de Secteur</w:t>
      </w:r>
      <w:r w:rsidR="00921A55">
        <w:t xml:space="preserve"> et </w:t>
      </w:r>
      <w:r w:rsidRPr="002179AF">
        <w:t>aux Associés de l</w:t>
      </w:r>
      <w:r>
        <w:t>'</w:t>
      </w:r>
      <w:r w:rsidRPr="002179AF">
        <w:t>UIT</w:t>
      </w:r>
      <w:r>
        <w:t xml:space="preserve"> ainsi qu'aux établissements universitaires et à toute personne issue </w:t>
      </w:r>
      <w:r w:rsidRPr="002179AF">
        <w:t>d</w:t>
      </w:r>
      <w:r>
        <w:t>'</w:t>
      </w:r>
      <w:r w:rsidRPr="002179AF">
        <w:t xml:space="preserve">un </w:t>
      </w:r>
      <w:r>
        <w:t xml:space="preserve">Etat </w:t>
      </w:r>
      <w:r w:rsidRPr="002179AF">
        <w:t>Membre de l</w:t>
      </w:r>
      <w:r>
        <w:t>'</w:t>
      </w:r>
      <w:r w:rsidRPr="002179AF">
        <w:t>UIT qui so</w:t>
      </w:r>
      <w:r>
        <w:t xml:space="preserve">uhaite contribuer aux travaux. </w:t>
      </w:r>
      <w:r w:rsidRPr="002179AF">
        <w:t>Il peut s</w:t>
      </w:r>
      <w:r>
        <w:t>'</w:t>
      </w:r>
      <w:r w:rsidRPr="002179AF">
        <w:t>agir de personnes qui sont aussi membres d</w:t>
      </w:r>
      <w:r>
        <w:t>'</w:t>
      </w:r>
      <w:r w:rsidRPr="002179AF">
        <w:t xml:space="preserve">organisations internationales, </w:t>
      </w:r>
      <w:r>
        <w:t xml:space="preserve">régionales ou nationales. </w:t>
      </w:r>
      <w:r w:rsidRPr="002179AF">
        <w:t xml:space="preserve">La participation </w:t>
      </w:r>
      <w:r w:rsidR="00921A55">
        <w:t>à la manifestation</w:t>
      </w:r>
      <w:r w:rsidRPr="002179AF">
        <w:t xml:space="preserve"> est gratuite </w:t>
      </w:r>
      <w:r w:rsidR="006968AF">
        <w:t>et</w:t>
      </w:r>
      <w:r w:rsidRPr="002179AF">
        <w:t xml:space="preserve"> aucune bourse ne sera accordée.</w:t>
      </w:r>
    </w:p>
    <w:p w:rsidR="007040DF" w:rsidRDefault="007040DF" w:rsidP="007040DF">
      <w:pPr>
        <w:keepNext/>
        <w:keepLines/>
      </w:pPr>
      <w:r>
        <w:t>5</w:t>
      </w:r>
      <w:r>
        <w:tab/>
        <w:t xml:space="preserve">Cette conférence de la série Kaléidoscope sera suivie d'un atelier sur l'UIT et les établissements universitaires, qui se tiendra le 25 avril 2013. </w:t>
      </w:r>
      <w:r w:rsidR="00BD66A7">
        <w:t>Des informations complémentaires seront bientôt affichées sur la page web de la conférence.</w:t>
      </w:r>
    </w:p>
    <w:p w:rsidR="00BE7E01" w:rsidRDefault="00BE7E01" w:rsidP="00271B89">
      <w:pPr>
        <w:keepNext/>
        <w:keepLines/>
      </w:pPr>
      <w:r>
        <w:t>6</w:t>
      </w:r>
      <w:r>
        <w:tab/>
        <w:t>Parallèlement aux séances d'exposés et de présentations qu</w:t>
      </w:r>
      <w:r w:rsidR="00271B89">
        <w:t>i constitueront le programme de </w:t>
      </w:r>
      <w:r>
        <w:t>la manifestation 2013, une exposition sera organisée à l'Université,</w:t>
      </w:r>
      <w:r w:rsidR="00271B89">
        <w:t xml:space="preserve"> pour faciliter les échanges de </w:t>
      </w:r>
      <w:r>
        <w:t>vues et de projets dans les milieux universitaires japonais, entre les</w:t>
      </w:r>
      <w:r w:rsidR="00271B89">
        <w:t xml:space="preserve"> représentants du secteur privé -</w:t>
      </w:r>
      <w:r>
        <w:t xml:space="preserve"> spécialist</w:t>
      </w:r>
      <w:r w:rsidR="00271B89">
        <w:t>es de la normalisation des TIC -</w:t>
      </w:r>
      <w:r>
        <w:t xml:space="preserve"> et les universitaires.</w:t>
      </w:r>
    </w:p>
    <w:p w:rsidR="00BE7E01" w:rsidRDefault="00BE7E01" w:rsidP="00BE7E01">
      <w:r>
        <w:t>7</w:t>
      </w:r>
      <w:r>
        <w:tab/>
        <w:t>Nous encourageons tous les membres de l'UIT à faire connaître ces manifestations aux membres de la communauté universitaire de leurs pays respectifs.</w:t>
      </w:r>
    </w:p>
    <w:p w:rsidR="00BE7E01" w:rsidRDefault="00BE7E01" w:rsidP="00BE7E01">
      <w:r>
        <w:rPr>
          <w:lang w:val="fr-CH"/>
        </w:rPr>
        <w:t>8</w:t>
      </w:r>
      <w:r>
        <w:rPr>
          <w:lang w:val="fr-CH"/>
        </w:rPr>
        <w:tab/>
        <w:t xml:space="preserve">Des informations détaillées sur l'inscription et les dispositions pratiques seront affichées sur la page web de la manifestation: </w:t>
      </w:r>
      <w:hyperlink r:id="rId11" w:history="1">
        <w:r w:rsidRPr="00E510E8">
          <w:rPr>
            <w:rStyle w:val="Hyperlink"/>
            <w:szCs w:val="24"/>
          </w:rPr>
          <w:t>http://www.itu-kaleidoscope.org/2013</w:t>
        </w:r>
      </w:hyperlink>
      <w:r>
        <w:rPr>
          <w:szCs w:val="24"/>
        </w:rPr>
        <w:t xml:space="preserve"> à l'approche de la conférence. </w:t>
      </w:r>
      <w:r>
        <w:rPr>
          <w:b/>
          <w:szCs w:val="24"/>
        </w:rPr>
        <w:t xml:space="preserve">Veuillez noter que l'inscription préalable des participants à l'atelier s'effectuera exclusivement </w:t>
      </w:r>
      <w:r w:rsidRPr="00367F93">
        <w:rPr>
          <w:b/>
          <w:i/>
          <w:iCs/>
          <w:szCs w:val="24"/>
        </w:rPr>
        <w:t>en ligne</w:t>
      </w:r>
      <w:r>
        <w:rPr>
          <w:szCs w:val="24"/>
        </w:rPr>
        <w:t xml:space="preserve">. </w:t>
      </w:r>
    </w:p>
    <w:p w:rsidR="00BE7E01" w:rsidRDefault="00BE7E01" w:rsidP="00684714">
      <w:r>
        <w:t>9</w:t>
      </w:r>
      <w:r>
        <w:tab/>
      </w:r>
      <w:r w:rsidRPr="002179AF">
        <w:t>Nous vous rappelons que</w:t>
      </w:r>
      <w:r>
        <w:t>,</w:t>
      </w:r>
      <w:r w:rsidRPr="002179AF">
        <w:t xml:space="preserve"> pour les ressortissants de certains pays, l</w:t>
      </w:r>
      <w:r>
        <w:t>'</w:t>
      </w:r>
      <w:r w:rsidRPr="002179AF">
        <w:t>entrée et le séjour</w:t>
      </w:r>
      <w:r>
        <w:t xml:space="preserve"> au Japon, </w:t>
      </w:r>
      <w:r w:rsidRPr="002179AF">
        <w:t>sont soumis à l</w:t>
      </w:r>
      <w:r>
        <w:t>'</w:t>
      </w:r>
      <w:r w:rsidRPr="002179AF">
        <w:t>obtention d</w:t>
      </w:r>
      <w:r>
        <w:t>'</w:t>
      </w:r>
      <w:r w:rsidRPr="002179AF">
        <w:t xml:space="preserve">un visa. </w:t>
      </w:r>
      <w:r w:rsidRPr="00DD0ABE">
        <w:rPr>
          <w:bCs/>
        </w:rPr>
        <w:t xml:space="preserve">Ce visa doit être demandé </w:t>
      </w:r>
      <w:r w:rsidR="00DD0ABE" w:rsidRPr="00DD0ABE">
        <w:rPr>
          <w:bCs/>
        </w:rPr>
        <w:t xml:space="preserve">et obtenu auprès de la représentation du Japon </w:t>
      </w:r>
      <w:r w:rsidR="00DD0ABE">
        <w:rPr>
          <w:bCs/>
        </w:rPr>
        <w:t xml:space="preserve">dans votre </w:t>
      </w:r>
      <w:r w:rsidR="00E256C1">
        <w:rPr>
          <w:bCs/>
        </w:rPr>
        <w:t xml:space="preserve">pays </w:t>
      </w:r>
      <w:r w:rsidR="00DD0ABE">
        <w:rPr>
          <w:bCs/>
        </w:rPr>
        <w:t>(ambassade ou consulat) ou, à défaut, dans le pays le plus proche de votre pays de départ. Les participants qui ont besoin de r</w:t>
      </w:r>
      <w:r w:rsidR="00684714">
        <w:rPr>
          <w:bCs/>
        </w:rPr>
        <w:t xml:space="preserve">ecevoir une assistance du pays </w:t>
      </w:r>
      <w:r w:rsidR="00DD0ABE">
        <w:rPr>
          <w:bCs/>
        </w:rPr>
        <w:t xml:space="preserve">hôte pour obtenir un visa d'entrée sont priés de consulter la page web de la manifestation à l'adresse suivante: </w:t>
      </w:r>
      <w:hyperlink r:id="rId12" w:history="1">
        <w:r w:rsidR="00DD0ABE" w:rsidRPr="00E510E8">
          <w:rPr>
            <w:rStyle w:val="Hyperlink"/>
            <w:szCs w:val="24"/>
          </w:rPr>
          <w:t>www.itu-kaleidoscope.org/2013</w:t>
        </w:r>
      </w:hyperlink>
      <w:r w:rsidRPr="002179AF">
        <w:t>.</w:t>
      </w:r>
      <w:r w:rsidR="00DD0ABE">
        <w:t xml:space="preserve"> Des renseignements y seront publiés dès qu'ils seront disponibles.</w:t>
      </w:r>
    </w:p>
    <w:p w:rsidR="00ED6A7A" w:rsidRDefault="00ED6A7A" w:rsidP="00E256C1">
      <w:r>
        <w:t>Veuillez agréer, Madame, Monsieur, l</w:t>
      </w:r>
      <w:r w:rsidR="00167472">
        <w:t>'</w:t>
      </w:r>
      <w:r>
        <w:t>assurance de ma considération</w:t>
      </w:r>
      <w:r w:rsidR="00E256C1">
        <w:t xml:space="preserve"> distinguée</w:t>
      </w:r>
      <w:r>
        <w:t>.</w:t>
      </w:r>
    </w:p>
    <w:p w:rsidR="00A5280F" w:rsidRDefault="00ED6A7A" w:rsidP="00921A55">
      <w:pPr>
        <w:spacing w:before="840"/>
        <w:ind w:right="-142"/>
      </w:pPr>
      <w:r w:rsidRPr="00D5327F">
        <w:t>Malcolm Johnson</w:t>
      </w:r>
      <w:r>
        <w:br/>
        <w:t>Directeur du Bureau de la</w:t>
      </w:r>
      <w:r>
        <w:br/>
        <w:t>normalisation des télécommunications</w:t>
      </w:r>
    </w:p>
    <w:p w:rsidR="00DD0ABE" w:rsidRDefault="00DD0ABE" w:rsidP="00DD0ABE"/>
    <w:p w:rsidR="00DD0ABE" w:rsidRDefault="00DD0ABE" w:rsidP="00DD0ABE">
      <w:pPr>
        <w:rPr>
          <w:lang w:val="fr-CH"/>
        </w:rPr>
      </w:pPr>
    </w:p>
    <w:p w:rsidR="00DD0ABE" w:rsidRDefault="00DD0ABE" w:rsidP="00DD0ABE">
      <w:pPr>
        <w:rPr>
          <w:lang w:val="fr-CH"/>
        </w:rPr>
      </w:pPr>
    </w:p>
    <w:p w:rsidR="00DD0ABE" w:rsidRPr="00AD6650" w:rsidRDefault="00DD0ABE" w:rsidP="00DD0ABE">
      <w:pPr>
        <w:spacing w:before="720"/>
        <w:ind w:right="92"/>
        <w:rPr>
          <w:lang w:val="en-US"/>
        </w:rPr>
      </w:pPr>
      <w:r w:rsidRPr="00146230">
        <w:rPr>
          <w:b/>
          <w:lang w:val="en-US"/>
        </w:rPr>
        <w:t>Annex</w:t>
      </w:r>
      <w:r>
        <w:rPr>
          <w:b/>
          <w:lang w:val="en-US"/>
        </w:rPr>
        <w:t>e</w:t>
      </w:r>
      <w:r w:rsidRPr="00921A55">
        <w:rPr>
          <w:bCs/>
          <w:lang w:val="en-US"/>
        </w:rPr>
        <w:t xml:space="preserve">: </w:t>
      </w:r>
      <w:r w:rsidRPr="00684714">
        <w:rPr>
          <w:lang w:val="en-US"/>
        </w:rPr>
        <w:t>1</w:t>
      </w:r>
    </w:p>
    <w:p w:rsidR="00DD0ABE" w:rsidRDefault="00DD0ABE" w:rsidP="00A16044">
      <w:pPr>
        <w:pStyle w:val="LetterStart"/>
        <w:tabs>
          <w:tab w:val="clear" w:pos="1361"/>
          <w:tab w:val="clear" w:pos="1758"/>
          <w:tab w:val="clear" w:pos="2155"/>
          <w:tab w:val="clear" w:pos="2552"/>
          <w:tab w:val="center" w:pos="4962"/>
        </w:tabs>
        <w:spacing w:before="120" w:line="240" w:lineRule="atLeast"/>
        <w:rPr>
          <w:rStyle w:val="Hyperlink"/>
          <w:lang w:val="en-US"/>
        </w:rPr>
      </w:pPr>
      <w:r w:rsidRPr="00A271F0">
        <w:rPr>
          <w:lang w:val="en-US"/>
        </w:rPr>
        <w:br w:type="page"/>
      </w:r>
      <w:bookmarkStart w:id="0" w:name="Duties"/>
      <w:bookmarkEnd w:id="0"/>
    </w:p>
    <w:p w:rsidR="00A16044" w:rsidRPr="00D61183" w:rsidRDefault="00A16044" w:rsidP="00A16044">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0"/>
          <w:lang w:val="en-US"/>
        </w:rPr>
      </w:pPr>
      <w:r w:rsidRPr="00D61183">
        <w:rPr>
          <w:rFonts w:asciiTheme="majorBidi" w:hAnsiTheme="majorBidi" w:cstheme="majorBidi"/>
          <w:lang w:val="en-US"/>
        </w:rPr>
        <w:lastRenderedPageBreak/>
        <w:tab/>
        <w:t>ANNEX 1</w:t>
      </w:r>
      <w:r w:rsidRPr="00D61183">
        <w:rPr>
          <w:rFonts w:asciiTheme="majorBidi" w:hAnsiTheme="majorBidi" w:cstheme="majorBidi"/>
          <w:lang w:val="en-US"/>
        </w:rPr>
        <w:br/>
      </w:r>
      <w:r w:rsidRPr="00D61183">
        <w:rPr>
          <w:rFonts w:asciiTheme="majorBidi" w:hAnsiTheme="majorBidi" w:cstheme="majorBidi"/>
          <w:lang w:val="en-US"/>
        </w:rPr>
        <w:tab/>
        <w:t>(to TSB Circular 276)</w:t>
      </w:r>
      <w:r w:rsidRPr="00D61183">
        <w:rPr>
          <w:rFonts w:asciiTheme="majorBidi" w:hAnsiTheme="majorBidi" w:cstheme="majorBidi"/>
          <w:sz w:val="20"/>
          <w:lang w:val="en-US"/>
        </w:rPr>
        <w:t xml:space="preserve"> </w:t>
      </w:r>
    </w:p>
    <w:p w:rsidR="00A16044" w:rsidRPr="00D61183" w:rsidRDefault="00A16044" w:rsidP="00A16044">
      <w:pPr>
        <w:pStyle w:val="Annex"/>
        <w:spacing w:before="0"/>
        <w:rPr>
          <w:rFonts w:asciiTheme="majorBidi" w:hAnsiTheme="majorBidi" w:cstheme="majorBidi"/>
          <w:lang w:val="en-US"/>
        </w:rPr>
      </w:pPr>
    </w:p>
    <w:p w:rsidR="00A16044" w:rsidRPr="00EF368B" w:rsidRDefault="00A16044" w:rsidP="00A16044">
      <w:pPr>
        <w:jc w:val="center"/>
        <w:rPr>
          <w:b/>
          <w:bCs/>
          <w:sz w:val="28"/>
          <w:szCs w:val="28"/>
          <w:lang w:val="en-US"/>
        </w:rPr>
      </w:pPr>
      <w:r w:rsidRPr="00EF368B">
        <w:rPr>
          <w:b/>
          <w:bCs/>
          <w:sz w:val="28"/>
          <w:szCs w:val="28"/>
          <w:lang w:val="en-US"/>
        </w:rPr>
        <w:t>Building Sustainable Communities</w:t>
      </w:r>
    </w:p>
    <w:p w:rsidR="00A16044" w:rsidRPr="00EF368B" w:rsidRDefault="00A16044" w:rsidP="00A16044">
      <w:pPr>
        <w:jc w:val="center"/>
        <w:rPr>
          <w:sz w:val="22"/>
          <w:szCs w:val="22"/>
          <w:lang w:val="en-US"/>
        </w:rPr>
      </w:pPr>
      <w:r w:rsidRPr="00EF368B">
        <w:rPr>
          <w:lang w:val="en-US"/>
        </w:rPr>
        <w:t>The 5th ITU Kaleidoscope academic conference</w:t>
      </w:r>
    </w:p>
    <w:p w:rsidR="00A16044" w:rsidRPr="00EF368B" w:rsidRDefault="00A16044" w:rsidP="00A16044">
      <w:pPr>
        <w:jc w:val="center"/>
        <w:rPr>
          <w:lang w:val="en-US"/>
        </w:rPr>
      </w:pPr>
      <w:r w:rsidRPr="00EF368B">
        <w:rPr>
          <w:lang w:val="en-US"/>
        </w:rPr>
        <w:t>22–24 April 2013</w:t>
      </w:r>
    </w:p>
    <w:p w:rsidR="00A16044" w:rsidRPr="00EF368B" w:rsidRDefault="00A16044" w:rsidP="00A16044">
      <w:pPr>
        <w:jc w:val="center"/>
        <w:rPr>
          <w:lang w:val="en-US"/>
        </w:rPr>
      </w:pPr>
      <w:r w:rsidRPr="00EF368B">
        <w:rPr>
          <w:lang w:val="en-US"/>
        </w:rPr>
        <w:t>Kyoto, Japan</w:t>
      </w:r>
    </w:p>
    <w:p w:rsidR="00A16044" w:rsidRPr="00EF368B" w:rsidRDefault="00A16044" w:rsidP="00A16044">
      <w:pPr>
        <w:jc w:val="center"/>
        <w:rPr>
          <w:b/>
          <w:bCs/>
          <w:lang w:val="en-US"/>
        </w:rPr>
      </w:pPr>
      <w:r w:rsidRPr="00EF368B">
        <w:rPr>
          <w:b/>
          <w:bCs/>
          <w:lang w:val="en-US"/>
        </w:rPr>
        <w:t>Call for Papers</w:t>
      </w:r>
    </w:p>
    <w:p w:rsidR="00A16044" w:rsidRPr="00EF368B" w:rsidRDefault="00A16044" w:rsidP="00A16044">
      <w:pPr>
        <w:jc w:val="center"/>
        <w:rPr>
          <w:lang w:val="en-US"/>
        </w:rPr>
      </w:pPr>
    </w:p>
    <w:p w:rsidR="00A16044" w:rsidRPr="00EF368B" w:rsidRDefault="00A16044" w:rsidP="00A16044">
      <w:pPr>
        <w:jc w:val="center"/>
        <w:rPr>
          <w:lang w:val="en-US"/>
        </w:rPr>
      </w:pPr>
    </w:p>
    <w:p w:rsidR="00A16044" w:rsidRPr="00EF368B" w:rsidRDefault="00A16044" w:rsidP="00A16044">
      <w:pPr>
        <w:rPr>
          <w:lang w:val="en-US"/>
        </w:rPr>
      </w:pPr>
      <w:r w:rsidRPr="00EF368B">
        <w:rPr>
          <w:lang w:val="en-US"/>
        </w:rPr>
        <w:t>Kaleidoscope 2013 Building Sustainable Communities − is the fifth in a series of peer-reviewed academic conferences organized by ITU that brings together a wide range of views from universities, industry and research institutions of different fields. The aim of Kaleidoscope conferences is to identify emerging developments in Information and Communication Technologies (ICTs) at an early stage to generate successful products and services through the development of international and open standards.</w:t>
      </w:r>
    </w:p>
    <w:p w:rsidR="00A16044" w:rsidRPr="00EF368B" w:rsidRDefault="00A16044" w:rsidP="00A16044">
      <w:pPr>
        <w:rPr>
          <w:lang w:val="en-US"/>
        </w:rPr>
      </w:pPr>
      <w:r w:rsidRPr="00EF368B">
        <w:rPr>
          <w:lang w:val="en-US"/>
        </w:rPr>
        <w:t xml:space="preserve">Future technologies should be designed to enhance the quality of human life. </w:t>
      </w:r>
    </w:p>
    <w:p w:rsidR="00A16044" w:rsidRPr="00EF368B" w:rsidRDefault="00A16044" w:rsidP="00A16044">
      <w:pPr>
        <w:rPr>
          <w:lang w:val="en-US"/>
        </w:rPr>
      </w:pPr>
      <w:r w:rsidRPr="00EF368B">
        <w:rPr>
          <w:lang w:val="en-US"/>
        </w:rPr>
        <w:t xml:space="preserve">Kaleidoscope 2013 will, therefore, highlight multidisciplinary aspects of future ICTs including future services and applications demand as well as socio-economic, cultural, ethical, legal, and sustainable development policy aspects of communities of the future. </w:t>
      </w:r>
    </w:p>
    <w:p w:rsidR="00A16044" w:rsidRPr="00EF368B" w:rsidRDefault="00A16044" w:rsidP="00A16044">
      <w:pPr>
        <w:rPr>
          <w:lang w:val="en-US"/>
        </w:rPr>
      </w:pPr>
      <w:r w:rsidRPr="00EF368B">
        <w:rPr>
          <w:lang w:val="en-US"/>
        </w:rPr>
        <w:t>ICTs can be used as a catalyst for transforming life to meet the challenges of the new millennium, including global economic and financial crises, high unemployment rates, accessibility issues, global diseases, food availability and distribution, climate change, environmental disasters, energy consumption, transport systems, safety, security, and welfare.</w:t>
      </w:r>
    </w:p>
    <w:p w:rsidR="00A16044" w:rsidRPr="00EF368B" w:rsidRDefault="00A16044" w:rsidP="00A16044">
      <w:pPr>
        <w:rPr>
          <w:lang w:val="en-US"/>
        </w:rPr>
      </w:pPr>
      <w:r w:rsidRPr="00EF368B">
        <w:rPr>
          <w:lang w:val="en-US"/>
        </w:rPr>
        <w:t>Sustainable communities will combine human-oriented technologies and human values.</w:t>
      </w:r>
    </w:p>
    <w:p w:rsidR="00A16044" w:rsidRPr="00EF368B" w:rsidRDefault="00A16044" w:rsidP="00A16044">
      <w:pPr>
        <w:rPr>
          <w:lang w:val="en-US"/>
        </w:rPr>
      </w:pPr>
      <w:r w:rsidRPr="00EF368B">
        <w:rPr>
          <w:lang w:val="en-US"/>
        </w:rPr>
        <w:t>Besides technical issues, building sustainable communities also raises ethical concerns such as responsibility for future generations and for the environment, as well as for data and information privacy. Therefore, an improved understanding of technology, its suitable application, and a high consideration of its potential consequences are necessary.</w:t>
      </w:r>
    </w:p>
    <w:p w:rsidR="00A16044" w:rsidRPr="00EF368B" w:rsidRDefault="00A16044" w:rsidP="00A16044">
      <w:pPr>
        <w:rPr>
          <w:lang w:val="en-US"/>
        </w:rPr>
      </w:pPr>
      <w:r w:rsidRPr="00EF368B">
        <w:rPr>
          <w:lang w:val="en-US"/>
        </w:rPr>
        <w:t xml:space="preserve">To address these issues, and for a co-evolution of technology and sustainable communities, standards are indispensable. Developing these standards will require concerted global efforts by inter-sectoral stakeholders. This conference will help to further such collaborations. </w:t>
      </w:r>
    </w:p>
    <w:p w:rsidR="00A16044" w:rsidRPr="00EF368B" w:rsidRDefault="00A16044" w:rsidP="00A16044">
      <w:pPr>
        <w:rPr>
          <w:lang w:val="en-US"/>
        </w:rPr>
      </w:pPr>
      <w:r w:rsidRPr="00EF368B">
        <w:rPr>
          <w:lang w:val="en-US"/>
        </w:rPr>
        <w:t xml:space="preserve">Building Sustainable Communities − is calling for original academic papers offering innovative and bold approaches in research and development to build smart, ethical, and sustainable communities. </w:t>
      </w:r>
    </w:p>
    <w:p w:rsidR="00A16044" w:rsidRPr="00EF368B" w:rsidRDefault="00A16044" w:rsidP="00A16044">
      <w:pPr>
        <w:rPr>
          <w:lang w:val="en-US"/>
        </w:rPr>
      </w:pPr>
    </w:p>
    <w:p w:rsidR="00A16044" w:rsidRPr="00EF368B" w:rsidRDefault="00A16044" w:rsidP="00A16044">
      <w:pPr>
        <w:rPr>
          <w:b/>
          <w:bCs/>
          <w:lang w:val="en-US"/>
        </w:rPr>
      </w:pPr>
      <w:r w:rsidRPr="00EF368B">
        <w:rPr>
          <w:b/>
          <w:bCs/>
          <w:lang w:val="en-US"/>
        </w:rPr>
        <w:t>Audience</w:t>
      </w:r>
    </w:p>
    <w:p w:rsidR="00A16044" w:rsidRPr="00EF368B" w:rsidRDefault="00A16044" w:rsidP="00A16044">
      <w:pPr>
        <w:rPr>
          <w:lang w:val="en-US"/>
        </w:rPr>
      </w:pPr>
      <w:r w:rsidRPr="00EF368B">
        <w:rPr>
          <w:lang w:val="en-US"/>
        </w:rPr>
        <w:t>Kaleidoscope 2013 is targeted at all specialists with a role in the field, including researchers, academics, students, engineers, policy-makers and regulators, innovators and futurists from all over the world.</w:t>
      </w:r>
    </w:p>
    <w:p w:rsidR="00A16044" w:rsidRPr="00EF368B" w:rsidRDefault="00A16044" w:rsidP="00A16044">
      <w:pPr>
        <w:rPr>
          <w:b/>
          <w:bCs/>
          <w:lang w:val="en-US"/>
        </w:rPr>
      </w:pPr>
    </w:p>
    <w:p w:rsidR="00A16044" w:rsidRPr="00EF368B" w:rsidRDefault="00A16044" w:rsidP="00A16044">
      <w:pPr>
        <w:rPr>
          <w:b/>
          <w:bCs/>
          <w:lang w:val="en-US"/>
        </w:rPr>
      </w:pPr>
      <w:r w:rsidRPr="00EF368B">
        <w:rPr>
          <w:b/>
          <w:bCs/>
          <w:lang w:val="en-US"/>
        </w:rPr>
        <w:t>Date and venue</w:t>
      </w:r>
    </w:p>
    <w:p w:rsidR="00A16044" w:rsidRPr="00EF368B" w:rsidRDefault="00A16044" w:rsidP="00A16044">
      <w:pPr>
        <w:rPr>
          <w:lang w:val="en-US"/>
        </w:rPr>
      </w:pPr>
      <w:r w:rsidRPr="00EF368B">
        <w:rPr>
          <w:lang w:val="en-US"/>
        </w:rPr>
        <w:t>22–24 April 2013, Kyoto, Japan</w:t>
      </w:r>
    </w:p>
    <w:p w:rsidR="00A16044" w:rsidRDefault="00A16044" w:rsidP="00DD0ABE">
      <w:pPr>
        <w:rPr>
          <w:lang w:val="en-US"/>
        </w:rPr>
      </w:pPr>
      <w:r>
        <w:rPr>
          <w:lang w:val="en-US"/>
        </w:rPr>
        <w:br w:type="page"/>
      </w:r>
    </w:p>
    <w:p w:rsidR="00A16044" w:rsidRPr="00EF368B" w:rsidRDefault="00A16044" w:rsidP="00A16044">
      <w:pPr>
        <w:rPr>
          <w:b/>
          <w:bCs/>
          <w:lang w:val="en-US"/>
        </w:rPr>
      </w:pPr>
      <w:r w:rsidRPr="00EF368B">
        <w:rPr>
          <w:b/>
          <w:bCs/>
          <w:lang w:val="en-US"/>
        </w:rPr>
        <w:lastRenderedPageBreak/>
        <w:t>Submission of papers</w:t>
      </w:r>
    </w:p>
    <w:p w:rsidR="00A16044" w:rsidRPr="00EF368B" w:rsidRDefault="00A16044" w:rsidP="00A16044">
      <w:pPr>
        <w:rPr>
          <w:lang w:val="en-US"/>
        </w:rPr>
      </w:pPr>
      <w:r w:rsidRPr="00EF368B">
        <w:rPr>
          <w:lang w:val="en-US"/>
        </w:rPr>
        <w:t xml:space="preserve">Prospective authors, from countries that are members of ITU, are invited to submit complete, original papers with a maximum length of 4,500 words within eight pages including summary and references, using the template available on the event website. All papers will be reviewed through a double-blind, peer-review process and handled electronically; see </w:t>
      </w:r>
      <w:hyperlink r:id="rId13" w:history="1">
        <w:r w:rsidRPr="00EF368B">
          <w:rPr>
            <w:rStyle w:val="Hyperlink"/>
            <w:lang w:val="en-US"/>
          </w:rPr>
          <w:t>http://itu-kaleidoscope.org/2013</w:t>
        </w:r>
      </w:hyperlink>
      <w:r w:rsidRPr="00EF368B">
        <w:rPr>
          <w:lang w:val="en-US"/>
        </w:rPr>
        <w:t xml:space="preserve"> for the online submission (EDAS). Paper proposals will be evaluated according to content, originality, clarity, relevance to the conference’s theme and in particular significance to future standards. </w:t>
      </w:r>
    </w:p>
    <w:p w:rsidR="00A16044" w:rsidRPr="00EF368B" w:rsidRDefault="00A16044" w:rsidP="00A16044">
      <w:pPr>
        <w:rPr>
          <w:lang w:val="en-US"/>
        </w:rPr>
      </w:pPr>
    </w:p>
    <w:p w:rsidR="00A16044" w:rsidRPr="00EF368B" w:rsidRDefault="00A16044" w:rsidP="00A16044">
      <w:pPr>
        <w:rPr>
          <w:b/>
          <w:bCs/>
          <w:lang w:val="en-US"/>
        </w:rPr>
      </w:pPr>
      <w:r w:rsidRPr="00EF368B">
        <w:rPr>
          <w:b/>
          <w:bCs/>
          <w:lang w:val="en-US"/>
        </w:rPr>
        <w:t>Deadlines</w:t>
      </w:r>
    </w:p>
    <w:p w:rsidR="00A16044" w:rsidRPr="00EF368B" w:rsidRDefault="00A16044" w:rsidP="00A16044">
      <w:pPr>
        <w:rPr>
          <w:lang w:val="en-US"/>
        </w:rPr>
      </w:pPr>
      <w:r w:rsidRPr="00EF368B">
        <w:rPr>
          <w:lang w:val="en-US"/>
        </w:rPr>
        <w:t xml:space="preserve">Submission of full paper proposals: </w:t>
      </w:r>
      <w:r w:rsidRPr="00EF368B">
        <w:rPr>
          <w:color w:val="FF0000"/>
          <w:lang w:val="en-US"/>
        </w:rPr>
        <w:t>Mon 10 Sept 2012</w:t>
      </w:r>
    </w:p>
    <w:p w:rsidR="00A16044" w:rsidRPr="00EF368B" w:rsidRDefault="00A16044" w:rsidP="00A16044">
      <w:pPr>
        <w:rPr>
          <w:lang w:val="en-US"/>
        </w:rPr>
      </w:pPr>
      <w:r w:rsidRPr="00EF368B">
        <w:rPr>
          <w:lang w:val="en-US"/>
        </w:rPr>
        <w:t>Notification of paper acceptance: Mon 12 Nov 2012</w:t>
      </w:r>
    </w:p>
    <w:p w:rsidR="00A16044" w:rsidRPr="00EF368B" w:rsidRDefault="00A16044" w:rsidP="00A16044">
      <w:pPr>
        <w:rPr>
          <w:lang w:val="en-US"/>
        </w:rPr>
      </w:pPr>
      <w:r w:rsidRPr="00EF368B">
        <w:rPr>
          <w:lang w:val="en-US"/>
        </w:rPr>
        <w:t>Submission of camera-ready accepted papers: Mon 3 Dec 2012</w:t>
      </w:r>
    </w:p>
    <w:p w:rsidR="00A16044" w:rsidRPr="00EF368B" w:rsidRDefault="00A16044" w:rsidP="00A16044">
      <w:pPr>
        <w:rPr>
          <w:lang w:val="en-US"/>
        </w:rPr>
      </w:pPr>
    </w:p>
    <w:p w:rsidR="00A16044" w:rsidRPr="00EF368B" w:rsidRDefault="00A16044" w:rsidP="00A16044">
      <w:pPr>
        <w:rPr>
          <w:b/>
          <w:bCs/>
          <w:lang w:val="en-US"/>
        </w:rPr>
      </w:pPr>
      <w:r w:rsidRPr="00EF368B">
        <w:rPr>
          <w:b/>
          <w:bCs/>
          <w:lang w:val="en-US"/>
        </w:rPr>
        <w:t>Publication and presentation</w:t>
      </w:r>
    </w:p>
    <w:p w:rsidR="00A16044" w:rsidRPr="00EF368B" w:rsidRDefault="00A16044" w:rsidP="00A16044">
      <w:pPr>
        <w:spacing w:before="0"/>
        <w:rPr>
          <w:lang w:val="en-US"/>
        </w:rPr>
      </w:pPr>
      <w:r w:rsidRPr="00EF368B">
        <w:rPr>
          <w:lang w:val="en-US"/>
        </w:rPr>
        <w:t>Accepted papers will be presented during the event and published in the proceedings and in IEEE Xplore. The best papers will be evaluated for potential publication in IEEE Communications Magazine. In addition, selected papers will be considered for publication in the International Journal of Technology Marketing or the International Journal of IT Standards &amp; Standardization Research.</w:t>
      </w:r>
    </w:p>
    <w:p w:rsidR="00A16044" w:rsidRPr="00EF368B" w:rsidRDefault="00A16044" w:rsidP="00A16044">
      <w:pPr>
        <w:rPr>
          <w:lang w:val="en-US"/>
        </w:rPr>
      </w:pPr>
    </w:p>
    <w:p w:rsidR="00A16044" w:rsidRPr="00EF368B" w:rsidRDefault="00A16044" w:rsidP="00A16044">
      <w:pPr>
        <w:rPr>
          <w:b/>
          <w:bCs/>
          <w:lang w:val="en-US"/>
        </w:rPr>
      </w:pPr>
      <w:r w:rsidRPr="00EF368B">
        <w:rPr>
          <w:b/>
          <w:bCs/>
          <w:lang w:val="en-US"/>
        </w:rPr>
        <w:t>Awards</w:t>
      </w:r>
    </w:p>
    <w:p w:rsidR="00A16044" w:rsidRPr="00EF368B" w:rsidRDefault="00A16044" w:rsidP="00A16044">
      <w:pPr>
        <w:rPr>
          <w:lang w:val="en-US"/>
        </w:rPr>
      </w:pPr>
      <w:r w:rsidRPr="00EF368B">
        <w:rPr>
          <w:lang w:val="en-US"/>
        </w:rPr>
        <w:t>Awards of USD 5k, 3k and 2k will be granted to selected best papers, as judged by the Steering and Technical Programme Committees. In addition, young authors presenting accepted papers will receive a Young Author Recognition certificate.</w:t>
      </w:r>
    </w:p>
    <w:p w:rsidR="00A16044" w:rsidRPr="00EF368B" w:rsidRDefault="00A16044" w:rsidP="00A16044">
      <w:pPr>
        <w:rPr>
          <w:lang w:val="en-US"/>
        </w:rPr>
      </w:pPr>
    </w:p>
    <w:p w:rsidR="00A16044" w:rsidRDefault="00A16044" w:rsidP="00A16044">
      <w:pPr>
        <w:rPr>
          <w:b/>
          <w:bCs/>
        </w:rPr>
      </w:pPr>
      <w:r>
        <w:rPr>
          <w:b/>
          <w:bCs/>
        </w:rPr>
        <w:t>Steering Committee</w:t>
      </w:r>
    </w:p>
    <w:p w:rsidR="00A16044" w:rsidRDefault="00A16044" w:rsidP="00A16044">
      <w:pPr>
        <w:pStyle w:val="ListParagraph"/>
        <w:numPr>
          <w:ilvl w:val="0"/>
          <w:numId w:val="5"/>
        </w:numPr>
      </w:pPr>
      <w:r>
        <w:t xml:space="preserve">Christoph Dosch (ITU-R Study Group 6 Chairman; IRT GmbH, DE) </w:t>
      </w:r>
    </w:p>
    <w:p w:rsidR="00A16044" w:rsidRDefault="00A16044" w:rsidP="00A16044">
      <w:pPr>
        <w:pStyle w:val="ListParagraph"/>
        <w:numPr>
          <w:ilvl w:val="0"/>
          <w:numId w:val="5"/>
        </w:numPr>
      </w:pPr>
      <w:r>
        <w:t xml:space="preserve">Roch Glitho (Concordia University, CA) </w:t>
      </w:r>
    </w:p>
    <w:p w:rsidR="00A16044" w:rsidRDefault="00A16044" w:rsidP="00A16044">
      <w:pPr>
        <w:pStyle w:val="ListParagraph"/>
        <w:numPr>
          <w:ilvl w:val="0"/>
          <w:numId w:val="5"/>
        </w:numPr>
      </w:pPr>
      <w:r>
        <w:t xml:space="preserve">Kai Jakobs (RWTH Aachen University, DE) </w:t>
      </w:r>
    </w:p>
    <w:p w:rsidR="00A16044" w:rsidRDefault="00A16044" w:rsidP="00A16044">
      <w:pPr>
        <w:pStyle w:val="ListParagraph"/>
        <w:numPr>
          <w:ilvl w:val="0"/>
          <w:numId w:val="5"/>
        </w:numPr>
      </w:pPr>
      <w:r>
        <w:t xml:space="preserve">Mostafa Hashem Sherif (AT&amp;T, US) </w:t>
      </w:r>
    </w:p>
    <w:p w:rsidR="00A16044" w:rsidRPr="004E67EA" w:rsidRDefault="00A16044" w:rsidP="00A16044">
      <w:pPr>
        <w:pStyle w:val="ListParagraph"/>
        <w:numPr>
          <w:ilvl w:val="0"/>
          <w:numId w:val="5"/>
        </w:numPr>
        <w:rPr>
          <w:lang w:val="es-ES_tradnl"/>
        </w:rPr>
      </w:pPr>
      <w:r w:rsidRPr="004E67EA">
        <w:rPr>
          <w:lang w:val="es-ES_tradnl"/>
        </w:rPr>
        <w:t>Alfredo Terzoli (Rhodes University, ZA)</w:t>
      </w:r>
    </w:p>
    <w:p w:rsidR="00A16044" w:rsidRDefault="00A16044" w:rsidP="00A16044">
      <w:pPr>
        <w:rPr>
          <w:b/>
          <w:bCs/>
        </w:rPr>
      </w:pPr>
      <w:r>
        <w:rPr>
          <w:b/>
          <w:bCs/>
        </w:rPr>
        <w:t>Host Committee</w:t>
      </w:r>
    </w:p>
    <w:p w:rsidR="00A16044" w:rsidRDefault="00A16044" w:rsidP="00A16044">
      <w:pPr>
        <w:pStyle w:val="ListParagraph"/>
        <w:numPr>
          <w:ilvl w:val="0"/>
          <w:numId w:val="5"/>
        </w:numPr>
      </w:pPr>
      <w:r>
        <w:t>Chairman: Tatsuro Takahashi (Kyoto University, JP)</w:t>
      </w:r>
    </w:p>
    <w:p w:rsidR="00A16044" w:rsidRDefault="00A16044" w:rsidP="00A16044">
      <w:pPr>
        <w:pStyle w:val="ListParagraph"/>
        <w:numPr>
          <w:ilvl w:val="0"/>
          <w:numId w:val="5"/>
        </w:numPr>
      </w:pPr>
      <w:r>
        <w:t xml:space="preserve">Tohru Asami (University of Tokyo, JP) </w:t>
      </w:r>
    </w:p>
    <w:p w:rsidR="00A16044" w:rsidRDefault="00A16044" w:rsidP="00A16044">
      <w:pPr>
        <w:pStyle w:val="ListParagraph"/>
        <w:numPr>
          <w:ilvl w:val="0"/>
          <w:numId w:val="5"/>
        </w:numPr>
        <w:rPr>
          <w:lang w:val="es-ES_tradnl"/>
        </w:rPr>
      </w:pPr>
      <w:r w:rsidRPr="004E67EA">
        <w:rPr>
          <w:lang w:val="es-ES_tradnl"/>
        </w:rPr>
        <w:t>Yoshikazu Ikeda (Otani University, JP)</w:t>
      </w:r>
    </w:p>
    <w:p w:rsidR="00A16044" w:rsidRPr="009A176F" w:rsidRDefault="00A16044" w:rsidP="00A16044">
      <w:pPr>
        <w:pStyle w:val="ListParagraph"/>
        <w:numPr>
          <w:ilvl w:val="0"/>
          <w:numId w:val="5"/>
        </w:numPr>
        <w:rPr>
          <w:lang w:val="es-ES_tradnl"/>
        </w:rPr>
      </w:pPr>
      <w:r w:rsidRPr="009A176F">
        <w:rPr>
          <w:lang w:val="es-ES_tradnl"/>
        </w:rPr>
        <w:t>Yasuyuki Koga (NICT, JP)</w:t>
      </w:r>
    </w:p>
    <w:p w:rsidR="00A16044" w:rsidRPr="004E67EA" w:rsidRDefault="00A16044" w:rsidP="00A16044">
      <w:pPr>
        <w:pStyle w:val="ListParagraph"/>
        <w:numPr>
          <w:ilvl w:val="0"/>
          <w:numId w:val="5"/>
        </w:numPr>
        <w:rPr>
          <w:lang w:val="es-ES_tradnl"/>
        </w:rPr>
      </w:pPr>
      <w:r w:rsidRPr="004E67EA">
        <w:rPr>
          <w:lang w:val="es-ES_tradnl"/>
        </w:rPr>
        <w:t xml:space="preserve">Yoichi Maeda (TTC, JP) </w:t>
      </w:r>
    </w:p>
    <w:p w:rsidR="00A16044" w:rsidRPr="004E67EA" w:rsidRDefault="00A16044" w:rsidP="00A16044">
      <w:pPr>
        <w:pStyle w:val="ListParagraph"/>
        <w:numPr>
          <w:ilvl w:val="0"/>
          <w:numId w:val="5"/>
        </w:numPr>
        <w:rPr>
          <w:lang w:val="en-US"/>
        </w:rPr>
      </w:pPr>
      <w:r>
        <w:t xml:space="preserve">Mitsuji Matsumoto (Waseda University, JP) </w:t>
      </w:r>
    </w:p>
    <w:p w:rsidR="00A16044" w:rsidRDefault="00A16044" w:rsidP="00A16044">
      <w:pPr>
        <w:pStyle w:val="ListParagraph"/>
        <w:numPr>
          <w:ilvl w:val="0"/>
          <w:numId w:val="5"/>
        </w:numPr>
      </w:pPr>
      <w:r>
        <w:rPr>
          <w:rFonts w:hint="eastAsia"/>
        </w:rPr>
        <w:t>Tetsutaro Uehara (Ministry of Internal Affairs and Communication</w:t>
      </w:r>
      <w:r>
        <w:t>, JP</w:t>
      </w:r>
      <w:r>
        <w:rPr>
          <w:rFonts w:hint="eastAsia"/>
        </w:rPr>
        <w:t>)</w:t>
      </w:r>
    </w:p>
    <w:p w:rsidR="00A16044" w:rsidRPr="00EF368B" w:rsidRDefault="00A16044" w:rsidP="00A16044">
      <w:pPr>
        <w:rPr>
          <w:b/>
          <w:bCs/>
          <w:lang w:val="en-US"/>
        </w:rPr>
      </w:pPr>
      <w:r w:rsidRPr="00EF368B">
        <w:rPr>
          <w:b/>
          <w:bCs/>
          <w:lang w:val="en-US"/>
        </w:rPr>
        <w:t>Technical Programme Committee</w:t>
      </w:r>
    </w:p>
    <w:p w:rsidR="00A16044" w:rsidRPr="00EF368B" w:rsidRDefault="00A16044" w:rsidP="00A16044">
      <w:pPr>
        <w:rPr>
          <w:lang w:val="en-US"/>
        </w:rPr>
      </w:pPr>
      <w:r w:rsidRPr="00EF368B">
        <w:rPr>
          <w:lang w:val="en-US"/>
        </w:rPr>
        <w:t>Chairman: Kai Jakobs (RWTH Aachen University, DE)</w:t>
      </w:r>
    </w:p>
    <w:p w:rsidR="00367F93" w:rsidRPr="00367F93" w:rsidRDefault="00A16044" w:rsidP="00367F93">
      <w:pPr>
        <w:rPr>
          <w:rStyle w:val="Hyperlink"/>
          <w:u w:val="none"/>
          <w:lang w:val="en-US"/>
        </w:rPr>
      </w:pPr>
      <w:r w:rsidRPr="00EF368B">
        <w:rPr>
          <w:lang w:val="en-US"/>
        </w:rPr>
        <w:t xml:space="preserve">The Technical Programme Committee is composed of over 100 subject matter experts worldwide. Full details are available at </w:t>
      </w:r>
      <w:hyperlink r:id="rId14" w:history="1">
        <w:r w:rsidRPr="00EF368B">
          <w:rPr>
            <w:rStyle w:val="Hyperlink"/>
            <w:lang w:val="en-US"/>
          </w:rPr>
          <w:t>http://www.itu.int/ITU-T/uni/kaleidoscope/2013/progcom.html</w:t>
        </w:r>
      </w:hyperlink>
      <w:r w:rsidR="00367F93">
        <w:rPr>
          <w:rStyle w:val="Hyperlink"/>
          <w:u w:val="none"/>
          <w:lang w:val="en-US"/>
        </w:rPr>
        <w:t>.</w:t>
      </w:r>
    </w:p>
    <w:p w:rsidR="00367F93" w:rsidRDefault="00367F93" w:rsidP="00367F93">
      <w:pPr>
        <w:rPr>
          <w:b/>
          <w:bCs/>
          <w:lang w:val="en-US"/>
        </w:rPr>
      </w:pPr>
      <w:r>
        <w:rPr>
          <w:b/>
          <w:bCs/>
          <w:lang w:val="en-US"/>
        </w:rPr>
        <w:br w:type="page"/>
      </w:r>
    </w:p>
    <w:p w:rsidR="00A16044" w:rsidRPr="00EF368B" w:rsidRDefault="00A16044" w:rsidP="00367F93">
      <w:pPr>
        <w:rPr>
          <w:b/>
          <w:bCs/>
          <w:lang w:val="en-US"/>
        </w:rPr>
      </w:pPr>
      <w:r w:rsidRPr="00EF368B">
        <w:rPr>
          <w:b/>
          <w:bCs/>
          <w:lang w:val="en-US"/>
        </w:rPr>
        <w:lastRenderedPageBreak/>
        <w:t>Keywords</w:t>
      </w:r>
    </w:p>
    <w:p w:rsidR="00A16044" w:rsidRPr="00EF368B" w:rsidRDefault="00A16044" w:rsidP="00A16044">
      <w:pPr>
        <w:rPr>
          <w:lang w:val="en-US"/>
        </w:rPr>
      </w:pPr>
      <w:r w:rsidRPr="00EF368B">
        <w:rPr>
          <w:lang w:val="en-US"/>
        </w:rPr>
        <w:t>Information and communication technologies (ICTs), human-oriented technologies, technological innovation, standardization, ambient intelligence, ubiquitous networks, internet of things, M2M,</w:t>
      </w:r>
      <w:r w:rsidRPr="00EF368B">
        <w:rPr>
          <w:lang w:val="en-US"/>
        </w:rPr>
        <w:br/>
        <w:t>e-applications, information society, ethics, sustainability, environment.</w:t>
      </w:r>
    </w:p>
    <w:p w:rsidR="00A16044" w:rsidRPr="00EF368B" w:rsidRDefault="00A16044" w:rsidP="00A16044">
      <w:pPr>
        <w:rPr>
          <w:b/>
          <w:bCs/>
          <w:lang w:val="en-US"/>
        </w:rPr>
      </w:pPr>
      <w:r w:rsidRPr="00EF368B">
        <w:rPr>
          <w:b/>
          <w:bCs/>
          <w:lang w:val="en-US"/>
        </w:rPr>
        <w:t>For additional information</w:t>
      </w:r>
    </w:p>
    <w:p w:rsidR="00A16044" w:rsidRPr="00EF368B" w:rsidRDefault="00A16044" w:rsidP="00A16044">
      <w:pPr>
        <w:rPr>
          <w:lang w:val="en-US"/>
        </w:rPr>
      </w:pPr>
      <w:r w:rsidRPr="00EF368B">
        <w:rPr>
          <w:lang w:val="en-US"/>
        </w:rPr>
        <w:t xml:space="preserve">Additional information is available on the conference website: </w:t>
      </w:r>
      <w:hyperlink r:id="rId15" w:history="1">
        <w:r w:rsidRPr="00EF368B">
          <w:rPr>
            <w:rStyle w:val="Hyperlink"/>
            <w:lang w:val="en-US"/>
          </w:rPr>
          <w:t>http://itu-kaleidoscope.org/2013</w:t>
        </w:r>
      </w:hyperlink>
      <w:r w:rsidRPr="00EF368B">
        <w:rPr>
          <w:lang w:val="en-US"/>
        </w:rPr>
        <w:t>.</w:t>
      </w:r>
    </w:p>
    <w:p w:rsidR="00A16044" w:rsidRPr="00EF368B" w:rsidRDefault="00A16044" w:rsidP="00A16044">
      <w:pPr>
        <w:rPr>
          <w:lang w:val="en-US"/>
        </w:rPr>
      </w:pPr>
      <w:r w:rsidRPr="00EF368B">
        <w:rPr>
          <w:lang w:val="en-US"/>
        </w:rPr>
        <w:t xml:space="preserve">Inquiries should be addressed to </w:t>
      </w:r>
      <w:hyperlink r:id="rId16" w:history="1">
        <w:r w:rsidRPr="00EF368B">
          <w:rPr>
            <w:rStyle w:val="Hyperlink"/>
            <w:lang w:val="en-US"/>
          </w:rPr>
          <w:t>kaleido</w:t>
        </w:r>
        <w:bookmarkStart w:id="1" w:name="_GoBack"/>
        <w:bookmarkEnd w:id="1"/>
        <w:r w:rsidRPr="00EF368B">
          <w:rPr>
            <w:rStyle w:val="Hyperlink"/>
            <w:lang w:val="en-US"/>
          </w:rPr>
          <w:t>scope@itu.int</w:t>
        </w:r>
      </w:hyperlink>
      <w:r w:rsidRPr="00EF368B">
        <w:rPr>
          <w:rStyle w:val="Hyperlink"/>
          <w:lang w:val="en-US"/>
        </w:rPr>
        <w:t>.</w:t>
      </w:r>
    </w:p>
    <w:p w:rsidR="00A16044" w:rsidRPr="00EF368B" w:rsidRDefault="00A16044" w:rsidP="00A16044">
      <w:pPr>
        <w:rPr>
          <w:lang w:val="en-US"/>
        </w:rPr>
      </w:pPr>
    </w:p>
    <w:p w:rsidR="00A16044" w:rsidRPr="00EF368B" w:rsidRDefault="00A16044" w:rsidP="00A16044">
      <w:pPr>
        <w:rPr>
          <w:b/>
          <w:bCs/>
          <w:lang w:val="en-US"/>
        </w:rPr>
      </w:pPr>
      <w:r w:rsidRPr="00EF368B">
        <w:rPr>
          <w:b/>
          <w:bCs/>
          <w:lang w:val="en-US"/>
        </w:rPr>
        <w:t>Suggested (non-exclusive) list of topics</w:t>
      </w:r>
    </w:p>
    <w:p w:rsidR="00A16044" w:rsidRPr="00EF368B" w:rsidRDefault="00A16044" w:rsidP="00A16044">
      <w:pPr>
        <w:rPr>
          <w:b/>
          <w:bCs/>
          <w:lang w:val="en-US"/>
        </w:rPr>
        <w:sectPr w:rsidR="00A16044" w:rsidRPr="00EF368B" w:rsidSect="00A16044">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sectPr>
      </w:pPr>
    </w:p>
    <w:p w:rsidR="00A16044" w:rsidRPr="00EF368B" w:rsidRDefault="00A16044" w:rsidP="00A16044">
      <w:pPr>
        <w:rPr>
          <w:b/>
          <w:bCs/>
          <w:lang w:val="en-US"/>
        </w:rPr>
      </w:pPr>
      <w:r w:rsidRPr="00EF368B">
        <w:rPr>
          <w:b/>
          <w:bCs/>
          <w:lang w:val="en-US"/>
        </w:rPr>
        <w:lastRenderedPageBreak/>
        <w:t>Track 1: Technology and architecture evolution</w:t>
      </w:r>
    </w:p>
    <w:p w:rsidR="00A16044" w:rsidRPr="00EF368B" w:rsidRDefault="00A16044" w:rsidP="00A16044">
      <w:pPr>
        <w:spacing w:before="60"/>
        <w:rPr>
          <w:lang w:val="en-US"/>
        </w:rPr>
      </w:pPr>
      <w:r w:rsidRPr="00EF368B">
        <w:rPr>
          <w:lang w:val="en-US"/>
        </w:rPr>
        <w:t>• Long distance and ultra-high-speed transmission network systems (terabit, exabit)</w:t>
      </w:r>
    </w:p>
    <w:p w:rsidR="00A16044" w:rsidRPr="00EF368B" w:rsidRDefault="00A16044" w:rsidP="00A16044">
      <w:pPr>
        <w:spacing w:before="60"/>
        <w:rPr>
          <w:lang w:val="en-US"/>
        </w:rPr>
      </w:pPr>
      <w:r w:rsidRPr="00EF368B">
        <w:rPr>
          <w:lang w:val="en-US"/>
        </w:rPr>
        <w:t>• Disaster relief systems, network resilience and recovery</w:t>
      </w:r>
    </w:p>
    <w:p w:rsidR="00A16044" w:rsidRPr="00EF368B" w:rsidRDefault="00A16044" w:rsidP="00A16044">
      <w:pPr>
        <w:spacing w:before="60"/>
        <w:rPr>
          <w:lang w:val="en-US"/>
        </w:rPr>
      </w:pPr>
      <w:r w:rsidRPr="00EF368B">
        <w:rPr>
          <w:lang w:val="en-US"/>
        </w:rPr>
        <w:t>• Wireless sensor networks</w:t>
      </w:r>
    </w:p>
    <w:p w:rsidR="00A16044" w:rsidRPr="00EF368B" w:rsidRDefault="00A16044" w:rsidP="00A16044">
      <w:pPr>
        <w:spacing w:before="60"/>
        <w:rPr>
          <w:lang w:val="en-US"/>
        </w:rPr>
      </w:pPr>
      <w:r w:rsidRPr="00EF368B">
        <w:rPr>
          <w:lang w:val="en-US"/>
        </w:rPr>
        <w:t xml:space="preserve">• Optical wireless communication </w:t>
      </w:r>
    </w:p>
    <w:p w:rsidR="00A16044" w:rsidRPr="00EF368B" w:rsidRDefault="00A16044" w:rsidP="00A16044">
      <w:pPr>
        <w:spacing w:before="60"/>
        <w:rPr>
          <w:lang w:val="en-US"/>
        </w:rPr>
      </w:pPr>
      <w:r w:rsidRPr="00EF368B">
        <w:rPr>
          <w:lang w:val="en-US"/>
        </w:rPr>
        <w:t>• Human-centric, cognitive and context-aware systems</w:t>
      </w:r>
    </w:p>
    <w:p w:rsidR="00A16044" w:rsidRPr="00EF368B" w:rsidRDefault="00A16044" w:rsidP="00A16044">
      <w:pPr>
        <w:spacing w:before="60"/>
        <w:rPr>
          <w:lang w:val="en-US"/>
        </w:rPr>
      </w:pPr>
      <w:r w:rsidRPr="00EF368B">
        <w:rPr>
          <w:lang w:val="en-US"/>
        </w:rPr>
        <w:t>• Machine-to-machine communication and Internet of Things</w:t>
      </w:r>
    </w:p>
    <w:p w:rsidR="00A16044" w:rsidRPr="00EF368B" w:rsidRDefault="00A16044" w:rsidP="00A16044">
      <w:pPr>
        <w:spacing w:before="60"/>
        <w:rPr>
          <w:lang w:val="en-US"/>
        </w:rPr>
      </w:pPr>
      <w:r w:rsidRPr="00EF368B">
        <w:rPr>
          <w:lang w:val="en-US"/>
        </w:rPr>
        <w:t>• Body-area networks</w:t>
      </w:r>
    </w:p>
    <w:p w:rsidR="00A16044" w:rsidRPr="00EF368B" w:rsidRDefault="00A16044" w:rsidP="00A16044">
      <w:pPr>
        <w:spacing w:before="60"/>
        <w:rPr>
          <w:lang w:val="en-US"/>
        </w:rPr>
      </w:pPr>
      <w:r w:rsidRPr="00EF368B">
        <w:rPr>
          <w:lang w:val="en-US"/>
        </w:rPr>
        <w:t>• Near-field communications</w:t>
      </w:r>
    </w:p>
    <w:p w:rsidR="00A16044" w:rsidRPr="00EF368B" w:rsidRDefault="00A16044" w:rsidP="00A16044">
      <w:pPr>
        <w:spacing w:before="60"/>
        <w:rPr>
          <w:lang w:val="en-US"/>
        </w:rPr>
      </w:pPr>
      <w:r w:rsidRPr="00EF368B">
        <w:rPr>
          <w:lang w:val="en-US"/>
        </w:rPr>
        <w:t>• Environmental and biometric actuators and sensors</w:t>
      </w:r>
    </w:p>
    <w:p w:rsidR="00A16044" w:rsidRPr="00EF368B" w:rsidRDefault="00A16044" w:rsidP="00A16044">
      <w:pPr>
        <w:spacing w:before="60"/>
        <w:rPr>
          <w:lang w:val="en-US"/>
        </w:rPr>
      </w:pPr>
      <w:r w:rsidRPr="00EF368B">
        <w:rPr>
          <w:lang w:val="en-US"/>
        </w:rPr>
        <w:t>• Security and privacy-enhancing technologies</w:t>
      </w:r>
    </w:p>
    <w:p w:rsidR="00A16044" w:rsidRPr="00EF368B" w:rsidRDefault="00A16044" w:rsidP="00A16044">
      <w:pPr>
        <w:spacing w:before="60"/>
        <w:rPr>
          <w:lang w:val="en-US"/>
        </w:rPr>
      </w:pPr>
      <w:r w:rsidRPr="00EF368B">
        <w:rPr>
          <w:lang w:val="en-US"/>
        </w:rPr>
        <w:t>• Pervasive and trusted network and service infrastructure</w:t>
      </w:r>
    </w:p>
    <w:p w:rsidR="00A16044" w:rsidRPr="00EF368B" w:rsidRDefault="00A16044" w:rsidP="00A16044">
      <w:pPr>
        <w:spacing w:before="60"/>
        <w:rPr>
          <w:lang w:val="en-US"/>
        </w:rPr>
      </w:pPr>
      <w:r w:rsidRPr="00EF368B">
        <w:rPr>
          <w:lang w:val="en-US"/>
        </w:rPr>
        <w:t>• Mobility and nomadicity</w:t>
      </w:r>
    </w:p>
    <w:p w:rsidR="00A16044" w:rsidRPr="00EF368B" w:rsidRDefault="00A16044" w:rsidP="00A16044">
      <w:pPr>
        <w:spacing w:before="60"/>
        <w:rPr>
          <w:lang w:val="en-US"/>
        </w:rPr>
      </w:pPr>
      <w:r w:rsidRPr="00EF368B">
        <w:rPr>
          <w:lang w:val="en-US"/>
        </w:rPr>
        <w:t>• Adaptive antenna techniques</w:t>
      </w:r>
    </w:p>
    <w:p w:rsidR="00A16044" w:rsidRPr="00EF368B" w:rsidRDefault="00A16044" w:rsidP="00A16044">
      <w:pPr>
        <w:rPr>
          <w:b/>
          <w:bCs/>
          <w:lang w:val="en-US"/>
        </w:rPr>
      </w:pPr>
    </w:p>
    <w:p w:rsidR="00A16044" w:rsidRPr="00EF368B" w:rsidRDefault="00A16044" w:rsidP="00A16044">
      <w:pPr>
        <w:rPr>
          <w:b/>
          <w:bCs/>
          <w:lang w:val="en-US"/>
        </w:rPr>
      </w:pPr>
      <w:r w:rsidRPr="00EF368B">
        <w:rPr>
          <w:b/>
          <w:bCs/>
          <w:lang w:val="en-US"/>
        </w:rPr>
        <w:t>Track 2: ICT applications and services for sustainable communities</w:t>
      </w:r>
    </w:p>
    <w:p w:rsidR="00A16044" w:rsidRPr="00EF368B" w:rsidRDefault="00A16044" w:rsidP="00A16044">
      <w:pPr>
        <w:spacing w:before="60"/>
        <w:rPr>
          <w:lang w:val="en-US"/>
        </w:rPr>
      </w:pPr>
      <w:r w:rsidRPr="00EF368B">
        <w:rPr>
          <w:lang w:val="en-US"/>
        </w:rPr>
        <w:t>• e-government and e-democracy</w:t>
      </w:r>
    </w:p>
    <w:p w:rsidR="00A16044" w:rsidRPr="00EF368B" w:rsidRDefault="00A16044" w:rsidP="00A16044">
      <w:pPr>
        <w:spacing w:before="60"/>
        <w:rPr>
          <w:lang w:val="en-US"/>
        </w:rPr>
      </w:pPr>
      <w:r w:rsidRPr="00EF368B">
        <w:rPr>
          <w:lang w:val="en-US"/>
        </w:rPr>
        <w:t>• e-learning and e-science</w:t>
      </w:r>
    </w:p>
    <w:p w:rsidR="00A16044" w:rsidRPr="00EF368B" w:rsidRDefault="00A16044" w:rsidP="00A16044">
      <w:pPr>
        <w:spacing w:before="60"/>
        <w:rPr>
          <w:lang w:val="en-US"/>
        </w:rPr>
      </w:pPr>
      <w:r w:rsidRPr="00EF368B">
        <w:rPr>
          <w:lang w:val="en-US"/>
        </w:rPr>
        <w:t>• e-agriculture</w:t>
      </w:r>
    </w:p>
    <w:p w:rsidR="00A16044" w:rsidRPr="00EF368B" w:rsidRDefault="00A16044" w:rsidP="00A16044">
      <w:pPr>
        <w:spacing w:before="60"/>
        <w:rPr>
          <w:lang w:val="en-US"/>
        </w:rPr>
      </w:pPr>
      <w:r w:rsidRPr="00EF368B">
        <w:rPr>
          <w:lang w:val="en-US"/>
        </w:rPr>
        <w:t>• e-health and telemedicine</w:t>
      </w:r>
    </w:p>
    <w:p w:rsidR="00A16044" w:rsidRPr="00A16044" w:rsidRDefault="00A16044" w:rsidP="00A16044">
      <w:pPr>
        <w:spacing w:before="60"/>
        <w:rPr>
          <w:lang w:val="en-US"/>
        </w:rPr>
      </w:pPr>
      <w:r w:rsidRPr="00A16044">
        <w:rPr>
          <w:lang w:val="en-US"/>
        </w:rPr>
        <w:t>• Ageing and ambient assistive living</w:t>
      </w:r>
    </w:p>
    <w:p w:rsidR="00A16044" w:rsidRPr="00EF368B" w:rsidRDefault="00A16044" w:rsidP="00A16044">
      <w:pPr>
        <w:spacing w:before="60"/>
        <w:rPr>
          <w:lang w:val="en-US"/>
        </w:rPr>
      </w:pPr>
      <w:r w:rsidRPr="00EF368B">
        <w:rPr>
          <w:lang w:val="en-US"/>
        </w:rPr>
        <w:t>• Smart cities: utilities, transport, buildings and homes</w:t>
      </w:r>
    </w:p>
    <w:p w:rsidR="00A16044" w:rsidRPr="00EF368B" w:rsidRDefault="00A16044" w:rsidP="00A16044">
      <w:pPr>
        <w:spacing w:before="60"/>
        <w:rPr>
          <w:lang w:val="en-US"/>
        </w:rPr>
      </w:pPr>
      <w:r w:rsidRPr="00EF368B">
        <w:rPr>
          <w:lang w:val="en-US"/>
        </w:rPr>
        <w:lastRenderedPageBreak/>
        <w:t>• Innovative applications and content delivery (IPTV, games, etc.)</w:t>
      </w:r>
    </w:p>
    <w:p w:rsidR="00A16044" w:rsidRPr="00EF368B" w:rsidRDefault="00A16044" w:rsidP="00A16044">
      <w:pPr>
        <w:spacing w:before="60"/>
        <w:rPr>
          <w:lang w:val="en-US"/>
        </w:rPr>
      </w:pPr>
      <w:r w:rsidRPr="00EF368B">
        <w:rPr>
          <w:lang w:val="en-US"/>
        </w:rPr>
        <w:t>• Mobile payment and money transfer</w:t>
      </w:r>
    </w:p>
    <w:p w:rsidR="00A16044" w:rsidRPr="00EF368B" w:rsidRDefault="00A16044" w:rsidP="00A16044">
      <w:pPr>
        <w:spacing w:before="60"/>
        <w:rPr>
          <w:lang w:val="en-US"/>
        </w:rPr>
      </w:pPr>
      <w:r w:rsidRPr="00EF368B">
        <w:rPr>
          <w:lang w:val="en-US"/>
        </w:rPr>
        <w:t>• Augmented reality and technology intelligence</w:t>
      </w:r>
    </w:p>
    <w:p w:rsidR="00A16044" w:rsidRPr="00EF368B" w:rsidRDefault="00A16044" w:rsidP="00A16044">
      <w:pPr>
        <w:spacing w:before="60"/>
        <w:rPr>
          <w:lang w:val="en-US"/>
        </w:rPr>
      </w:pPr>
      <w:r w:rsidRPr="00EF368B">
        <w:rPr>
          <w:lang w:val="en-US"/>
        </w:rPr>
        <w:t>• Location-based services</w:t>
      </w:r>
    </w:p>
    <w:p w:rsidR="00A16044" w:rsidRPr="00EF368B" w:rsidRDefault="00A16044" w:rsidP="00A16044">
      <w:pPr>
        <w:spacing w:before="60"/>
        <w:rPr>
          <w:lang w:val="en-US"/>
        </w:rPr>
      </w:pPr>
      <w:r w:rsidRPr="00EF368B">
        <w:rPr>
          <w:lang w:val="en-US"/>
        </w:rPr>
        <w:t>• Service layer requirements</w:t>
      </w:r>
    </w:p>
    <w:p w:rsidR="00A16044" w:rsidRPr="00EF368B" w:rsidRDefault="00A16044" w:rsidP="00A16044">
      <w:pPr>
        <w:spacing w:before="60"/>
        <w:rPr>
          <w:lang w:val="en-US"/>
        </w:rPr>
      </w:pPr>
      <w:r w:rsidRPr="00EF368B">
        <w:rPr>
          <w:lang w:val="en-US"/>
        </w:rPr>
        <w:t>• XaaS (Anything as a Service)</w:t>
      </w:r>
    </w:p>
    <w:p w:rsidR="00A16044" w:rsidRPr="00EF368B" w:rsidRDefault="00A16044" w:rsidP="00A16044">
      <w:pPr>
        <w:spacing w:before="60"/>
        <w:rPr>
          <w:lang w:val="en-US"/>
        </w:rPr>
      </w:pPr>
      <w:r w:rsidRPr="00EF368B">
        <w:rPr>
          <w:lang w:val="en-US"/>
        </w:rPr>
        <w:t>• QoS for differentiated source</w:t>
      </w:r>
    </w:p>
    <w:p w:rsidR="00A16044" w:rsidRPr="00EF368B" w:rsidRDefault="00A16044" w:rsidP="00A16044">
      <w:pPr>
        <w:spacing w:before="60"/>
        <w:rPr>
          <w:lang w:val="en-US"/>
        </w:rPr>
      </w:pPr>
      <w:r w:rsidRPr="00EF368B">
        <w:rPr>
          <w:lang w:val="en-US"/>
        </w:rPr>
        <w:t>• Location services</w:t>
      </w:r>
    </w:p>
    <w:p w:rsidR="00A16044" w:rsidRDefault="00A16044" w:rsidP="00A16044">
      <w:pPr>
        <w:rPr>
          <w:b/>
          <w:bCs/>
          <w:lang w:val="en-US"/>
        </w:rPr>
      </w:pPr>
    </w:p>
    <w:p w:rsidR="00A16044" w:rsidRPr="00EF368B" w:rsidRDefault="00A16044" w:rsidP="00A16044">
      <w:pPr>
        <w:rPr>
          <w:b/>
          <w:bCs/>
          <w:lang w:val="en-US"/>
        </w:rPr>
      </w:pPr>
      <w:r w:rsidRPr="00EF368B">
        <w:rPr>
          <w:b/>
          <w:bCs/>
          <w:lang w:val="en-US"/>
        </w:rPr>
        <w:t xml:space="preserve">Track 3: Social, economic and policy aspects of ICT in sustainable communities </w:t>
      </w:r>
    </w:p>
    <w:p w:rsidR="00A16044" w:rsidRPr="00EF368B" w:rsidRDefault="00A16044" w:rsidP="00A16044">
      <w:pPr>
        <w:spacing w:before="60"/>
        <w:rPr>
          <w:lang w:val="en-US"/>
        </w:rPr>
      </w:pPr>
      <w:r w:rsidRPr="00EF368B">
        <w:rPr>
          <w:lang w:val="en-US"/>
        </w:rPr>
        <w:t>• Digital rights and identity management</w:t>
      </w:r>
    </w:p>
    <w:p w:rsidR="00A16044" w:rsidRPr="00EF368B" w:rsidRDefault="00A16044" w:rsidP="00A16044">
      <w:pPr>
        <w:spacing w:before="60"/>
        <w:rPr>
          <w:lang w:val="en-US"/>
        </w:rPr>
      </w:pPr>
      <w:r w:rsidRPr="00EF368B">
        <w:rPr>
          <w:lang w:val="en-US"/>
        </w:rPr>
        <w:t>• Societal impact</w:t>
      </w:r>
    </w:p>
    <w:p w:rsidR="00A16044" w:rsidRPr="00EF368B" w:rsidRDefault="00A16044" w:rsidP="00A16044">
      <w:pPr>
        <w:spacing w:before="60"/>
        <w:rPr>
          <w:lang w:val="en-US"/>
        </w:rPr>
      </w:pPr>
      <w:r w:rsidRPr="00EF368B">
        <w:rPr>
          <w:lang w:val="en-US"/>
        </w:rPr>
        <w:t>• Legislative and regulatory frameworks</w:t>
      </w:r>
    </w:p>
    <w:p w:rsidR="00A16044" w:rsidRPr="00EF368B" w:rsidRDefault="00A16044" w:rsidP="00A16044">
      <w:pPr>
        <w:spacing w:before="60"/>
        <w:rPr>
          <w:lang w:val="en-US"/>
        </w:rPr>
      </w:pPr>
      <w:r w:rsidRPr="00EF368B">
        <w:rPr>
          <w:lang w:val="en-US"/>
        </w:rPr>
        <w:t>• Security, confidentiality and privacy</w:t>
      </w:r>
    </w:p>
    <w:p w:rsidR="00A16044" w:rsidRPr="00EF368B" w:rsidRDefault="00A16044" w:rsidP="00A16044">
      <w:pPr>
        <w:spacing w:before="60"/>
        <w:rPr>
          <w:lang w:val="en-US"/>
        </w:rPr>
      </w:pPr>
      <w:r w:rsidRPr="00EF368B">
        <w:rPr>
          <w:lang w:val="en-US"/>
        </w:rPr>
        <w:t>• Accessibility and usability</w:t>
      </w:r>
    </w:p>
    <w:p w:rsidR="00A16044" w:rsidRPr="00EF368B" w:rsidRDefault="00A16044" w:rsidP="00A16044">
      <w:pPr>
        <w:spacing w:before="60"/>
        <w:rPr>
          <w:lang w:val="en-US"/>
        </w:rPr>
      </w:pPr>
      <w:r w:rsidRPr="00EF368B">
        <w:rPr>
          <w:lang w:val="en-US"/>
        </w:rPr>
        <w:t>• Business models (including accounting, billing and charging)</w:t>
      </w:r>
    </w:p>
    <w:p w:rsidR="00A16044" w:rsidRPr="00EF368B" w:rsidRDefault="00A16044" w:rsidP="00A16044">
      <w:pPr>
        <w:spacing w:before="60"/>
        <w:rPr>
          <w:lang w:val="en-US"/>
        </w:rPr>
      </w:pPr>
      <w:r w:rsidRPr="00EF368B">
        <w:rPr>
          <w:lang w:val="en-US"/>
        </w:rPr>
        <w:t>• Standardization models</w:t>
      </w:r>
    </w:p>
    <w:p w:rsidR="00A16044" w:rsidRPr="00EF368B" w:rsidRDefault="00A16044" w:rsidP="00A16044">
      <w:pPr>
        <w:spacing w:before="60"/>
        <w:rPr>
          <w:lang w:val="en-US"/>
        </w:rPr>
      </w:pPr>
      <w:r w:rsidRPr="00EF368B">
        <w:rPr>
          <w:lang w:val="en-US"/>
        </w:rPr>
        <w:t>• Network neutrality</w:t>
      </w:r>
    </w:p>
    <w:p w:rsidR="00A16044" w:rsidRPr="00EF368B" w:rsidRDefault="00A16044" w:rsidP="00A16044">
      <w:pPr>
        <w:spacing w:before="60"/>
        <w:rPr>
          <w:lang w:val="en-US"/>
        </w:rPr>
      </w:pPr>
      <w:r w:rsidRPr="00EF368B">
        <w:rPr>
          <w:lang w:val="en-US"/>
        </w:rPr>
        <w:t>• Inclusiveness, affordability and equal access</w:t>
      </w:r>
    </w:p>
    <w:p w:rsidR="00A16044" w:rsidRPr="00EF368B" w:rsidRDefault="00A16044" w:rsidP="00A16044">
      <w:pPr>
        <w:spacing w:before="60"/>
        <w:rPr>
          <w:lang w:val="en-US"/>
        </w:rPr>
      </w:pPr>
      <w:r w:rsidRPr="00EF368B">
        <w:rPr>
          <w:lang w:val="en-US"/>
        </w:rPr>
        <w:t>• Internationalization and localization</w:t>
      </w:r>
    </w:p>
    <w:p w:rsidR="00A16044" w:rsidRPr="00EF368B" w:rsidRDefault="00A16044" w:rsidP="00A16044">
      <w:pPr>
        <w:spacing w:before="60"/>
        <w:rPr>
          <w:lang w:val="en-US"/>
        </w:rPr>
      </w:pPr>
      <w:r w:rsidRPr="00EF368B">
        <w:rPr>
          <w:lang w:val="en-US"/>
        </w:rPr>
        <w:t>• Environmental sustainability</w:t>
      </w:r>
    </w:p>
    <w:p w:rsidR="00A16044" w:rsidRPr="00EF368B" w:rsidRDefault="00A16044" w:rsidP="00A16044">
      <w:pPr>
        <w:spacing w:before="60"/>
        <w:rPr>
          <w:lang w:val="en-US"/>
        </w:rPr>
      </w:pPr>
      <w:r w:rsidRPr="00EF368B">
        <w:rPr>
          <w:lang w:val="en-US"/>
        </w:rPr>
        <w:t>• Ethical issues</w:t>
      </w:r>
    </w:p>
    <w:p w:rsidR="00A16044" w:rsidRPr="00EF368B" w:rsidRDefault="00A16044" w:rsidP="00A16044">
      <w:pPr>
        <w:spacing w:before="60"/>
        <w:rPr>
          <w:lang w:val="en-US"/>
        </w:rPr>
      </w:pPr>
      <w:r w:rsidRPr="00EF368B">
        <w:rPr>
          <w:lang w:val="en-US"/>
        </w:rPr>
        <w:t>• Regulation (for QoS, network sharing, etc.)</w:t>
      </w:r>
    </w:p>
    <w:p w:rsidR="00A16044" w:rsidRPr="00EF368B" w:rsidRDefault="00A16044" w:rsidP="00A16044">
      <w:pPr>
        <w:spacing w:before="60"/>
        <w:rPr>
          <w:lang w:val="en-US"/>
        </w:rPr>
      </w:pPr>
      <w:r w:rsidRPr="00EF368B">
        <w:rPr>
          <w:lang w:val="en-US"/>
        </w:rPr>
        <w:t>• Standardization and innovation management</w:t>
      </w:r>
    </w:p>
    <w:p w:rsidR="00A16044" w:rsidRPr="00EF368B" w:rsidRDefault="00A16044" w:rsidP="00A16044">
      <w:pPr>
        <w:spacing w:before="60"/>
        <w:rPr>
          <w:lang w:val="en-US"/>
        </w:rPr>
      </w:pPr>
      <w:r w:rsidRPr="00EF368B">
        <w:rPr>
          <w:lang w:val="en-US"/>
        </w:rPr>
        <w:t>• Stakeholder perceptions in standards</w:t>
      </w:r>
    </w:p>
    <w:p w:rsidR="00A16044" w:rsidRDefault="00A16044" w:rsidP="00A16044">
      <w:pPr>
        <w:spacing w:before="60"/>
      </w:pPr>
      <w:r>
        <w:t>• Standards in healthcare services</w:t>
      </w:r>
    </w:p>
    <w:p w:rsidR="00A16044" w:rsidRDefault="00A16044" w:rsidP="00A16044">
      <w:pPr>
        <w:pStyle w:val="AnnexRef"/>
        <w:rPr>
          <w:lang w:val="en-US"/>
        </w:rPr>
      </w:pPr>
    </w:p>
    <w:p w:rsidR="00A16044" w:rsidRPr="0012086A" w:rsidRDefault="00A16044" w:rsidP="00A16044">
      <w:pPr>
        <w:pStyle w:val="AnnexTitle"/>
        <w:rPr>
          <w:lang w:val="en-US"/>
        </w:rPr>
        <w:sectPr w:rsidR="00A16044" w:rsidRPr="0012086A" w:rsidSect="00A16044">
          <w:type w:val="continuous"/>
          <w:pgSz w:w="11907" w:h="16840" w:code="9"/>
          <w:pgMar w:top="567" w:right="1089" w:bottom="567" w:left="1089" w:header="567" w:footer="567" w:gutter="0"/>
          <w:paperSrc w:first="15" w:other="15"/>
          <w:cols w:num="2" w:space="720"/>
          <w:titlePg/>
        </w:sectPr>
      </w:pPr>
    </w:p>
    <w:p w:rsidR="00A16044" w:rsidRPr="00A16044" w:rsidRDefault="00A16044" w:rsidP="00A16044">
      <w:pPr>
        <w:rPr>
          <w:lang w:val="en-US"/>
        </w:rPr>
      </w:pPr>
    </w:p>
    <w:p w:rsidR="00A16044" w:rsidRDefault="00A16044">
      <w:pPr>
        <w:jc w:val="center"/>
      </w:pPr>
      <w:r>
        <w:t>______________</w:t>
      </w:r>
    </w:p>
    <w:sectPr w:rsidR="00A16044" w:rsidSect="00A16044">
      <w:headerReference w:type="default" r:id="rId20"/>
      <w:footerReference w:type="default" r:id="rId21"/>
      <w:footerReference w:type="first" r:id="rId22"/>
      <w:type w:val="continuous"/>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C1" w:rsidRDefault="00E256C1">
      <w:r>
        <w:separator/>
      </w:r>
    </w:p>
  </w:endnote>
  <w:endnote w:type="continuationSeparator" w:id="0">
    <w:p w:rsidR="00E256C1" w:rsidRDefault="00E2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C1" w:rsidRPr="008828E1" w:rsidRDefault="008828E1" w:rsidP="008828E1">
    <w:pPr>
      <w:pStyle w:val="Footer"/>
    </w:pPr>
    <w:r w:rsidRPr="008828E1">
      <w:rPr>
        <w:sz w:val="16"/>
        <w:szCs w:val="16"/>
      </w:rPr>
      <w:t>ITU-T\BUREAU\CIRC\276</w:t>
    </w:r>
    <w:r>
      <w:rPr>
        <w:sz w:val="16"/>
        <w:szCs w:val="16"/>
      </w:rPr>
      <w:t>F</w:t>
    </w:r>
    <w:r w:rsidRPr="008828E1">
      <w:rPr>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E256C1" w:rsidRPr="00921A55">
      <w:trPr>
        <w:cantSplit/>
      </w:trPr>
      <w:tc>
        <w:tcPr>
          <w:tcW w:w="1062" w:type="pct"/>
          <w:tcBorders>
            <w:top w:val="single" w:sz="6" w:space="0" w:color="auto"/>
          </w:tcBorders>
          <w:tcMar>
            <w:top w:w="57" w:type="dxa"/>
          </w:tcMar>
        </w:tcPr>
        <w:p w:rsidR="00E256C1" w:rsidRDefault="00E256C1">
          <w:pPr>
            <w:pStyle w:val="itu"/>
          </w:pPr>
          <w:r>
            <w:t>Place des Nations</w:t>
          </w:r>
        </w:p>
      </w:tc>
      <w:tc>
        <w:tcPr>
          <w:tcW w:w="1584" w:type="pct"/>
          <w:tcBorders>
            <w:top w:val="single" w:sz="6" w:space="0" w:color="auto"/>
          </w:tcBorders>
          <w:tcMar>
            <w:top w:w="57" w:type="dxa"/>
          </w:tcMar>
        </w:tcPr>
        <w:p w:rsidR="00E256C1" w:rsidRDefault="00E256C1">
          <w:pPr>
            <w:pStyle w:val="itu"/>
          </w:pPr>
          <w:r>
            <w:t xml:space="preserve">Téléphone </w:t>
          </w:r>
          <w:r>
            <w:tab/>
            <w:t>+41 22 730 51 11</w:t>
          </w:r>
        </w:p>
      </w:tc>
      <w:tc>
        <w:tcPr>
          <w:tcW w:w="1223" w:type="pct"/>
          <w:tcBorders>
            <w:top w:val="single" w:sz="6" w:space="0" w:color="auto"/>
          </w:tcBorders>
          <w:tcMar>
            <w:top w:w="57" w:type="dxa"/>
          </w:tcMar>
        </w:tcPr>
        <w:p w:rsidR="00E256C1" w:rsidRDefault="00E256C1">
          <w:pPr>
            <w:pStyle w:val="itu"/>
          </w:pPr>
          <w:r>
            <w:t>Télex 421 000 uit ch</w:t>
          </w:r>
        </w:p>
      </w:tc>
      <w:tc>
        <w:tcPr>
          <w:tcW w:w="1131" w:type="pct"/>
          <w:tcBorders>
            <w:top w:val="single" w:sz="6" w:space="0" w:color="auto"/>
          </w:tcBorders>
          <w:tcMar>
            <w:top w:w="57" w:type="dxa"/>
          </w:tcMar>
        </w:tcPr>
        <w:p w:rsidR="00E256C1" w:rsidRDefault="00E256C1">
          <w:pPr>
            <w:pStyle w:val="itu"/>
          </w:pPr>
          <w:r>
            <w:t>E-mail:</w:t>
          </w:r>
          <w:r>
            <w:tab/>
            <w:t>itumail@itu.int</w:t>
          </w:r>
        </w:p>
      </w:tc>
    </w:tr>
    <w:tr w:rsidR="00E256C1">
      <w:trPr>
        <w:cantSplit/>
      </w:trPr>
      <w:tc>
        <w:tcPr>
          <w:tcW w:w="1062" w:type="pct"/>
        </w:tcPr>
        <w:p w:rsidR="00E256C1" w:rsidRDefault="00E256C1">
          <w:pPr>
            <w:pStyle w:val="itu"/>
          </w:pPr>
          <w:r>
            <w:t>CH-1211 Genève 20</w:t>
          </w:r>
        </w:p>
      </w:tc>
      <w:tc>
        <w:tcPr>
          <w:tcW w:w="1584" w:type="pct"/>
        </w:tcPr>
        <w:p w:rsidR="00E256C1" w:rsidRDefault="00E256C1">
          <w:pPr>
            <w:pStyle w:val="itu"/>
          </w:pPr>
          <w:r>
            <w:t>Téléfax</w:t>
          </w:r>
          <w:r>
            <w:tab/>
            <w:t>Gr3:</w:t>
          </w:r>
          <w:r>
            <w:tab/>
            <w:t>+41 22 733 72 56</w:t>
          </w:r>
        </w:p>
      </w:tc>
      <w:tc>
        <w:tcPr>
          <w:tcW w:w="1223" w:type="pct"/>
        </w:tcPr>
        <w:p w:rsidR="00E256C1" w:rsidRDefault="00E256C1">
          <w:pPr>
            <w:pStyle w:val="itu"/>
          </w:pPr>
          <w:r>
            <w:t>Télégramme ITU GENEVE</w:t>
          </w:r>
        </w:p>
      </w:tc>
      <w:tc>
        <w:tcPr>
          <w:tcW w:w="1131" w:type="pct"/>
        </w:tcPr>
        <w:p w:rsidR="00E256C1" w:rsidRDefault="00E256C1">
          <w:pPr>
            <w:pStyle w:val="itu"/>
          </w:pPr>
          <w:r>
            <w:tab/>
            <w:t>www.itu.int</w:t>
          </w:r>
        </w:p>
      </w:tc>
    </w:tr>
    <w:tr w:rsidR="00E256C1">
      <w:trPr>
        <w:cantSplit/>
      </w:trPr>
      <w:tc>
        <w:tcPr>
          <w:tcW w:w="1062" w:type="pct"/>
        </w:tcPr>
        <w:p w:rsidR="00E256C1" w:rsidRDefault="00E256C1">
          <w:pPr>
            <w:pStyle w:val="itu"/>
          </w:pPr>
          <w:r>
            <w:t>Suisse</w:t>
          </w:r>
        </w:p>
      </w:tc>
      <w:tc>
        <w:tcPr>
          <w:tcW w:w="1584" w:type="pct"/>
        </w:tcPr>
        <w:p w:rsidR="00E256C1" w:rsidRDefault="00E256C1">
          <w:pPr>
            <w:pStyle w:val="itu"/>
          </w:pPr>
          <w:r>
            <w:tab/>
            <w:t>Gr4:</w:t>
          </w:r>
          <w:r>
            <w:tab/>
            <w:t>+41 22 730 65 00</w:t>
          </w:r>
        </w:p>
      </w:tc>
      <w:tc>
        <w:tcPr>
          <w:tcW w:w="1223" w:type="pct"/>
        </w:tcPr>
        <w:p w:rsidR="00E256C1" w:rsidRDefault="00E256C1">
          <w:pPr>
            <w:pStyle w:val="itu"/>
          </w:pPr>
        </w:p>
      </w:tc>
      <w:tc>
        <w:tcPr>
          <w:tcW w:w="1131" w:type="pct"/>
        </w:tcPr>
        <w:p w:rsidR="00E256C1" w:rsidRDefault="00E256C1">
          <w:pPr>
            <w:pStyle w:val="itu"/>
          </w:pPr>
        </w:p>
      </w:tc>
    </w:tr>
  </w:tbl>
  <w:p w:rsidR="00E256C1" w:rsidRPr="002C4592" w:rsidRDefault="00E256C1" w:rsidP="00A16044">
    <w:pPr>
      <w:pStyle w:val="Footer"/>
      <w:tabs>
        <w:tab w:val="clear" w:pos="5954"/>
        <w:tab w:val="clear" w:pos="9639"/>
        <w:tab w:val="left" w:pos="1620"/>
      </w:tabs>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C1" w:rsidRPr="00DD0ABE" w:rsidRDefault="00E256C1" w:rsidP="00DD0ABE">
    <w:pPr>
      <w:pStyle w:val="Footer"/>
      <w:rPr>
        <w:sz w:val="16"/>
        <w:szCs w:val="16"/>
      </w:rPr>
    </w:pPr>
    <w:r w:rsidRPr="00DD0ABE">
      <w:rPr>
        <w:sz w:val="16"/>
        <w:szCs w:val="16"/>
      </w:rPr>
      <w:fldChar w:fldCharType="begin"/>
    </w:r>
    <w:r w:rsidRPr="00DD0ABE">
      <w:rPr>
        <w:sz w:val="16"/>
        <w:szCs w:val="16"/>
      </w:rPr>
      <w:instrText xml:space="preserve"> FILENAME \p  \* MERGEFORMAT </w:instrText>
    </w:r>
    <w:r w:rsidRPr="00DD0ABE">
      <w:rPr>
        <w:sz w:val="16"/>
        <w:szCs w:val="16"/>
      </w:rPr>
      <w:fldChar w:fldCharType="separate"/>
    </w:r>
    <w:r w:rsidR="008828E1">
      <w:rPr>
        <w:noProof/>
        <w:sz w:val="16"/>
        <w:szCs w:val="16"/>
      </w:rPr>
      <w:t>M:\KALEIDOSCOPE\K-2013\Letters\Circular\276F.DOCX</w:t>
    </w:r>
    <w:r w:rsidRPr="00DD0ABE">
      <w:rPr>
        <w:noProof/>
        <w:sz w:val="16"/>
        <w:szCs w:val="16"/>
      </w:rPr>
      <w:fldChar w:fldCharType="end"/>
    </w:r>
    <w:r w:rsidRPr="00DD0ABE">
      <w:rPr>
        <w:noProof/>
        <w:sz w:val="16"/>
        <w:szCs w:val="16"/>
      </w:rPr>
      <w:t xml:space="preserve"> (324722)</w:t>
    </w:r>
    <w:r w:rsidRPr="00DD0ABE">
      <w:rPr>
        <w:sz w:val="16"/>
        <w:szCs w:val="16"/>
      </w:rPr>
      <w:tab/>
    </w:r>
    <w:r w:rsidRPr="00DD0ABE">
      <w:rPr>
        <w:sz w:val="16"/>
        <w:szCs w:val="16"/>
      </w:rPr>
      <w:fldChar w:fldCharType="begin"/>
    </w:r>
    <w:r w:rsidRPr="00DD0ABE">
      <w:rPr>
        <w:sz w:val="16"/>
        <w:szCs w:val="16"/>
      </w:rPr>
      <w:instrText xml:space="preserve"> SAVEDATE \@ DD.MM.YY </w:instrText>
    </w:r>
    <w:r w:rsidRPr="00DD0ABE">
      <w:rPr>
        <w:sz w:val="16"/>
        <w:szCs w:val="16"/>
      </w:rPr>
      <w:fldChar w:fldCharType="separate"/>
    </w:r>
    <w:r w:rsidR="00FA78E9">
      <w:rPr>
        <w:noProof/>
        <w:sz w:val="16"/>
        <w:szCs w:val="16"/>
      </w:rPr>
      <w:t>15.06.12</w:t>
    </w:r>
    <w:r w:rsidRPr="00DD0ABE">
      <w:rPr>
        <w:sz w:val="16"/>
        <w:szCs w:val="16"/>
      </w:rPr>
      <w:fldChar w:fldCharType="end"/>
    </w:r>
    <w:r w:rsidRPr="00DD0ABE">
      <w:rPr>
        <w:sz w:val="16"/>
        <w:szCs w:val="16"/>
      </w:rPr>
      <w:tab/>
    </w:r>
    <w:r w:rsidRPr="00DD0ABE">
      <w:rPr>
        <w:sz w:val="16"/>
        <w:szCs w:val="16"/>
      </w:rPr>
      <w:fldChar w:fldCharType="begin"/>
    </w:r>
    <w:r w:rsidRPr="00DD0ABE">
      <w:rPr>
        <w:sz w:val="16"/>
        <w:szCs w:val="16"/>
      </w:rPr>
      <w:instrText xml:space="preserve"> PRINTDATE \@ DD.MM.YY </w:instrText>
    </w:r>
    <w:r w:rsidRPr="00DD0ABE">
      <w:rPr>
        <w:sz w:val="16"/>
        <w:szCs w:val="16"/>
      </w:rPr>
      <w:fldChar w:fldCharType="separate"/>
    </w:r>
    <w:r w:rsidR="008828E1">
      <w:rPr>
        <w:noProof/>
        <w:sz w:val="16"/>
        <w:szCs w:val="16"/>
      </w:rPr>
      <w:t>15.06.12</w:t>
    </w:r>
    <w:r w:rsidRPr="00DD0ABE">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E256C1" w:rsidRPr="00921A55" w:rsidTr="00DD0ABE">
      <w:trPr>
        <w:cantSplit/>
      </w:trPr>
      <w:tc>
        <w:tcPr>
          <w:tcW w:w="1062" w:type="pct"/>
          <w:tcBorders>
            <w:top w:val="single" w:sz="6" w:space="0" w:color="auto"/>
          </w:tcBorders>
          <w:tcMar>
            <w:top w:w="57" w:type="dxa"/>
          </w:tcMar>
        </w:tcPr>
        <w:p w:rsidR="00E256C1" w:rsidRDefault="00E256C1" w:rsidP="00DD0ABE">
          <w:pPr>
            <w:pStyle w:val="itu"/>
          </w:pPr>
          <w:r>
            <w:t>Place des Nations</w:t>
          </w:r>
        </w:p>
      </w:tc>
      <w:tc>
        <w:tcPr>
          <w:tcW w:w="1584" w:type="pct"/>
          <w:tcBorders>
            <w:top w:val="single" w:sz="6" w:space="0" w:color="auto"/>
          </w:tcBorders>
          <w:tcMar>
            <w:top w:w="57" w:type="dxa"/>
          </w:tcMar>
        </w:tcPr>
        <w:p w:rsidR="00E256C1" w:rsidRDefault="00E256C1" w:rsidP="00DD0ABE">
          <w:pPr>
            <w:pStyle w:val="itu"/>
          </w:pPr>
          <w:r>
            <w:t xml:space="preserve">Téléphone </w:t>
          </w:r>
          <w:r>
            <w:tab/>
            <w:t>+41 22 730 51 11</w:t>
          </w:r>
        </w:p>
      </w:tc>
      <w:tc>
        <w:tcPr>
          <w:tcW w:w="1223" w:type="pct"/>
          <w:tcBorders>
            <w:top w:val="single" w:sz="6" w:space="0" w:color="auto"/>
          </w:tcBorders>
          <w:tcMar>
            <w:top w:w="57" w:type="dxa"/>
          </w:tcMar>
        </w:tcPr>
        <w:p w:rsidR="00E256C1" w:rsidRDefault="00E256C1" w:rsidP="00DD0ABE">
          <w:pPr>
            <w:pStyle w:val="itu"/>
          </w:pPr>
          <w:r>
            <w:t>Télex 421 000 uit ch</w:t>
          </w:r>
        </w:p>
      </w:tc>
      <w:tc>
        <w:tcPr>
          <w:tcW w:w="1131" w:type="pct"/>
          <w:tcBorders>
            <w:top w:val="single" w:sz="6" w:space="0" w:color="auto"/>
          </w:tcBorders>
          <w:tcMar>
            <w:top w:w="57" w:type="dxa"/>
          </w:tcMar>
        </w:tcPr>
        <w:p w:rsidR="00E256C1" w:rsidRDefault="00E256C1" w:rsidP="00DD0ABE">
          <w:pPr>
            <w:pStyle w:val="itu"/>
          </w:pPr>
          <w:r>
            <w:t>E-mail:</w:t>
          </w:r>
          <w:r>
            <w:tab/>
            <w:t>itumail@itu.int</w:t>
          </w:r>
        </w:p>
      </w:tc>
    </w:tr>
    <w:tr w:rsidR="00E256C1" w:rsidTr="00DD0ABE">
      <w:trPr>
        <w:cantSplit/>
      </w:trPr>
      <w:tc>
        <w:tcPr>
          <w:tcW w:w="1062" w:type="pct"/>
        </w:tcPr>
        <w:p w:rsidR="00E256C1" w:rsidRDefault="00E256C1" w:rsidP="00DD0ABE">
          <w:pPr>
            <w:pStyle w:val="itu"/>
          </w:pPr>
          <w:r>
            <w:t>CH-1211 Genève 20</w:t>
          </w:r>
        </w:p>
      </w:tc>
      <w:tc>
        <w:tcPr>
          <w:tcW w:w="1584" w:type="pct"/>
        </w:tcPr>
        <w:p w:rsidR="00E256C1" w:rsidRDefault="00E256C1" w:rsidP="00DD0ABE">
          <w:pPr>
            <w:pStyle w:val="itu"/>
          </w:pPr>
          <w:r>
            <w:t>Téléfax</w:t>
          </w:r>
          <w:r>
            <w:tab/>
            <w:t>Gr3:</w:t>
          </w:r>
          <w:r>
            <w:tab/>
            <w:t>+41 22 733 72 56</w:t>
          </w:r>
        </w:p>
      </w:tc>
      <w:tc>
        <w:tcPr>
          <w:tcW w:w="1223" w:type="pct"/>
        </w:tcPr>
        <w:p w:rsidR="00E256C1" w:rsidRDefault="00E256C1" w:rsidP="00DD0ABE">
          <w:pPr>
            <w:pStyle w:val="itu"/>
          </w:pPr>
          <w:r>
            <w:t>Télégramme ITU GENEVE</w:t>
          </w:r>
        </w:p>
      </w:tc>
      <w:tc>
        <w:tcPr>
          <w:tcW w:w="1131" w:type="pct"/>
        </w:tcPr>
        <w:p w:rsidR="00E256C1" w:rsidRDefault="00E256C1" w:rsidP="00DD0ABE">
          <w:pPr>
            <w:pStyle w:val="itu"/>
          </w:pPr>
          <w:r>
            <w:tab/>
            <w:t>www.itu.int</w:t>
          </w:r>
        </w:p>
      </w:tc>
    </w:tr>
    <w:tr w:rsidR="00E256C1" w:rsidTr="00DD0ABE">
      <w:trPr>
        <w:cantSplit/>
      </w:trPr>
      <w:tc>
        <w:tcPr>
          <w:tcW w:w="1062" w:type="pct"/>
        </w:tcPr>
        <w:p w:rsidR="00E256C1" w:rsidRDefault="00E256C1" w:rsidP="00DD0ABE">
          <w:pPr>
            <w:pStyle w:val="itu"/>
          </w:pPr>
          <w:r>
            <w:t>Suisse</w:t>
          </w:r>
        </w:p>
      </w:tc>
      <w:tc>
        <w:tcPr>
          <w:tcW w:w="1584" w:type="pct"/>
        </w:tcPr>
        <w:p w:rsidR="00E256C1" w:rsidRDefault="00E256C1" w:rsidP="00DD0ABE">
          <w:pPr>
            <w:pStyle w:val="itu"/>
          </w:pPr>
          <w:r>
            <w:tab/>
            <w:t>Gr4:</w:t>
          </w:r>
          <w:r>
            <w:tab/>
            <w:t>+41 22 730 65 00</w:t>
          </w:r>
        </w:p>
      </w:tc>
      <w:tc>
        <w:tcPr>
          <w:tcW w:w="1223" w:type="pct"/>
        </w:tcPr>
        <w:p w:rsidR="00E256C1" w:rsidRDefault="00E256C1" w:rsidP="00DD0ABE">
          <w:pPr>
            <w:pStyle w:val="itu"/>
          </w:pPr>
        </w:p>
      </w:tc>
      <w:tc>
        <w:tcPr>
          <w:tcW w:w="1131" w:type="pct"/>
        </w:tcPr>
        <w:p w:rsidR="00E256C1" w:rsidRDefault="00E256C1" w:rsidP="00DD0ABE">
          <w:pPr>
            <w:pStyle w:val="itu"/>
          </w:pPr>
        </w:p>
      </w:tc>
    </w:tr>
  </w:tbl>
  <w:p w:rsidR="00E256C1" w:rsidRPr="00DD0ABE" w:rsidRDefault="00E256C1" w:rsidP="00DD0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C1" w:rsidRDefault="00E256C1">
      <w:r>
        <w:t>____________________</w:t>
      </w:r>
    </w:p>
  </w:footnote>
  <w:footnote w:type="continuationSeparator" w:id="0">
    <w:p w:rsidR="00E256C1" w:rsidRDefault="00E2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174487"/>
      <w:docPartObj>
        <w:docPartGallery w:val="Page Numbers (Top of Page)"/>
        <w:docPartUnique/>
      </w:docPartObj>
    </w:sdtPr>
    <w:sdtEndPr>
      <w:rPr>
        <w:noProof/>
        <w:sz w:val="18"/>
        <w:szCs w:val="18"/>
      </w:rPr>
    </w:sdtEndPr>
    <w:sdtContent>
      <w:p w:rsidR="00E256C1" w:rsidRDefault="00E256C1">
        <w:pPr>
          <w:pStyle w:val="Header"/>
          <w:rPr>
            <w:noProof/>
            <w:sz w:val="18"/>
            <w:szCs w:val="18"/>
          </w:rPr>
        </w:pPr>
        <w:r w:rsidRPr="00D61183">
          <w:rPr>
            <w:sz w:val="18"/>
            <w:szCs w:val="18"/>
          </w:rPr>
          <w:fldChar w:fldCharType="begin"/>
        </w:r>
        <w:r w:rsidRPr="00D61183">
          <w:rPr>
            <w:sz w:val="18"/>
            <w:szCs w:val="18"/>
          </w:rPr>
          <w:instrText xml:space="preserve"> PAGE   \* MERGEFORMAT </w:instrText>
        </w:r>
        <w:r w:rsidRPr="00D61183">
          <w:rPr>
            <w:sz w:val="18"/>
            <w:szCs w:val="18"/>
          </w:rPr>
          <w:fldChar w:fldCharType="separate"/>
        </w:r>
        <w:r w:rsidR="00FA78E9">
          <w:rPr>
            <w:noProof/>
            <w:sz w:val="18"/>
            <w:szCs w:val="18"/>
          </w:rPr>
          <w:t>5</w:t>
        </w:r>
        <w:r w:rsidRPr="00D61183">
          <w:rPr>
            <w:noProof/>
            <w:sz w:val="18"/>
            <w:szCs w:val="18"/>
          </w:rPr>
          <w:fldChar w:fldCharType="end"/>
        </w:r>
      </w:p>
      <w:p w:rsidR="00E256C1" w:rsidRPr="00D61183" w:rsidRDefault="00FA78E9">
        <w:pPr>
          <w:pStyle w:val="Header"/>
          <w:rPr>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6323"/>
      <w:docPartObj>
        <w:docPartGallery w:val="Page Numbers (Top of Page)"/>
        <w:docPartUnique/>
      </w:docPartObj>
    </w:sdtPr>
    <w:sdtEndPr/>
    <w:sdtContent>
      <w:p w:rsidR="00E256C1" w:rsidRDefault="00E256C1" w:rsidP="00A16044">
        <w:pPr>
          <w:pStyle w:val="Header"/>
        </w:pPr>
        <w:r>
          <w:fldChar w:fldCharType="begin"/>
        </w:r>
        <w:r>
          <w:instrText>PAGE   \* MERGEFORMAT</w:instrText>
        </w:r>
        <w:r>
          <w:fldChar w:fldCharType="separate"/>
        </w:r>
        <w:r w:rsidR="00367F93">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4807E9E"/>
    <w:multiLevelType w:val="hybridMultilevel"/>
    <w:tmpl w:val="956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AF"/>
    <w:rsid w:val="000039EE"/>
    <w:rsid w:val="00005622"/>
    <w:rsid w:val="0002519E"/>
    <w:rsid w:val="00035B43"/>
    <w:rsid w:val="000758B3"/>
    <w:rsid w:val="000B0D96"/>
    <w:rsid w:val="000B59D8"/>
    <w:rsid w:val="000C56BE"/>
    <w:rsid w:val="000F4900"/>
    <w:rsid w:val="001026FD"/>
    <w:rsid w:val="00115DD7"/>
    <w:rsid w:val="00167472"/>
    <w:rsid w:val="00167F92"/>
    <w:rsid w:val="00173738"/>
    <w:rsid w:val="001B79A3"/>
    <w:rsid w:val="002152A3"/>
    <w:rsid w:val="00271B89"/>
    <w:rsid w:val="00333A80"/>
    <w:rsid w:val="00364E95"/>
    <w:rsid w:val="00367F93"/>
    <w:rsid w:val="00372875"/>
    <w:rsid w:val="003B1E80"/>
    <w:rsid w:val="003B66E8"/>
    <w:rsid w:val="004033F1"/>
    <w:rsid w:val="00414B0C"/>
    <w:rsid w:val="004257AC"/>
    <w:rsid w:val="0043711B"/>
    <w:rsid w:val="004B732E"/>
    <w:rsid w:val="004D51F4"/>
    <w:rsid w:val="004D64E0"/>
    <w:rsid w:val="0051210D"/>
    <w:rsid w:val="005136D2"/>
    <w:rsid w:val="00517A03"/>
    <w:rsid w:val="005A1072"/>
    <w:rsid w:val="005A3DD9"/>
    <w:rsid w:val="005B1DFC"/>
    <w:rsid w:val="005F078B"/>
    <w:rsid w:val="00601682"/>
    <w:rsid w:val="006333F7"/>
    <w:rsid w:val="00644741"/>
    <w:rsid w:val="00650014"/>
    <w:rsid w:val="00684714"/>
    <w:rsid w:val="006968AF"/>
    <w:rsid w:val="006A2010"/>
    <w:rsid w:val="006A6FFE"/>
    <w:rsid w:val="006C5A91"/>
    <w:rsid w:val="007040DF"/>
    <w:rsid w:val="00716BBC"/>
    <w:rsid w:val="007321BC"/>
    <w:rsid w:val="007474B5"/>
    <w:rsid w:val="00760063"/>
    <w:rsid w:val="00775E4B"/>
    <w:rsid w:val="0079553B"/>
    <w:rsid w:val="007A40FE"/>
    <w:rsid w:val="007F0734"/>
    <w:rsid w:val="00810105"/>
    <w:rsid w:val="008157E0"/>
    <w:rsid w:val="00854E1D"/>
    <w:rsid w:val="008828E1"/>
    <w:rsid w:val="00887FA6"/>
    <w:rsid w:val="008C4397"/>
    <w:rsid w:val="008C465A"/>
    <w:rsid w:val="008F2C9B"/>
    <w:rsid w:val="00921A55"/>
    <w:rsid w:val="00923CD6"/>
    <w:rsid w:val="00935AA8"/>
    <w:rsid w:val="00971C9A"/>
    <w:rsid w:val="009D51FA"/>
    <w:rsid w:val="009F1E23"/>
    <w:rsid w:val="00A16044"/>
    <w:rsid w:val="00A51537"/>
    <w:rsid w:val="00A5280F"/>
    <w:rsid w:val="00A60FC1"/>
    <w:rsid w:val="00A97C37"/>
    <w:rsid w:val="00AC37B5"/>
    <w:rsid w:val="00AD752F"/>
    <w:rsid w:val="00B27B41"/>
    <w:rsid w:val="00B8573E"/>
    <w:rsid w:val="00BB24C0"/>
    <w:rsid w:val="00BD66A7"/>
    <w:rsid w:val="00BE7E01"/>
    <w:rsid w:val="00C26F2E"/>
    <w:rsid w:val="00C45376"/>
    <w:rsid w:val="00C756AF"/>
    <w:rsid w:val="00C9028F"/>
    <w:rsid w:val="00CA0416"/>
    <w:rsid w:val="00CB1125"/>
    <w:rsid w:val="00CD042E"/>
    <w:rsid w:val="00CF2560"/>
    <w:rsid w:val="00CF5B46"/>
    <w:rsid w:val="00D1196C"/>
    <w:rsid w:val="00D46B68"/>
    <w:rsid w:val="00D542A5"/>
    <w:rsid w:val="00DC3D47"/>
    <w:rsid w:val="00DD0ABE"/>
    <w:rsid w:val="00DD77DA"/>
    <w:rsid w:val="00E06C61"/>
    <w:rsid w:val="00E13DB3"/>
    <w:rsid w:val="00E2408B"/>
    <w:rsid w:val="00E256C1"/>
    <w:rsid w:val="00E72AE1"/>
    <w:rsid w:val="00E74779"/>
    <w:rsid w:val="00ED6A7A"/>
    <w:rsid w:val="00F346CE"/>
    <w:rsid w:val="00F34F98"/>
    <w:rsid w:val="00F40540"/>
    <w:rsid w:val="00F9451D"/>
    <w:rsid w:val="00FA78E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ListParagraph">
    <w:name w:val="List Paragraph"/>
    <w:basedOn w:val="Normal"/>
    <w:uiPriority w:val="34"/>
    <w:qFormat/>
    <w:rsid w:val="00DD0ABE"/>
    <w:pPr>
      <w:overflowPunct/>
      <w:autoSpaceDE/>
      <w:autoSpaceDN/>
      <w:adjustRightInd/>
      <w:ind w:left="720"/>
      <w:contextualSpacing/>
      <w:textAlignment w:val="auto"/>
    </w:pPr>
    <w:rPr>
      <w:lang w:val="en-GB"/>
    </w:rPr>
  </w:style>
  <w:style w:type="paragraph" w:customStyle="1" w:styleId="Reasons">
    <w:name w:val="Reasons"/>
    <w:basedOn w:val="Normal"/>
    <w:qFormat/>
    <w:rsid w:val="00A1604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8828E1"/>
    <w:pPr>
      <w:spacing w:before="0"/>
    </w:pPr>
    <w:rPr>
      <w:rFonts w:ascii="Tahoma" w:hAnsi="Tahoma" w:cs="Tahoma"/>
      <w:sz w:val="16"/>
      <w:szCs w:val="16"/>
    </w:rPr>
  </w:style>
  <w:style w:type="character" w:customStyle="1" w:styleId="BalloonTextChar">
    <w:name w:val="Balloon Text Char"/>
    <w:basedOn w:val="DefaultParagraphFont"/>
    <w:link w:val="BalloonText"/>
    <w:rsid w:val="008828E1"/>
    <w:rPr>
      <w:rFonts w:ascii="Tahoma" w:hAnsi="Tahoma" w:cs="Tahoma"/>
      <w:sz w:val="16"/>
      <w:szCs w:val="16"/>
      <w:lang w:val="fr-FR" w:eastAsia="en-US"/>
    </w:rPr>
  </w:style>
  <w:style w:type="character" w:styleId="FollowedHyperlink">
    <w:name w:val="FollowedHyperlink"/>
    <w:basedOn w:val="DefaultParagraphFont"/>
    <w:rsid w:val="008828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ListParagraph">
    <w:name w:val="List Paragraph"/>
    <w:basedOn w:val="Normal"/>
    <w:uiPriority w:val="34"/>
    <w:qFormat/>
    <w:rsid w:val="00DD0ABE"/>
    <w:pPr>
      <w:overflowPunct/>
      <w:autoSpaceDE/>
      <w:autoSpaceDN/>
      <w:adjustRightInd/>
      <w:ind w:left="720"/>
      <w:contextualSpacing/>
      <w:textAlignment w:val="auto"/>
    </w:pPr>
    <w:rPr>
      <w:lang w:val="en-GB"/>
    </w:rPr>
  </w:style>
  <w:style w:type="paragraph" w:customStyle="1" w:styleId="Reasons">
    <w:name w:val="Reasons"/>
    <w:basedOn w:val="Normal"/>
    <w:qFormat/>
    <w:rsid w:val="00A1604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8828E1"/>
    <w:pPr>
      <w:spacing w:before="0"/>
    </w:pPr>
    <w:rPr>
      <w:rFonts w:ascii="Tahoma" w:hAnsi="Tahoma" w:cs="Tahoma"/>
      <w:sz w:val="16"/>
      <w:szCs w:val="16"/>
    </w:rPr>
  </w:style>
  <w:style w:type="character" w:customStyle="1" w:styleId="BalloonTextChar">
    <w:name w:val="Balloon Text Char"/>
    <w:basedOn w:val="DefaultParagraphFont"/>
    <w:link w:val="BalloonText"/>
    <w:rsid w:val="008828E1"/>
    <w:rPr>
      <w:rFonts w:ascii="Tahoma" w:hAnsi="Tahoma" w:cs="Tahoma"/>
      <w:sz w:val="16"/>
      <w:szCs w:val="16"/>
      <w:lang w:val="fr-FR" w:eastAsia="en-US"/>
    </w:rPr>
  </w:style>
  <w:style w:type="character" w:styleId="FollowedHyperlink">
    <w:name w:val="FollowedHyperlink"/>
    <w:basedOn w:val="DefaultParagraphFont"/>
    <w:rsid w:val="00882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40812">
      <w:bodyDiv w:val="1"/>
      <w:marLeft w:val="0"/>
      <w:marRight w:val="0"/>
      <w:marTop w:val="0"/>
      <w:marBottom w:val="0"/>
      <w:divBdr>
        <w:top w:val="none" w:sz="0" w:space="0" w:color="auto"/>
        <w:left w:val="none" w:sz="0" w:space="0" w:color="auto"/>
        <w:bottom w:val="none" w:sz="0" w:space="0" w:color="auto"/>
        <w:right w:val="none" w:sz="0" w:space="0" w:color="auto"/>
      </w:divBdr>
    </w:div>
    <w:div w:id="20057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kaleidoscope.org/20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kaleidoscope.org/201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leidoscope@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kaleidoscope.org/201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kaleidoscope.org/2013" TargetMode="External"/><Relationship Id="rId23" Type="http://schemas.openxmlformats.org/officeDocument/2006/relationships/fontTable" Target="fontTable.xml"/><Relationship Id="rId10" Type="http://schemas.openxmlformats.org/officeDocument/2006/relationships/hyperlink" Target="mailto:kaleidoscope@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uni/kaleidoscope/2013/progcom.html"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2_REC_A8-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BE419-EF3E-46DA-B81A-E643C936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PF_TSBCIRC2_REC_A8-F.dotm</Template>
  <TotalTime>0</TotalTime>
  <Pages>5</Pages>
  <Words>1817</Words>
  <Characters>10357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12150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Papara, Marion</cp:lastModifiedBy>
  <cp:revision>2</cp:revision>
  <cp:lastPrinted>2012-06-15T10:21:00Z</cp:lastPrinted>
  <dcterms:created xsi:type="dcterms:W3CDTF">2012-06-15T12:51:00Z</dcterms:created>
  <dcterms:modified xsi:type="dcterms:W3CDTF">2012-06-15T12:51:00Z</dcterms:modified>
</cp:coreProperties>
</file>