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140" w:tblpY="736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6"/>
        <w:gridCol w:w="2825"/>
      </w:tblGrid>
      <w:tr w:rsidR="001629DC" w:rsidRPr="00D22127" w:rsidTr="00142940">
        <w:trPr>
          <w:cantSplit/>
        </w:trPr>
        <w:tc>
          <w:tcPr>
            <w:tcW w:w="7086" w:type="dxa"/>
            <w:vAlign w:val="center"/>
          </w:tcPr>
          <w:p w:rsidR="001629DC" w:rsidRPr="00D22127" w:rsidRDefault="001629DC" w:rsidP="00142940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_GoBack"/>
            <w:bookmarkEnd w:id="0"/>
            <w:r w:rsidRPr="00D22127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D22127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825" w:type="dxa"/>
            <w:vAlign w:val="center"/>
          </w:tcPr>
          <w:p w:rsidR="001629DC" w:rsidRPr="00D22127" w:rsidRDefault="00D47122" w:rsidP="0014294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D22127">
              <w:rPr>
                <w:noProof/>
                <w:szCs w:val="22"/>
                <w:lang w:eastAsia="zh-CN"/>
              </w:rPr>
              <w:drawing>
                <wp:inline distT="0" distB="0" distL="0" distR="0" wp14:anchorId="4CE69CDD" wp14:editId="461CA553">
                  <wp:extent cx="1310640" cy="701040"/>
                  <wp:effectExtent l="0" t="0" r="3810" b="3810"/>
                  <wp:docPr id="2" name="Picture 2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29DC" w:rsidRPr="00D22127" w:rsidTr="00142940">
        <w:trPr>
          <w:cantSplit/>
        </w:trPr>
        <w:tc>
          <w:tcPr>
            <w:tcW w:w="7086" w:type="dxa"/>
            <w:vAlign w:val="center"/>
          </w:tcPr>
          <w:p w:rsidR="001629DC" w:rsidRPr="00D22127" w:rsidRDefault="001629DC" w:rsidP="00142940">
            <w:pPr>
              <w:rPr>
                <w:lang w:val="ru-RU"/>
              </w:rPr>
            </w:pPr>
          </w:p>
        </w:tc>
        <w:tc>
          <w:tcPr>
            <w:tcW w:w="2825" w:type="dxa"/>
            <w:vAlign w:val="center"/>
          </w:tcPr>
          <w:p w:rsidR="001629DC" w:rsidRPr="00D22127" w:rsidRDefault="001629DC" w:rsidP="00142940">
            <w:pPr>
              <w:rPr>
                <w:lang w:val="ru-RU"/>
              </w:rPr>
            </w:pPr>
          </w:p>
        </w:tc>
      </w:tr>
    </w:tbl>
    <w:p w:rsidR="001629DC" w:rsidRPr="00D22127" w:rsidRDefault="001629DC" w:rsidP="00F56424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480" w:after="480"/>
        <w:rPr>
          <w:lang w:val="ru-RU"/>
        </w:rPr>
      </w:pPr>
      <w:r w:rsidRPr="00D22127">
        <w:rPr>
          <w:lang w:val="ru-RU"/>
        </w:rPr>
        <w:tab/>
        <w:t>Женева,</w:t>
      </w:r>
      <w:r w:rsidR="00B54B88" w:rsidRPr="00D22127">
        <w:rPr>
          <w:lang w:val="ru-RU"/>
        </w:rPr>
        <w:t xml:space="preserve"> </w:t>
      </w:r>
      <w:r w:rsidR="00644F0E" w:rsidRPr="00D22127">
        <w:rPr>
          <w:lang w:val="ru-RU"/>
        </w:rPr>
        <w:t>8</w:t>
      </w:r>
      <w:r w:rsidR="004C0C51" w:rsidRPr="00D22127">
        <w:rPr>
          <w:lang w:val="ru-RU"/>
        </w:rPr>
        <w:t xml:space="preserve"> </w:t>
      </w:r>
      <w:r w:rsidR="00644F0E" w:rsidRPr="00D22127">
        <w:rPr>
          <w:lang w:val="ru-RU"/>
        </w:rPr>
        <w:t>марта 2012</w:t>
      </w:r>
      <w:r w:rsidR="004C0C51" w:rsidRPr="00D22127">
        <w:rPr>
          <w:lang w:val="ru-RU"/>
        </w:rPr>
        <w:t xml:space="preserve"> 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124"/>
        <w:gridCol w:w="4371"/>
      </w:tblGrid>
      <w:tr w:rsidR="001629DC" w:rsidRPr="00D22127" w:rsidTr="00190C48">
        <w:trPr>
          <w:cantSplit/>
        </w:trPr>
        <w:tc>
          <w:tcPr>
            <w:tcW w:w="1276" w:type="dxa"/>
          </w:tcPr>
          <w:p w:rsidR="001629DC" w:rsidRPr="00D22127" w:rsidRDefault="001629DC" w:rsidP="00F56424">
            <w:pPr>
              <w:spacing w:before="0"/>
              <w:rPr>
                <w:lang w:val="ru-RU"/>
              </w:rPr>
            </w:pPr>
            <w:r w:rsidRPr="00D22127">
              <w:rPr>
                <w:lang w:val="ru-RU"/>
              </w:rPr>
              <w:t>Осн.:</w:t>
            </w:r>
          </w:p>
        </w:tc>
        <w:tc>
          <w:tcPr>
            <w:tcW w:w="4124" w:type="dxa"/>
          </w:tcPr>
          <w:p w:rsidR="00867192" w:rsidRPr="00D22127" w:rsidRDefault="001629DC" w:rsidP="00F56424">
            <w:pPr>
              <w:spacing w:before="0"/>
              <w:rPr>
                <w:lang w:val="ru-RU"/>
              </w:rPr>
            </w:pPr>
            <w:r w:rsidRPr="00D22127">
              <w:rPr>
                <w:b/>
                <w:bCs/>
                <w:lang w:val="ru-RU"/>
              </w:rPr>
              <w:t xml:space="preserve">Циркуляр </w:t>
            </w:r>
            <w:r w:rsidR="00644F0E" w:rsidRPr="00D22127">
              <w:rPr>
                <w:b/>
                <w:bCs/>
                <w:lang w:val="ru-RU"/>
              </w:rPr>
              <w:t>269</w:t>
            </w:r>
            <w:r w:rsidRPr="00D22127">
              <w:rPr>
                <w:b/>
                <w:bCs/>
                <w:lang w:val="ru-RU"/>
              </w:rPr>
              <w:t xml:space="preserve"> БСЭ</w:t>
            </w:r>
            <w:r w:rsidR="00867192" w:rsidRPr="00D22127">
              <w:rPr>
                <w:b/>
                <w:bCs/>
                <w:lang w:val="ru-RU"/>
              </w:rPr>
              <w:br/>
            </w:r>
            <w:r w:rsidRPr="00D22127">
              <w:rPr>
                <w:lang w:val="ru-RU"/>
              </w:rPr>
              <w:t xml:space="preserve">COM </w:t>
            </w:r>
            <w:r w:rsidR="00C121AB" w:rsidRPr="00D22127">
              <w:rPr>
                <w:lang w:val="ru-RU"/>
              </w:rPr>
              <w:t>17</w:t>
            </w:r>
            <w:r w:rsidRPr="00D22127">
              <w:rPr>
                <w:lang w:val="ru-RU"/>
              </w:rPr>
              <w:t>/</w:t>
            </w:r>
            <w:r w:rsidR="00C121AB" w:rsidRPr="00D22127">
              <w:rPr>
                <w:lang w:val="ru-RU"/>
              </w:rPr>
              <w:t>MEU</w:t>
            </w:r>
          </w:p>
          <w:p w:rsidR="001629DC" w:rsidRPr="00D22127" w:rsidRDefault="001629DC" w:rsidP="00F56424">
            <w:pPr>
              <w:spacing w:before="0"/>
              <w:rPr>
                <w:lang w:val="ru-RU"/>
              </w:rPr>
            </w:pPr>
          </w:p>
        </w:tc>
        <w:tc>
          <w:tcPr>
            <w:tcW w:w="4371" w:type="dxa"/>
          </w:tcPr>
          <w:p w:rsidR="001629DC" w:rsidRPr="00D22127" w:rsidRDefault="001629DC" w:rsidP="00F5642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22127">
              <w:rPr>
                <w:lang w:val="ru-RU"/>
              </w:rPr>
              <w:t>–</w:t>
            </w:r>
            <w:r w:rsidRPr="00D22127">
              <w:rPr>
                <w:lang w:val="ru-RU"/>
              </w:rPr>
              <w:tab/>
              <w:t>Администрациям Государств – Членов Союза</w:t>
            </w:r>
          </w:p>
        </w:tc>
      </w:tr>
      <w:tr w:rsidR="001629DC" w:rsidRPr="006B6817" w:rsidTr="00190C48">
        <w:trPr>
          <w:cantSplit/>
        </w:trPr>
        <w:tc>
          <w:tcPr>
            <w:tcW w:w="1276" w:type="dxa"/>
          </w:tcPr>
          <w:p w:rsidR="001629DC" w:rsidRPr="00D22127" w:rsidRDefault="001629DC" w:rsidP="00F56424">
            <w:pPr>
              <w:spacing w:before="0"/>
              <w:rPr>
                <w:lang w:val="ru-RU"/>
              </w:rPr>
            </w:pPr>
            <w:r w:rsidRPr="00D22127">
              <w:rPr>
                <w:lang w:val="ru-RU"/>
              </w:rPr>
              <w:t>Тел.:</w:t>
            </w:r>
            <w:r w:rsidR="00867192" w:rsidRPr="00D22127">
              <w:rPr>
                <w:lang w:val="ru-RU"/>
              </w:rPr>
              <w:br/>
            </w:r>
            <w:r w:rsidRPr="00D22127">
              <w:rPr>
                <w:lang w:val="ru-RU"/>
              </w:rPr>
              <w:t>Факс:</w:t>
            </w:r>
            <w:r w:rsidR="00867192" w:rsidRPr="00D22127">
              <w:rPr>
                <w:lang w:val="ru-RU"/>
              </w:rPr>
              <w:br/>
            </w:r>
            <w:r w:rsidRPr="00D22127">
              <w:rPr>
                <w:lang w:val="ru-RU"/>
              </w:rPr>
              <w:t>Эл. почта:</w:t>
            </w:r>
          </w:p>
        </w:tc>
        <w:tc>
          <w:tcPr>
            <w:tcW w:w="4124" w:type="dxa"/>
          </w:tcPr>
          <w:p w:rsidR="001629DC" w:rsidRPr="00D22127" w:rsidRDefault="001629DC" w:rsidP="00F56424">
            <w:pPr>
              <w:spacing w:before="0"/>
              <w:rPr>
                <w:lang w:val="ru-RU"/>
              </w:rPr>
            </w:pPr>
            <w:r w:rsidRPr="00D22127">
              <w:rPr>
                <w:lang w:val="ru-RU"/>
              </w:rPr>
              <w:t xml:space="preserve">+41 22 730 </w:t>
            </w:r>
            <w:r w:rsidR="00C121AB" w:rsidRPr="00D22127">
              <w:rPr>
                <w:lang w:val="ru-RU"/>
              </w:rPr>
              <w:t>5866</w:t>
            </w:r>
            <w:r w:rsidRPr="00D22127">
              <w:rPr>
                <w:lang w:val="ru-RU"/>
              </w:rPr>
              <w:br/>
              <w:t>+41 22 730 5853</w:t>
            </w:r>
            <w:r w:rsidR="00867192" w:rsidRPr="00D22127">
              <w:rPr>
                <w:lang w:val="ru-RU"/>
              </w:rPr>
              <w:br/>
            </w:r>
            <w:hyperlink r:id="rId10" w:history="1">
              <w:r w:rsidR="00C121AB" w:rsidRPr="00D22127">
                <w:rPr>
                  <w:rStyle w:val="Hyperlink"/>
                  <w:lang w:val="ru-RU"/>
                </w:rPr>
                <w:t>tsbsg17@itu.int</w:t>
              </w:r>
            </w:hyperlink>
          </w:p>
        </w:tc>
        <w:tc>
          <w:tcPr>
            <w:tcW w:w="4371" w:type="dxa"/>
          </w:tcPr>
          <w:p w:rsidR="001629DC" w:rsidRPr="00D22127" w:rsidRDefault="001629DC" w:rsidP="00F5642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120"/>
              <w:ind w:left="284" w:hanging="284"/>
              <w:rPr>
                <w:lang w:val="ru-RU"/>
              </w:rPr>
            </w:pPr>
            <w:r w:rsidRPr="00D22127">
              <w:rPr>
                <w:b/>
                <w:bCs/>
                <w:lang w:val="ru-RU"/>
              </w:rPr>
              <w:t>Копии</w:t>
            </w:r>
            <w:r w:rsidRPr="00D22127">
              <w:rPr>
                <w:lang w:val="ru-RU"/>
              </w:rPr>
              <w:t>:</w:t>
            </w:r>
          </w:p>
          <w:p w:rsidR="001629DC" w:rsidRPr="00D22127" w:rsidRDefault="001629DC" w:rsidP="00F5642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22127">
              <w:rPr>
                <w:lang w:val="ru-RU"/>
              </w:rPr>
              <w:t>–</w:t>
            </w:r>
            <w:r w:rsidRPr="00D22127">
              <w:rPr>
                <w:lang w:val="ru-RU"/>
              </w:rPr>
              <w:tab/>
              <w:t>Членам Сектора МСЭ-Т</w:t>
            </w:r>
          </w:p>
          <w:p w:rsidR="001629DC" w:rsidRPr="00D22127" w:rsidRDefault="001629DC" w:rsidP="00F5642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22127">
              <w:rPr>
                <w:lang w:val="ru-RU"/>
              </w:rPr>
              <w:t>–</w:t>
            </w:r>
            <w:r w:rsidRPr="00D22127">
              <w:rPr>
                <w:lang w:val="ru-RU"/>
              </w:rPr>
              <w:tab/>
              <w:t>Ассоциированным членам МСЭ-Т</w:t>
            </w:r>
          </w:p>
          <w:p w:rsidR="009B6144" w:rsidRPr="00D22127" w:rsidRDefault="009B6144" w:rsidP="00F5642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22127">
              <w:rPr>
                <w:lang w:val="ru-RU"/>
              </w:rPr>
              <w:t>–</w:t>
            </w:r>
            <w:r w:rsidRPr="00D22127">
              <w:rPr>
                <w:lang w:val="ru-RU"/>
              </w:rPr>
              <w:tab/>
            </w:r>
            <w:r w:rsidR="002736E9" w:rsidRPr="00D22127">
              <w:rPr>
                <w:lang w:val="ru-RU"/>
              </w:rPr>
              <w:t>Академическим организациям − Членам МСЭ</w:t>
            </w:r>
            <w:r w:rsidR="002736E9" w:rsidRPr="00D22127">
              <w:rPr>
                <w:lang w:val="ru-RU"/>
              </w:rPr>
              <w:noBreakHyphen/>
              <w:t>Т</w:t>
            </w:r>
          </w:p>
          <w:p w:rsidR="001629DC" w:rsidRPr="00D22127" w:rsidRDefault="001629DC" w:rsidP="00F5642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22127">
              <w:rPr>
                <w:lang w:val="ru-RU"/>
              </w:rPr>
              <w:t>–</w:t>
            </w:r>
            <w:r w:rsidRPr="00D22127">
              <w:rPr>
                <w:lang w:val="ru-RU"/>
              </w:rPr>
              <w:tab/>
              <w:t xml:space="preserve">Председателю и заместителям председателя </w:t>
            </w:r>
            <w:r w:rsidR="00C121AB" w:rsidRPr="00D22127">
              <w:rPr>
                <w:lang w:val="ru-RU"/>
              </w:rPr>
              <w:t>17</w:t>
            </w:r>
            <w:r w:rsidRPr="00D22127">
              <w:rPr>
                <w:lang w:val="ru-RU"/>
              </w:rPr>
              <w:t>-й Исследовательской комиссии</w:t>
            </w:r>
          </w:p>
          <w:p w:rsidR="001629DC" w:rsidRPr="00D22127" w:rsidRDefault="001629DC" w:rsidP="00F5642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22127">
              <w:rPr>
                <w:lang w:val="ru-RU"/>
              </w:rPr>
              <w:t>–</w:t>
            </w:r>
            <w:r w:rsidRPr="00D22127">
              <w:rPr>
                <w:lang w:val="ru-RU"/>
              </w:rPr>
              <w:tab/>
              <w:t>Директору Бюро развития электросвязи</w:t>
            </w:r>
          </w:p>
          <w:p w:rsidR="001629DC" w:rsidRPr="00D22127" w:rsidRDefault="001629DC" w:rsidP="00F5642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22127">
              <w:rPr>
                <w:lang w:val="ru-RU"/>
              </w:rPr>
              <w:t>–</w:t>
            </w:r>
            <w:r w:rsidRPr="00D22127">
              <w:rPr>
                <w:lang w:val="ru-RU"/>
              </w:rPr>
              <w:tab/>
              <w:t>Директору Бюро радиосвязи</w:t>
            </w:r>
          </w:p>
        </w:tc>
      </w:tr>
      <w:tr w:rsidR="00BA1631" w:rsidRPr="006B6817" w:rsidTr="00190C48">
        <w:trPr>
          <w:cantSplit/>
        </w:trPr>
        <w:tc>
          <w:tcPr>
            <w:tcW w:w="1276" w:type="dxa"/>
          </w:tcPr>
          <w:p w:rsidR="00BA1631" w:rsidRPr="00D22127" w:rsidRDefault="00BA1631" w:rsidP="00BA1631">
            <w:pPr>
              <w:rPr>
                <w:lang w:val="ru-RU"/>
              </w:rPr>
            </w:pPr>
          </w:p>
        </w:tc>
        <w:tc>
          <w:tcPr>
            <w:tcW w:w="4124" w:type="dxa"/>
          </w:tcPr>
          <w:p w:rsidR="00BA1631" w:rsidRPr="00D22127" w:rsidRDefault="00BA1631" w:rsidP="00BA1631">
            <w:pPr>
              <w:rPr>
                <w:lang w:val="ru-RU"/>
              </w:rPr>
            </w:pPr>
          </w:p>
        </w:tc>
        <w:tc>
          <w:tcPr>
            <w:tcW w:w="4371" w:type="dxa"/>
          </w:tcPr>
          <w:p w:rsidR="00BA1631" w:rsidRPr="00D22127" w:rsidRDefault="00BA1631" w:rsidP="00BA163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rPr>
                <w:b/>
                <w:bCs/>
                <w:lang w:val="ru-RU"/>
              </w:rPr>
            </w:pPr>
          </w:p>
        </w:tc>
      </w:tr>
      <w:tr w:rsidR="00BA1631" w:rsidRPr="00D22127" w:rsidTr="00190C48">
        <w:trPr>
          <w:cantSplit/>
        </w:trPr>
        <w:tc>
          <w:tcPr>
            <w:tcW w:w="1276" w:type="dxa"/>
          </w:tcPr>
          <w:p w:rsidR="00BA1631" w:rsidRPr="00D22127" w:rsidRDefault="00BA1631" w:rsidP="00F56424">
            <w:pPr>
              <w:spacing w:before="0"/>
              <w:rPr>
                <w:lang w:val="ru-RU"/>
              </w:rPr>
            </w:pPr>
            <w:r w:rsidRPr="00D22127">
              <w:rPr>
                <w:lang w:val="ru-RU"/>
              </w:rPr>
              <w:t>Предмет:</w:t>
            </w:r>
          </w:p>
        </w:tc>
        <w:tc>
          <w:tcPr>
            <w:tcW w:w="8495" w:type="dxa"/>
            <w:gridSpan w:val="2"/>
          </w:tcPr>
          <w:p w:rsidR="00BA1631" w:rsidRPr="00D22127" w:rsidRDefault="00BA1631" w:rsidP="00BA163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120"/>
              <w:rPr>
                <w:b/>
                <w:bCs/>
                <w:lang w:val="ru-RU"/>
              </w:rPr>
            </w:pPr>
            <w:r w:rsidRPr="00D22127">
              <w:rPr>
                <w:b/>
                <w:bCs/>
                <w:lang w:val="ru-RU"/>
              </w:rPr>
              <w:t>Собрание 17</w:t>
            </w:r>
            <w:r w:rsidRPr="00D22127">
              <w:rPr>
                <w:b/>
                <w:bCs/>
                <w:lang w:val="ru-RU"/>
              </w:rPr>
              <w:noBreakHyphen/>
              <w:t>й Исследовательской комиссии, имеющее целью утверждение</w:t>
            </w:r>
            <w:r w:rsidRPr="00D22127">
              <w:rPr>
                <w:b/>
                <w:bCs/>
                <w:lang w:val="ru-RU"/>
              </w:rPr>
              <w:br/>
              <w:t xml:space="preserve">проектов новых Рекомендаций МСЭ-Т </w:t>
            </w:r>
            <w:r w:rsidRPr="00D22127">
              <w:rPr>
                <w:b/>
                <w:lang w:val="ru-RU"/>
              </w:rPr>
              <w:t xml:space="preserve">X.1054, X.1254, X.1527, X.1528, X.1528.1, X.1528.2, X.1528.3, X.1528.4, </w:t>
            </w:r>
            <w:r w:rsidR="00D22127" w:rsidRPr="00D22127">
              <w:rPr>
                <w:b/>
                <w:lang w:val="ru-RU"/>
              </w:rPr>
              <w:t>X.1541, X.1580</w:t>
            </w:r>
            <w:r w:rsidRPr="00D22127">
              <w:rPr>
                <w:b/>
                <w:lang w:val="ru-RU"/>
              </w:rPr>
              <w:t xml:space="preserve"> и X.1581</w:t>
            </w:r>
            <w:r w:rsidRPr="00D22127">
              <w:rPr>
                <w:b/>
                <w:bCs/>
                <w:lang w:val="ru-RU"/>
              </w:rPr>
              <w:t xml:space="preserve"> в соответствии с положениями раздела 9 Резолюции 1 (Йоханнесбург, 2008 г.) ВАСЭ </w:t>
            </w:r>
            <w:r w:rsidRPr="00D22127">
              <w:rPr>
                <w:b/>
                <w:bCs/>
                <w:lang w:val="ru-RU"/>
              </w:rPr>
              <w:br/>
              <w:t>Женева, 7 сентября 2012 года</w:t>
            </w:r>
          </w:p>
        </w:tc>
      </w:tr>
    </w:tbl>
    <w:p w:rsidR="001629DC" w:rsidRPr="00D22127" w:rsidRDefault="001629DC" w:rsidP="0005179F">
      <w:pPr>
        <w:pStyle w:val="Normalaftertitle"/>
        <w:spacing w:before="480"/>
        <w:rPr>
          <w:lang w:val="ru-RU"/>
        </w:rPr>
      </w:pPr>
      <w:r w:rsidRPr="00D22127">
        <w:rPr>
          <w:lang w:val="ru-RU"/>
        </w:rPr>
        <w:t>Уважаемая госпожа,</w:t>
      </w:r>
      <w:r w:rsidRPr="00D22127">
        <w:rPr>
          <w:lang w:val="ru-RU"/>
        </w:rPr>
        <w:br/>
        <w:t>уважаемый господин,</w:t>
      </w:r>
    </w:p>
    <w:p w:rsidR="001629DC" w:rsidRPr="00D22127" w:rsidRDefault="001629DC" w:rsidP="00F56424">
      <w:pPr>
        <w:spacing w:before="240"/>
        <w:rPr>
          <w:lang w:val="ru-RU"/>
        </w:rPr>
      </w:pPr>
      <w:r w:rsidRPr="00D22127">
        <w:rPr>
          <w:lang w:val="ru-RU"/>
        </w:rPr>
        <w:t>1</w:t>
      </w:r>
      <w:r w:rsidRPr="00D22127">
        <w:rPr>
          <w:lang w:val="ru-RU"/>
        </w:rPr>
        <w:tab/>
        <w:t xml:space="preserve">По просьбе председателя </w:t>
      </w:r>
      <w:r w:rsidR="00BA3B2D" w:rsidRPr="00D22127">
        <w:rPr>
          <w:lang w:val="ru-RU"/>
        </w:rPr>
        <w:t>17</w:t>
      </w:r>
      <w:r w:rsidRPr="00D22127">
        <w:rPr>
          <w:lang w:val="ru-RU"/>
        </w:rPr>
        <w:noBreakHyphen/>
        <w:t>й Исследовательской комиссии (</w:t>
      </w:r>
      <w:r w:rsidR="00BA3B2D" w:rsidRPr="00D22127">
        <w:rPr>
          <w:i/>
          <w:iCs/>
          <w:szCs w:val="22"/>
          <w:lang w:val="ru-RU"/>
        </w:rPr>
        <w:t>Безопасность</w:t>
      </w:r>
      <w:r w:rsidRPr="00D22127">
        <w:rPr>
          <w:lang w:val="ru-RU"/>
        </w:rPr>
        <w:t>)</w:t>
      </w:r>
      <w:r w:rsidR="007752C4" w:rsidRPr="00D22127">
        <w:rPr>
          <w:lang w:val="ru-RU"/>
        </w:rPr>
        <w:t xml:space="preserve"> </w:t>
      </w:r>
      <w:r w:rsidRPr="00D22127">
        <w:rPr>
          <w:lang w:val="ru-RU"/>
        </w:rPr>
        <w:t xml:space="preserve">имею честь сообщить </w:t>
      </w:r>
      <w:r w:rsidR="00190C48" w:rsidRPr="00D22127">
        <w:rPr>
          <w:lang w:val="ru-RU"/>
        </w:rPr>
        <w:t>вам</w:t>
      </w:r>
      <w:r w:rsidRPr="00D22127">
        <w:rPr>
          <w:lang w:val="ru-RU"/>
        </w:rPr>
        <w:t>, что указанная Исследовательская комиссия, собр</w:t>
      </w:r>
      <w:r w:rsidR="002D06B7" w:rsidRPr="00D22127">
        <w:rPr>
          <w:lang w:val="ru-RU"/>
        </w:rPr>
        <w:t>ание которой состоится с </w:t>
      </w:r>
      <w:r w:rsidR="00644F0E" w:rsidRPr="00D22127">
        <w:rPr>
          <w:lang w:val="ru-RU"/>
        </w:rPr>
        <w:t>29</w:t>
      </w:r>
      <w:r w:rsidR="00BA3B2D" w:rsidRPr="00D22127">
        <w:rPr>
          <w:lang w:val="ru-RU"/>
        </w:rPr>
        <w:t xml:space="preserve"> </w:t>
      </w:r>
      <w:r w:rsidR="00644F0E" w:rsidRPr="00D22127">
        <w:rPr>
          <w:lang w:val="ru-RU"/>
        </w:rPr>
        <w:t>августа</w:t>
      </w:r>
      <w:r w:rsidR="00BA1631" w:rsidRPr="00D22127">
        <w:rPr>
          <w:lang w:val="ru-RU"/>
        </w:rPr>
        <w:t xml:space="preserve"> </w:t>
      </w:r>
      <w:r w:rsidR="002D06B7" w:rsidRPr="00D22127">
        <w:rPr>
          <w:lang w:val="ru-RU"/>
        </w:rPr>
        <w:t>по </w:t>
      </w:r>
      <w:r w:rsidR="00644F0E" w:rsidRPr="00D22127">
        <w:rPr>
          <w:lang w:val="ru-RU"/>
        </w:rPr>
        <w:t>7</w:t>
      </w:r>
      <w:r w:rsidR="00BA3B2D" w:rsidRPr="00D22127">
        <w:rPr>
          <w:lang w:val="ru-RU"/>
        </w:rPr>
        <w:t xml:space="preserve"> </w:t>
      </w:r>
      <w:r w:rsidR="00644F0E" w:rsidRPr="00D22127">
        <w:rPr>
          <w:lang w:val="ru-RU"/>
        </w:rPr>
        <w:t>сентября</w:t>
      </w:r>
      <w:r w:rsidR="00BA3B2D" w:rsidRPr="00D22127">
        <w:rPr>
          <w:lang w:val="ru-RU"/>
        </w:rPr>
        <w:t xml:space="preserve"> 2012 </w:t>
      </w:r>
      <w:r w:rsidR="002D06B7" w:rsidRPr="00D22127">
        <w:rPr>
          <w:lang w:val="ru-RU"/>
        </w:rPr>
        <w:t>года</w:t>
      </w:r>
      <w:r w:rsidRPr="00D22127">
        <w:rPr>
          <w:lang w:val="ru-RU"/>
        </w:rPr>
        <w:t xml:space="preserve">, намеревается применить для утверждения вышеупомянутых проектов новых Рекомендаций процедуру, описанную в разделе 9 Резолюции 1 </w:t>
      </w:r>
      <w:r w:rsidR="00B54B88" w:rsidRPr="00D22127">
        <w:rPr>
          <w:lang w:val="ru-RU"/>
        </w:rPr>
        <w:t xml:space="preserve">(Йоханнесбург, 2008 г.) </w:t>
      </w:r>
      <w:r w:rsidRPr="00D22127">
        <w:rPr>
          <w:lang w:val="ru-RU"/>
        </w:rPr>
        <w:t>ВАСЭ.</w:t>
      </w:r>
    </w:p>
    <w:p w:rsidR="001629DC" w:rsidRPr="00D22127" w:rsidRDefault="001629DC" w:rsidP="00BA3B2D">
      <w:pPr>
        <w:rPr>
          <w:lang w:val="ru-RU"/>
        </w:rPr>
      </w:pPr>
      <w:r w:rsidRPr="00D22127">
        <w:rPr>
          <w:lang w:val="ru-RU"/>
        </w:rPr>
        <w:t>2</w:t>
      </w:r>
      <w:r w:rsidRPr="00D22127">
        <w:rPr>
          <w:lang w:val="ru-RU"/>
        </w:rPr>
        <w:tab/>
        <w:t>Названия, краткое изложение предлагаемых к утверждению проектов новых Рекомендаций МСЭ</w:t>
      </w:r>
      <w:r w:rsidRPr="00D22127">
        <w:rPr>
          <w:lang w:val="ru-RU"/>
        </w:rPr>
        <w:noBreakHyphen/>
        <w:t xml:space="preserve">Т и указание на место их размещения содержатся в </w:t>
      </w:r>
      <w:r w:rsidRPr="00D22127">
        <w:rPr>
          <w:b/>
          <w:bCs/>
          <w:lang w:val="ru-RU"/>
        </w:rPr>
        <w:t>Приложении 1</w:t>
      </w:r>
      <w:r w:rsidRPr="00D22127">
        <w:rPr>
          <w:lang w:val="ru-RU"/>
        </w:rPr>
        <w:t>.</w:t>
      </w:r>
    </w:p>
    <w:p w:rsidR="001629DC" w:rsidRPr="00D22127" w:rsidRDefault="001629DC" w:rsidP="004C0C51">
      <w:pPr>
        <w:rPr>
          <w:lang w:val="ru-RU"/>
        </w:rPr>
      </w:pPr>
      <w:r w:rsidRPr="00D22127">
        <w:rPr>
          <w:lang w:val="ru-RU"/>
        </w:rPr>
        <w:t>3</w:t>
      </w:r>
      <w:r w:rsidRPr="00D22127">
        <w:rPr>
          <w:lang w:val="ru-RU"/>
        </w:rPr>
        <w:tab/>
        <w:t>Просьба ко всем Государств</w:t>
      </w:r>
      <w:r w:rsidR="00B54B88" w:rsidRPr="00D22127">
        <w:rPr>
          <w:lang w:val="ru-RU"/>
        </w:rPr>
        <w:t>ам – Членам МСЭ, Членам Сектора,</w:t>
      </w:r>
      <w:r w:rsidRPr="00D22127">
        <w:rPr>
          <w:lang w:val="ru-RU"/>
        </w:rPr>
        <w:t xml:space="preserve"> Ассоциированным членам</w:t>
      </w:r>
      <w:r w:rsidR="00B54B88" w:rsidRPr="00D22127">
        <w:rPr>
          <w:lang w:val="ru-RU"/>
        </w:rPr>
        <w:t xml:space="preserve"> или </w:t>
      </w:r>
      <w:r w:rsidR="002736E9" w:rsidRPr="00D22127">
        <w:rPr>
          <w:lang w:val="ru-RU"/>
        </w:rPr>
        <w:t>академическим учреждениям</w:t>
      </w:r>
      <w:r w:rsidRPr="00D22127">
        <w:rPr>
          <w:lang w:val="ru-RU"/>
        </w:rPr>
        <w:t>, располагающим информацией о принадлежащи</w:t>
      </w:r>
      <w:r w:rsidR="004C0C51" w:rsidRPr="00D22127">
        <w:rPr>
          <w:lang w:val="ru-RU"/>
        </w:rPr>
        <w:t>х</w:t>
      </w:r>
      <w:r w:rsidRPr="00D22127">
        <w:rPr>
          <w:lang w:val="ru-RU"/>
        </w:rPr>
        <w:t xml:space="preserve"> им или другим сторонам патентах, которые могут полностью либо частично охватывать элементы проектов предлагаемых к утверждению Рекомендаций, сообщить об этом БСЭ в соответствии с общей патентной политикой для МСЭ</w:t>
      </w:r>
      <w:r w:rsidRPr="00D22127">
        <w:rPr>
          <w:lang w:val="ru-RU"/>
        </w:rPr>
        <w:noBreakHyphen/>
        <w:t>Т/МСЭ</w:t>
      </w:r>
      <w:r w:rsidRPr="00D22127">
        <w:rPr>
          <w:lang w:val="ru-RU"/>
        </w:rPr>
        <w:noBreakHyphen/>
        <w:t>R/ИСО/МЭК.</w:t>
      </w:r>
    </w:p>
    <w:p w:rsidR="001629DC" w:rsidRPr="00D22127" w:rsidRDefault="001629DC" w:rsidP="00B54B88">
      <w:pPr>
        <w:rPr>
          <w:lang w:val="ru-RU"/>
        </w:rPr>
      </w:pPr>
      <w:r w:rsidRPr="00D22127">
        <w:rPr>
          <w:lang w:val="ru-RU"/>
        </w:rPr>
        <w:t>Имеющаяся патентная информация доступна в онлайновом режиме на веб-сайте МСЭ-Т (</w:t>
      </w:r>
      <w:hyperlink r:id="rId11" w:history="1">
        <w:r w:rsidRPr="00D22127">
          <w:rPr>
            <w:rStyle w:val="Hyperlink"/>
            <w:lang w:val="ru-RU"/>
          </w:rPr>
          <w:t>www.itu.int/ITU-T/ipr/</w:t>
        </w:r>
      </w:hyperlink>
      <w:r w:rsidRPr="00D22127">
        <w:rPr>
          <w:lang w:val="ru-RU"/>
        </w:rPr>
        <w:t>).</w:t>
      </w:r>
    </w:p>
    <w:p w:rsidR="001629DC" w:rsidRPr="00D22127" w:rsidRDefault="001629DC" w:rsidP="00E334B8">
      <w:pPr>
        <w:rPr>
          <w:lang w:val="ru-RU"/>
        </w:rPr>
      </w:pPr>
      <w:r w:rsidRPr="00D22127">
        <w:rPr>
          <w:lang w:val="ru-RU"/>
        </w:rPr>
        <w:t>4</w:t>
      </w:r>
      <w:r w:rsidRPr="00D22127">
        <w:rPr>
          <w:lang w:val="ru-RU"/>
        </w:rPr>
        <w:tab/>
        <w:t xml:space="preserve">Учитывая положения раздела 9 Резолюции 1, заранее благодарю </w:t>
      </w:r>
      <w:r w:rsidR="00190C48" w:rsidRPr="00D22127">
        <w:rPr>
          <w:lang w:val="ru-RU"/>
        </w:rPr>
        <w:t xml:space="preserve">вас </w:t>
      </w:r>
      <w:r w:rsidRPr="00D22127">
        <w:rPr>
          <w:lang w:val="ru-RU"/>
        </w:rPr>
        <w:t xml:space="preserve">за информацию о том, дает ли ваша администрация </w:t>
      </w:r>
      <w:r w:rsidR="00BA3B2D" w:rsidRPr="00D22127">
        <w:rPr>
          <w:lang w:val="ru-RU"/>
        </w:rPr>
        <w:t>17</w:t>
      </w:r>
      <w:r w:rsidRPr="00D22127">
        <w:rPr>
          <w:lang w:val="ru-RU"/>
        </w:rPr>
        <w:noBreakHyphen/>
        <w:t xml:space="preserve">й Исследовательской комиссии полномочия рассмотреть на своем собрании проекты указанных новых Рекомендаций на предмет их утверждения, направленную в мой адрес до </w:t>
      </w:r>
      <w:r w:rsidR="00644F0E" w:rsidRPr="00D22127">
        <w:rPr>
          <w:b/>
          <w:bCs/>
          <w:lang w:val="ru-RU"/>
        </w:rPr>
        <w:t>16</w:t>
      </w:r>
      <w:r w:rsidR="00E334B8" w:rsidRPr="00D22127">
        <w:rPr>
          <w:b/>
          <w:bCs/>
          <w:lang w:val="ru-RU"/>
        </w:rPr>
        <w:t xml:space="preserve"> </w:t>
      </w:r>
      <w:r w:rsidR="00644F0E" w:rsidRPr="00D22127">
        <w:rPr>
          <w:b/>
          <w:bCs/>
          <w:lang w:val="ru-RU"/>
        </w:rPr>
        <w:t xml:space="preserve">августа </w:t>
      </w:r>
      <w:r w:rsidR="00E334B8" w:rsidRPr="00D22127">
        <w:rPr>
          <w:b/>
          <w:bCs/>
          <w:lang w:val="ru-RU"/>
        </w:rPr>
        <w:t>2012 года</w:t>
      </w:r>
      <w:r w:rsidR="00E334B8" w:rsidRPr="00D22127">
        <w:rPr>
          <w:lang w:val="ru-RU"/>
        </w:rPr>
        <w:t xml:space="preserve"> </w:t>
      </w:r>
      <w:r w:rsidRPr="00D22127">
        <w:rPr>
          <w:lang w:val="ru-RU"/>
        </w:rPr>
        <w:t>2400</w:t>
      </w:r>
      <w:r w:rsidR="00022027" w:rsidRPr="00D22127">
        <w:rPr>
          <w:lang w:val="ru-RU"/>
        </w:rPr>
        <w:t> </w:t>
      </w:r>
      <w:r w:rsidRPr="00D22127">
        <w:rPr>
          <w:lang w:val="ru-RU"/>
        </w:rPr>
        <w:t>UTC</w:t>
      </w:r>
      <w:r w:rsidR="00B54B88" w:rsidRPr="00D22127">
        <w:rPr>
          <w:lang w:val="ru-RU"/>
        </w:rPr>
        <w:t>.</w:t>
      </w:r>
    </w:p>
    <w:p w:rsidR="002D06B7" w:rsidRPr="00D22127" w:rsidRDefault="002D06B7" w:rsidP="002D06B7">
      <w:pPr>
        <w:rPr>
          <w:lang w:val="ru-RU"/>
        </w:rPr>
      </w:pPr>
      <w:r w:rsidRPr="00D22127">
        <w:rPr>
          <w:lang w:val="ru-RU"/>
        </w:rPr>
        <w:br w:type="page"/>
      </w:r>
    </w:p>
    <w:p w:rsidR="001629DC" w:rsidRPr="00D22127" w:rsidRDefault="001629DC" w:rsidP="00BA3B2D">
      <w:pPr>
        <w:rPr>
          <w:lang w:val="ru-RU"/>
        </w:rPr>
      </w:pPr>
      <w:r w:rsidRPr="00D22127">
        <w:rPr>
          <w:lang w:val="ru-RU"/>
        </w:rPr>
        <w:lastRenderedPageBreak/>
        <w:t xml:space="preserve">Если какие-либо Государства-Члены сочтут, что рассматривать Рекомендации на предмет их утверждения не следует, им необходимо сообщить о причинах такого неодобрения и указать, какие возможные изменения могли бы способствовать дальнейшему рассмотрению и утверждению проектов </w:t>
      </w:r>
      <w:r w:rsidR="00BA3B2D" w:rsidRPr="00D22127">
        <w:rPr>
          <w:lang w:val="ru-RU"/>
        </w:rPr>
        <w:t xml:space="preserve">указанных </w:t>
      </w:r>
      <w:r w:rsidRPr="00D22127">
        <w:rPr>
          <w:lang w:val="ru-RU"/>
        </w:rPr>
        <w:t>новых Рекомендаций.</w:t>
      </w:r>
    </w:p>
    <w:p w:rsidR="001629DC" w:rsidRPr="00D22127" w:rsidRDefault="001629DC" w:rsidP="00BA3B2D">
      <w:pPr>
        <w:rPr>
          <w:lang w:val="ru-RU"/>
        </w:rPr>
      </w:pPr>
      <w:r w:rsidRPr="00D22127">
        <w:rPr>
          <w:lang w:val="ru-RU"/>
        </w:rPr>
        <w:t>5</w:t>
      </w:r>
      <w:r w:rsidRPr="00D22127">
        <w:rPr>
          <w:lang w:val="ru-RU"/>
        </w:rPr>
        <w:tab/>
        <w:t>В случае если 70% или более Государств-Членов в своих ответах выскажутся за рассмотрение на собрании Исследовательской комиссии проектов указанных новых Рекомендаций на предмет их утверж</w:t>
      </w:r>
      <w:r w:rsidR="00BA3B2D" w:rsidRPr="00D22127">
        <w:rPr>
          <w:lang w:val="ru-RU"/>
        </w:rPr>
        <w:t xml:space="preserve">дения, одно пленарное заседание </w:t>
      </w:r>
      <w:r w:rsidR="00644F0E" w:rsidRPr="00D22127">
        <w:rPr>
          <w:b/>
          <w:bCs/>
          <w:lang w:val="ru-RU"/>
        </w:rPr>
        <w:t>7</w:t>
      </w:r>
      <w:r w:rsidR="00BA3B2D" w:rsidRPr="00D22127">
        <w:rPr>
          <w:b/>
          <w:bCs/>
          <w:lang w:val="ru-RU"/>
        </w:rPr>
        <w:t xml:space="preserve"> </w:t>
      </w:r>
      <w:r w:rsidR="00644F0E" w:rsidRPr="00D22127">
        <w:rPr>
          <w:b/>
          <w:bCs/>
          <w:lang w:val="ru-RU"/>
        </w:rPr>
        <w:t>сентября</w:t>
      </w:r>
      <w:r w:rsidR="00BA3B2D" w:rsidRPr="00D22127">
        <w:rPr>
          <w:b/>
          <w:bCs/>
          <w:lang w:val="ru-RU"/>
        </w:rPr>
        <w:t xml:space="preserve"> 2012 </w:t>
      </w:r>
      <w:r w:rsidR="00022027" w:rsidRPr="00D22127">
        <w:rPr>
          <w:b/>
          <w:bCs/>
          <w:lang w:val="ru-RU"/>
        </w:rPr>
        <w:t>года</w:t>
      </w:r>
      <w:r w:rsidRPr="00D22127">
        <w:rPr>
          <w:lang w:val="ru-RU"/>
        </w:rPr>
        <w:t xml:space="preserve"> будет отведено для применения процедуры утверждения.</w:t>
      </w:r>
    </w:p>
    <w:p w:rsidR="001629DC" w:rsidRPr="00D22127" w:rsidRDefault="001629DC" w:rsidP="00B54B88">
      <w:pPr>
        <w:rPr>
          <w:lang w:val="ru-RU"/>
        </w:rPr>
      </w:pPr>
      <w:r w:rsidRPr="00D22127">
        <w:rPr>
          <w:lang w:val="ru-RU"/>
        </w:rPr>
        <w:t xml:space="preserve">В связи с этим предлагаю вашей администрации направить на собрание своего представителя. </w:t>
      </w:r>
      <w:r w:rsidRPr="00D22127">
        <w:rPr>
          <w:b/>
          <w:bCs/>
          <w:lang w:val="ru-RU"/>
        </w:rPr>
        <w:t>Администрациям Государств – Членов Союза</w:t>
      </w:r>
      <w:r w:rsidRPr="00D22127">
        <w:rPr>
          <w:lang w:val="ru-RU"/>
        </w:rPr>
        <w:t xml:space="preserve"> предлагается сообщить фамилии глав их делегаций. Если ваша администрация желает быть представленной на собрании признанной эксплуатационной организацией, научной или промышленной организацией либо иным объединением, занимающимся вопросами электросвязи, то в соответствии с п. 239 Статьи 19 Конвенции МСЭ необходимо должным образом сообщить об этом Директору БСЭ.</w:t>
      </w:r>
    </w:p>
    <w:p w:rsidR="001629DC" w:rsidRPr="00D22127" w:rsidRDefault="001629DC" w:rsidP="004C0C51">
      <w:pPr>
        <w:rPr>
          <w:lang w:val="ru-RU"/>
        </w:rPr>
      </w:pPr>
      <w:r w:rsidRPr="00D22127">
        <w:rPr>
          <w:lang w:val="ru-RU"/>
        </w:rPr>
        <w:t>6</w:t>
      </w:r>
      <w:r w:rsidRPr="00D22127">
        <w:rPr>
          <w:lang w:val="ru-RU"/>
        </w:rPr>
        <w:tab/>
        <w:t>Повестка дня и вся соответствующая и</w:t>
      </w:r>
      <w:r w:rsidR="004C0C51" w:rsidRPr="00D22127">
        <w:rPr>
          <w:lang w:val="ru-RU"/>
        </w:rPr>
        <w:t>нформация, касающаяся собрания 17</w:t>
      </w:r>
      <w:r w:rsidRPr="00D22127">
        <w:rPr>
          <w:lang w:val="ru-RU"/>
        </w:rPr>
        <w:noBreakHyphen/>
        <w:t>й Исследовательской комиссии, будут предоставлены в Коллективном письме </w:t>
      </w:r>
      <w:r w:rsidR="004C0C51" w:rsidRPr="00D22127">
        <w:rPr>
          <w:lang w:val="ru-RU"/>
        </w:rPr>
        <w:t>7</w:t>
      </w:r>
      <w:r w:rsidRPr="00D22127">
        <w:rPr>
          <w:lang w:val="ru-RU"/>
        </w:rPr>
        <w:t>/</w:t>
      </w:r>
      <w:r w:rsidR="004C0C51" w:rsidRPr="00D22127">
        <w:rPr>
          <w:lang w:val="ru-RU"/>
        </w:rPr>
        <w:t>17</w:t>
      </w:r>
      <w:r w:rsidRPr="00D22127">
        <w:rPr>
          <w:lang w:val="ru-RU"/>
        </w:rPr>
        <w:t>.</w:t>
      </w:r>
    </w:p>
    <w:p w:rsidR="001629DC" w:rsidRPr="00D22127" w:rsidRDefault="001629DC" w:rsidP="004C0C51">
      <w:pPr>
        <w:rPr>
          <w:lang w:val="ru-RU"/>
        </w:rPr>
      </w:pPr>
      <w:r w:rsidRPr="00D22127">
        <w:rPr>
          <w:lang w:val="ru-RU"/>
        </w:rPr>
        <w:t>7</w:t>
      </w:r>
      <w:r w:rsidRPr="00D22127">
        <w:rPr>
          <w:lang w:val="ru-RU"/>
        </w:rPr>
        <w:tab/>
        <w:t xml:space="preserve">После собрания Директор БСЭ в </w:t>
      </w:r>
      <w:r w:rsidR="00190C48" w:rsidRPr="00D22127">
        <w:rPr>
          <w:lang w:val="ru-RU"/>
        </w:rPr>
        <w:t xml:space="preserve">циркулярном </w:t>
      </w:r>
      <w:r w:rsidRPr="00D22127">
        <w:rPr>
          <w:lang w:val="ru-RU"/>
        </w:rPr>
        <w:t>письме уведомит о принятом по данным Рекомендациям решении. Эта информация будет также опубли</w:t>
      </w:r>
      <w:r w:rsidR="00190C48" w:rsidRPr="00D22127">
        <w:rPr>
          <w:lang w:val="ru-RU"/>
        </w:rPr>
        <w:t>кована в Операционном бюллетене </w:t>
      </w:r>
      <w:r w:rsidRPr="00D22127">
        <w:rPr>
          <w:lang w:val="ru-RU"/>
        </w:rPr>
        <w:t>МСЭ.</w:t>
      </w:r>
    </w:p>
    <w:p w:rsidR="001629DC" w:rsidRPr="00D22127" w:rsidRDefault="001629DC" w:rsidP="00F56424">
      <w:pPr>
        <w:pStyle w:val="Normalaftertitle"/>
        <w:spacing w:before="240"/>
        <w:rPr>
          <w:lang w:val="ru-RU"/>
        </w:rPr>
      </w:pPr>
      <w:r w:rsidRPr="00D22127">
        <w:rPr>
          <w:lang w:val="ru-RU"/>
        </w:rPr>
        <w:t>С уважением,</w:t>
      </w:r>
    </w:p>
    <w:p w:rsidR="001629DC" w:rsidRPr="00D22127" w:rsidRDefault="001629DC" w:rsidP="00B54B88">
      <w:pPr>
        <w:spacing w:before="1080"/>
        <w:rPr>
          <w:lang w:val="ru-RU"/>
        </w:rPr>
      </w:pPr>
      <w:r w:rsidRPr="00D22127">
        <w:rPr>
          <w:lang w:val="ru-RU"/>
        </w:rPr>
        <w:t>Малколм Джонсон</w:t>
      </w:r>
      <w:r w:rsidRPr="00D22127">
        <w:rPr>
          <w:lang w:val="ru-RU"/>
        </w:rPr>
        <w:br/>
        <w:t>Директор Бюро</w:t>
      </w:r>
      <w:r w:rsidRPr="00D22127">
        <w:rPr>
          <w:lang w:val="ru-RU"/>
        </w:rPr>
        <w:br/>
        <w:t>стандартизации электросвязи</w:t>
      </w:r>
    </w:p>
    <w:p w:rsidR="009B6144" w:rsidRPr="00D22127" w:rsidRDefault="001629DC" w:rsidP="00F56424">
      <w:pPr>
        <w:spacing w:before="1440"/>
        <w:rPr>
          <w:lang w:val="ru-RU"/>
        </w:rPr>
      </w:pPr>
      <w:r w:rsidRPr="00D22127">
        <w:rPr>
          <w:b/>
          <w:bCs/>
          <w:lang w:val="ru-RU"/>
        </w:rPr>
        <w:t>Приложение</w:t>
      </w:r>
      <w:r w:rsidRPr="00D22127">
        <w:rPr>
          <w:lang w:val="ru-RU"/>
        </w:rPr>
        <w:t>:</w:t>
      </w:r>
      <w:r w:rsidR="00B54B88" w:rsidRPr="00D22127">
        <w:rPr>
          <w:lang w:val="ru-RU"/>
        </w:rPr>
        <w:t xml:space="preserve"> </w:t>
      </w:r>
      <w:r w:rsidR="004C0C51" w:rsidRPr="00D22127">
        <w:rPr>
          <w:lang w:val="ru-RU"/>
        </w:rPr>
        <w:t>1</w:t>
      </w:r>
    </w:p>
    <w:p w:rsidR="004C0C51" w:rsidRPr="00D22127" w:rsidRDefault="004C0C51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 w:rsidRPr="00D22127">
        <w:rPr>
          <w:lang w:val="ru-RU"/>
        </w:rPr>
        <w:br w:type="page"/>
      </w:r>
    </w:p>
    <w:p w:rsidR="004C0C51" w:rsidRPr="006B6817" w:rsidRDefault="004C0C51" w:rsidP="0092547F">
      <w:pPr>
        <w:pStyle w:val="AnnexTitle"/>
        <w:spacing w:before="0"/>
        <w:rPr>
          <w:sz w:val="22"/>
          <w:szCs w:val="22"/>
          <w:lang w:val="ru-RU"/>
        </w:rPr>
      </w:pPr>
      <w:r w:rsidRPr="006B6817">
        <w:rPr>
          <w:sz w:val="26"/>
          <w:szCs w:val="26"/>
          <w:lang w:val="ru-RU"/>
        </w:rPr>
        <w:lastRenderedPageBreak/>
        <w:t>ПРИЛОЖЕНИЕ 1</w:t>
      </w:r>
      <w:r w:rsidRPr="006B6817">
        <w:rPr>
          <w:sz w:val="26"/>
          <w:szCs w:val="26"/>
          <w:lang w:val="ru-RU"/>
        </w:rPr>
        <w:br/>
      </w:r>
      <w:r w:rsidRPr="006B6817">
        <w:rPr>
          <w:sz w:val="22"/>
          <w:szCs w:val="22"/>
          <w:lang w:val="ru-RU"/>
        </w:rPr>
        <w:t xml:space="preserve">(к Циркуляру </w:t>
      </w:r>
      <w:r w:rsidR="00644F0E" w:rsidRPr="006B6817">
        <w:rPr>
          <w:sz w:val="22"/>
          <w:szCs w:val="22"/>
          <w:lang w:val="ru-RU"/>
        </w:rPr>
        <w:t>269</w:t>
      </w:r>
      <w:r w:rsidRPr="006B6817">
        <w:rPr>
          <w:sz w:val="22"/>
          <w:szCs w:val="22"/>
          <w:lang w:val="ru-RU"/>
        </w:rPr>
        <w:t xml:space="preserve"> БСЭ)</w:t>
      </w:r>
    </w:p>
    <w:p w:rsidR="004C0C51" w:rsidRPr="00D22127" w:rsidRDefault="004C0C51" w:rsidP="004C0C51">
      <w:pPr>
        <w:pStyle w:val="AnnexTitle"/>
        <w:rPr>
          <w:sz w:val="26"/>
          <w:szCs w:val="26"/>
          <w:lang w:val="ru-RU"/>
        </w:rPr>
      </w:pPr>
      <w:r w:rsidRPr="00D22127">
        <w:rPr>
          <w:sz w:val="26"/>
          <w:szCs w:val="26"/>
          <w:lang w:val="ru-RU"/>
        </w:rPr>
        <w:t>Краткое изложение текстов и указание на место их размещения</w:t>
      </w:r>
    </w:p>
    <w:p w:rsidR="008F0B99" w:rsidRPr="00D22127" w:rsidRDefault="008F0B99" w:rsidP="00F56424">
      <w:pPr>
        <w:pStyle w:val="Headingb"/>
        <w:spacing w:before="480"/>
        <w:rPr>
          <w:sz w:val="28"/>
          <w:szCs w:val="28"/>
          <w:lang w:val="ru-RU"/>
        </w:rPr>
      </w:pPr>
      <w:r w:rsidRPr="00D22127">
        <w:rPr>
          <w:lang w:val="ru-RU"/>
        </w:rPr>
        <w:t>Проект новой Рекомендации МСЭ-T X.1054 (X.isgf)</w:t>
      </w:r>
      <w:r w:rsidR="0067675A" w:rsidRPr="00D22127">
        <w:rPr>
          <w:lang w:val="ru-RU"/>
        </w:rPr>
        <w:t xml:space="preserve"> –</w:t>
      </w:r>
      <w:r w:rsidRPr="00D22127">
        <w:rPr>
          <w:lang w:val="ru-RU"/>
        </w:rPr>
        <w:t xml:space="preserve"> Информационная технология – Методы обеспечения безопасности – Общ</w:t>
      </w:r>
      <w:r w:rsidR="00E87314" w:rsidRPr="00D22127">
        <w:rPr>
          <w:lang w:val="ru-RU"/>
        </w:rPr>
        <w:t>ий процесс</w:t>
      </w:r>
      <w:r w:rsidRPr="00D22127">
        <w:rPr>
          <w:lang w:val="ru-RU"/>
        </w:rPr>
        <w:t xml:space="preserve"> управлени</w:t>
      </w:r>
      <w:r w:rsidR="00E87314" w:rsidRPr="00D22127">
        <w:rPr>
          <w:lang w:val="ru-RU"/>
        </w:rPr>
        <w:t>я</w:t>
      </w:r>
      <w:r w:rsidRPr="00D22127">
        <w:rPr>
          <w:lang w:val="ru-RU"/>
        </w:rPr>
        <w:t xml:space="preserve"> информационной безопасностью </w:t>
      </w:r>
      <w:r w:rsidRPr="00D22127">
        <w:rPr>
          <w:lang w:val="ru-RU"/>
        </w:rPr>
        <w:br/>
        <w:t>COM 17 – R 49</w:t>
      </w:r>
    </w:p>
    <w:p w:rsidR="008F0B99" w:rsidRPr="00D22127" w:rsidRDefault="008F0B99" w:rsidP="00D22127">
      <w:pPr>
        <w:pStyle w:val="Headingb"/>
        <w:rPr>
          <w:lang w:val="ru-RU"/>
        </w:rPr>
      </w:pPr>
      <w:r w:rsidRPr="00D22127">
        <w:rPr>
          <w:lang w:val="ru-RU"/>
        </w:rPr>
        <w:t>Краткое изложени</w:t>
      </w:r>
      <w:r w:rsidR="00D22127">
        <w:rPr>
          <w:lang w:val="ru-RU"/>
        </w:rPr>
        <w:t>е</w:t>
      </w:r>
    </w:p>
    <w:p w:rsidR="008F0B99" w:rsidRPr="00D22127" w:rsidRDefault="008F0B99" w:rsidP="00F56424">
      <w:pPr>
        <w:rPr>
          <w:lang w:val="ru-RU"/>
        </w:rPr>
      </w:pPr>
      <w:r w:rsidRPr="00D22127">
        <w:rPr>
          <w:lang w:val="ru-RU"/>
        </w:rPr>
        <w:t>В настоящей Рекомендации | Международном стандарте приводится руководство по обще</w:t>
      </w:r>
      <w:r w:rsidR="00E87314" w:rsidRPr="00D22127">
        <w:rPr>
          <w:lang w:val="ru-RU"/>
        </w:rPr>
        <w:t>му</w:t>
      </w:r>
      <w:r w:rsidRPr="00D22127">
        <w:rPr>
          <w:lang w:val="ru-RU"/>
        </w:rPr>
        <w:t xml:space="preserve"> </w:t>
      </w:r>
      <w:r w:rsidR="00E87314" w:rsidRPr="00D22127">
        <w:rPr>
          <w:lang w:val="ru-RU"/>
        </w:rPr>
        <w:t xml:space="preserve">процессу </w:t>
      </w:r>
      <w:r w:rsidRPr="00D22127">
        <w:rPr>
          <w:lang w:val="ru-RU"/>
        </w:rPr>
        <w:t>управления информационной безопасностью.</w:t>
      </w:r>
    </w:p>
    <w:p w:rsidR="008F0B99" w:rsidRPr="00D22127" w:rsidRDefault="008F0B99" w:rsidP="00F56424">
      <w:pPr>
        <w:rPr>
          <w:lang w:val="ru-RU"/>
        </w:rPr>
      </w:pPr>
      <w:r w:rsidRPr="00D22127">
        <w:rPr>
          <w:lang w:val="ru-RU"/>
        </w:rPr>
        <w:t>Информационная безопасность стала для организаций одним из важнейших вопросов. Это связано не только с расширением регуляторных требований, но и с неспособностью мер безопасности, принимаемых той или иной организацией, оказывать непосредственное воздействие на ее репутацию.</w:t>
      </w:r>
    </w:p>
    <w:p w:rsidR="008F0B99" w:rsidRPr="00D22127" w:rsidRDefault="008F0B99" w:rsidP="00F56424">
      <w:pPr>
        <w:rPr>
          <w:lang w:val="ru-RU"/>
        </w:rPr>
      </w:pPr>
      <w:r w:rsidRPr="00D22127">
        <w:rPr>
          <w:lang w:val="ru-RU"/>
        </w:rPr>
        <w:t>В связи с этим от руководящего органа, в рамках его обязанностей в области управления, все чаще требуется осуществлять надзор за информационной безопасностью, чтобы гарантировать достижение целей организации.</w:t>
      </w:r>
    </w:p>
    <w:p w:rsidR="008F0B99" w:rsidRPr="00D22127" w:rsidRDefault="008F0B99" w:rsidP="00F56424">
      <w:pPr>
        <w:rPr>
          <w:lang w:val="ru-RU"/>
        </w:rPr>
      </w:pPr>
      <w:r w:rsidRPr="00D22127">
        <w:rPr>
          <w:lang w:val="ru-RU"/>
        </w:rPr>
        <w:t>Кроме того, общ</w:t>
      </w:r>
      <w:r w:rsidR="00E87314" w:rsidRPr="00D22127">
        <w:rPr>
          <w:lang w:val="ru-RU"/>
        </w:rPr>
        <w:t>ий</w:t>
      </w:r>
      <w:r w:rsidRPr="00D22127">
        <w:rPr>
          <w:lang w:val="ru-RU"/>
        </w:rPr>
        <w:t xml:space="preserve"> </w:t>
      </w:r>
      <w:r w:rsidR="00E87314" w:rsidRPr="00D22127">
        <w:rPr>
          <w:lang w:val="ru-RU"/>
        </w:rPr>
        <w:t xml:space="preserve">процесс </w:t>
      </w:r>
      <w:r w:rsidRPr="00D22127">
        <w:rPr>
          <w:lang w:val="ru-RU"/>
        </w:rPr>
        <w:t>управлени</w:t>
      </w:r>
      <w:r w:rsidR="00E87314" w:rsidRPr="00D22127">
        <w:rPr>
          <w:lang w:val="ru-RU"/>
        </w:rPr>
        <w:t>я</w:t>
      </w:r>
      <w:r w:rsidRPr="00D22127">
        <w:rPr>
          <w:lang w:val="ru-RU"/>
        </w:rPr>
        <w:t xml:space="preserve"> информационной безопасностью обеспечивает прочную связь между руководящим органом организации, ее высшим руководством и сотрудниками, ответственными за реализацию и функционирование системы управления информационной безопасностью.</w:t>
      </w:r>
    </w:p>
    <w:p w:rsidR="008F0B99" w:rsidRPr="00D22127" w:rsidRDefault="008F0B99" w:rsidP="00F56424">
      <w:pPr>
        <w:rPr>
          <w:lang w:val="ru-RU"/>
        </w:rPr>
      </w:pPr>
      <w:r w:rsidRPr="00D22127">
        <w:rPr>
          <w:lang w:val="ru-RU"/>
        </w:rPr>
        <w:t>Он предоставляет необходимые полномочия по стимулированию в рамках всей организации инициатив в области информационной безопасности.</w:t>
      </w:r>
    </w:p>
    <w:p w:rsidR="008F0B99" w:rsidRPr="00D22127" w:rsidRDefault="008F0B99" w:rsidP="00F56424">
      <w:pPr>
        <w:rPr>
          <w:lang w:val="ru-RU"/>
        </w:rPr>
      </w:pPr>
      <w:r w:rsidRPr="00D22127">
        <w:rPr>
          <w:lang w:val="ru-RU"/>
        </w:rPr>
        <w:t>Кроме того, эффективн</w:t>
      </w:r>
      <w:r w:rsidR="00E87314" w:rsidRPr="00D22127">
        <w:rPr>
          <w:lang w:val="ru-RU"/>
        </w:rPr>
        <w:t>ый</w:t>
      </w:r>
      <w:r w:rsidRPr="00D22127">
        <w:rPr>
          <w:lang w:val="ru-RU"/>
        </w:rPr>
        <w:t xml:space="preserve"> общ</w:t>
      </w:r>
      <w:r w:rsidR="00E87314" w:rsidRPr="00D22127">
        <w:rPr>
          <w:lang w:val="ru-RU"/>
        </w:rPr>
        <w:t>ий процесс</w:t>
      </w:r>
      <w:r w:rsidRPr="00D22127">
        <w:rPr>
          <w:lang w:val="ru-RU"/>
        </w:rPr>
        <w:t xml:space="preserve"> управлени</w:t>
      </w:r>
      <w:r w:rsidR="00E87314" w:rsidRPr="00D22127">
        <w:rPr>
          <w:lang w:val="ru-RU"/>
        </w:rPr>
        <w:t>я</w:t>
      </w:r>
      <w:r w:rsidRPr="00D22127">
        <w:rPr>
          <w:lang w:val="ru-RU"/>
        </w:rPr>
        <w:t xml:space="preserve"> информационной безопасностью гарантирует получение руководящим органом надлежащей отчетности, сформулированной в контексте бизнеса, о деятельности в области информационной безопасности. Это позволит принимать адекватные и своевременные решения по вопросам информационной безопасности, поддерживающие стратегические цели организации.</w:t>
      </w:r>
    </w:p>
    <w:p w:rsidR="008F0B99" w:rsidRPr="00D22127" w:rsidRDefault="008F0B99" w:rsidP="00D22127">
      <w:pPr>
        <w:pStyle w:val="Headingb"/>
        <w:rPr>
          <w:sz w:val="28"/>
          <w:szCs w:val="28"/>
          <w:lang w:val="ru-RU"/>
        </w:rPr>
      </w:pPr>
      <w:r w:rsidRPr="00D22127">
        <w:rPr>
          <w:lang w:val="ru-RU"/>
        </w:rPr>
        <w:t xml:space="preserve">Проект новой Рекомендации МСЭ-T X.1254 (X.eaa) | </w:t>
      </w:r>
      <w:r w:rsidR="00D22127">
        <w:rPr>
          <w:lang w:val="ru-RU"/>
        </w:rPr>
        <w:t>ИСО</w:t>
      </w:r>
      <w:r w:rsidRPr="00D22127">
        <w:rPr>
          <w:lang w:val="ru-RU"/>
        </w:rPr>
        <w:t>/</w:t>
      </w:r>
      <w:r w:rsidR="00D22127">
        <w:rPr>
          <w:lang w:val="ru-RU"/>
        </w:rPr>
        <w:t>МЭК</w:t>
      </w:r>
      <w:r w:rsidRPr="00D22127">
        <w:rPr>
          <w:lang w:val="ru-RU"/>
        </w:rPr>
        <w:t xml:space="preserve"> 29115</w:t>
      </w:r>
      <w:r w:rsidR="0067675A" w:rsidRPr="00D22127">
        <w:rPr>
          <w:lang w:val="ru-RU"/>
        </w:rPr>
        <w:t xml:space="preserve"> –</w:t>
      </w:r>
      <w:r w:rsidRPr="00D22127">
        <w:rPr>
          <w:lang w:val="ru-RU"/>
        </w:rPr>
        <w:t xml:space="preserve"> Информационная технология – Методы обеспечения безопасности – Структура гарантии аутентификации объекта </w:t>
      </w:r>
      <w:r w:rsidRPr="00D22127">
        <w:rPr>
          <w:lang w:val="ru-RU"/>
        </w:rPr>
        <w:br/>
        <w:t>COM 17 – R 61</w:t>
      </w:r>
    </w:p>
    <w:p w:rsidR="008F0B99" w:rsidRPr="00D22127" w:rsidRDefault="008F0B99" w:rsidP="00F56424">
      <w:pPr>
        <w:pStyle w:val="Headingb"/>
        <w:rPr>
          <w:lang w:val="ru-RU"/>
        </w:rPr>
      </w:pPr>
      <w:r w:rsidRPr="00D22127">
        <w:rPr>
          <w:lang w:val="ru-RU"/>
        </w:rPr>
        <w:t>Краткое изложение</w:t>
      </w:r>
    </w:p>
    <w:p w:rsidR="008F0B99" w:rsidRPr="00D22127" w:rsidRDefault="008F0B99" w:rsidP="00642E52">
      <w:pPr>
        <w:rPr>
          <w:lang w:val="ru-RU"/>
        </w:rPr>
      </w:pPr>
      <w:r w:rsidRPr="00D22127">
        <w:rPr>
          <w:lang w:val="ru-RU"/>
        </w:rPr>
        <w:t>В настоящей Рекомендации | Международном стандарте определяются четыре уровня гарантии аутентификации объекта (т.</w:t>
      </w:r>
      <w:r w:rsidR="00642E52" w:rsidRPr="00D22127">
        <w:rPr>
          <w:lang w:val="ru-RU"/>
        </w:rPr>
        <w:t> </w:t>
      </w:r>
      <w:r w:rsidRPr="00D22127">
        <w:rPr>
          <w:lang w:val="ru-RU"/>
        </w:rPr>
        <w:t>е. LoA 1 – LoA 4); и критерии и угрозы для каждого из этих четырех уровней гарантии аутентификации объекта. Кроме того:</w:t>
      </w:r>
    </w:p>
    <w:p w:rsidR="008F0B99" w:rsidRPr="00D22127" w:rsidRDefault="00F56424" w:rsidP="00F56424">
      <w:pPr>
        <w:pStyle w:val="enumlev1"/>
        <w:rPr>
          <w:lang w:val="ru-RU"/>
        </w:rPr>
      </w:pPr>
      <w:r w:rsidRPr="00D22127">
        <w:rPr>
          <w:lang w:val="ru-RU"/>
        </w:rPr>
        <w:t>•</w:t>
      </w:r>
      <w:r w:rsidRPr="00D22127">
        <w:rPr>
          <w:lang w:val="ru-RU"/>
        </w:rPr>
        <w:tab/>
      </w:r>
      <w:r w:rsidR="008F0B99" w:rsidRPr="00D22127">
        <w:rPr>
          <w:lang w:val="ru-RU"/>
        </w:rPr>
        <w:t>определяется структура управления уровнями гарантии;</w:t>
      </w:r>
    </w:p>
    <w:p w:rsidR="008F0B99" w:rsidRPr="00D22127" w:rsidRDefault="00F56424" w:rsidP="00F56424">
      <w:pPr>
        <w:pStyle w:val="enumlev1"/>
        <w:rPr>
          <w:lang w:val="ru-RU"/>
        </w:rPr>
      </w:pPr>
      <w:r w:rsidRPr="00D22127">
        <w:rPr>
          <w:lang w:val="ru-RU"/>
        </w:rPr>
        <w:t>•</w:t>
      </w:r>
      <w:r w:rsidRPr="00D22127">
        <w:rPr>
          <w:lang w:val="ru-RU"/>
        </w:rPr>
        <w:tab/>
      </w:r>
      <w:r w:rsidR="008F0B99" w:rsidRPr="00D22127">
        <w:rPr>
          <w:lang w:val="ru-RU"/>
        </w:rPr>
        <w:t xml:space="preserve">на основе оценки риска </w:t>
      </w:r>
      <w:r w:rsidR="003E4B1E" w:rsidRPr="00D22127">
        <w:rPr>
          <w:lang w:val="ru-RU"/>
        </w:rPr>
        <w:t>приводятся</w:t>
      </w:r>
      <w:r w:rsidR="008F0B99" w:rsidRPr="00D22127">
        <w:rPr>
          <w:lang w:val="ru-RU"/>
        </w:rPr>
        <w:t xml:space="preserve"> руководящие указания по методам контроля, которые должны использоваться в целях смягчения угроз аутентификации;</w:t>
      </w:r>
    </w:p>
    <w:p w:rsidR="008F0B99" w:rsidRPr="00D22127" w:rsidRDefault="00F56424" w:rsidP="00F56424">
      <w:pPr>
        <w:pStyle w:val="enumlev1"/>
        <w:rPr>
          <w:lang w:val="ru-RU"/>
        </w:rPr>
      </w:pPr>
      <w:r w:rsidRPr="00D22127">
        <w:rPr>
          <w:lang w:val="ru-RU"/>
        </w:rPr>
        <w:t>•</w:t>
      </w:r>
      <w:r w:rsidRPr="00D22127">
        <w:rPr>
          <w:lang w:val="ru-RU"/>
        </w:rPr>
        <w:tab/>
      </w:r>
      <w:r w:rsidR="008F0B99" w:rsidRPr="00D22127">
        <w:rPr>
          <w:lang w:val="ru-RU"/>
        </w:rPr>
        <w:t>приводится руководство по преобразованию этих четырех уровней гарантии в другие схемы гарантии аутентификации; и</w:t>
      </w:r>
    </w:p>
    <w:p w:rsidR="008F0B99" w:rsidRPr="00D22127" w:rsidRDefault="00F56424" w:rsidP="00F56424">
      <w:pPr>
        <w:pStyle w:val="enumlev1"/>
        <w:rPr>
          <w:lang w:val="ru-RU"/>
        </w:rPr>
      </w:pPr>
      <w:r w:rsidRPr="00D22127">
        <w:rPr>
          <w:lang w:val="ru-RU"/>
        </w:rPr>
        <w:t>•</w:t>
      </w:r>
      <w:r w:rsidRPr="00D22127">
        <w:rPr>
          <w:lang w:val="ru-RU"/>
        </w:rPr>
        <w:tab/>
      </w:r>
      <w:r w:rsidR="008F0B99" w:rsidRPr="00D22127">
        <w:rPr>
          <w:lang w:val="ru-RU"/>
        </w:rPr>
        <w:t>приводится руководство по обмену результатами аутентификации, которые основаны на четырех уровнях гарантии.</w:t>
      </w:r>
    </w:p>
    <w:p w:rsidR="008F0B99" w:rsidRPr="00D22127" w:rsidRDefault="008F0B99" w:rsidP="008F0B99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b/>
          <w:bCs/>
          <w:lang w:val="ru-RU"/>
        </w:rPr>
      </w:pPr>
      <w:r w:rsidRPr="00D22127">
        <w:rPr>
          <w:b/>
          <w:bCs/>
          <w:lang w:val="ru-RU"/>
        </w:rPr>
        <w:br w:type="page"/>
      </w:r>
    </w:p>
    <w:p w:rsidR="008F0B99" w:rsidRPr="00D22127" w:rsidRDefault="008F0B99" w:rsidP="00F56424">
      <w:pPr>
        <w:pStyle w:val="Headingb"/>
        <w:rPr>
          <w:sz w:val="28"/>
          <w:szCs w:val="28"/>
          <w:lang w:val="ru-RU"/>
        </w:rPr>
      </w:pPr>
      <w:r w:rsidRPr="00D22127">
        <w:rPr>
          <w:lang w:val="ru-RU"/>
        </w:rPr>
        <w:lastRenderedPageBreak/>
        <w:t>Проект новой Рекомендации МСЭ-T X.1527 (X.xccdf)</w:t>
      </w:r>
      <w:r w:rsidR="0067675A" w:rsidRPr="00D22127">
        <w:rPr>
          <w:lang w:val="ru-RU"/>
        </w:rPr>
        <w:t xml:space="preserve"> –</w:t>
      </w:r>
      <w:r w:rsidRPr="00D22127">
        <w:rPr>
          <w:lang w:val="ru-RU"/>
        </w:rPr>
        <w:t xml:space="preserve"> Расширяемый формат описания списка проверки конфигурации</w:t>
      </w:r>
      <w:r w:rsidRPr="00D22127">
        <w:rPr>
          <w:lang w:val="ru-RU"/>
        </w:rPr>
        <w:br/>
        <w:t>COM 17 – R 50</w:t>
      </w:r>
    </w:p>
    <w:p w:rsidR="008F0B99" w:rsidRPr="00D22127" w:rsidRDefault="008F0B99" w:rsidP="00F56424">
      <w:pPr>
        <w:pStyle w:val="Headingb"/>
        <w:rPr>
          <w:lang w:val="ru-RU"/>
        </w:rPr>
      </w:pPr>
      <w:r w:rsidRPr="00D22127">
        <w:rPr>
          <w:lang w:val="ru-RU"/>
        </w:rPr>
        <w:t>Краткое изложение</w:t>
      </w:r>
    </w:p>
    <w:p w:rsidR="008F0B99" w:rsidRPr="00D22127" w:rsidRDefault="008F0B99" w:rsidP="00727411">
      <w:pPr>
        <w:rPr>
          <w:lang w:val="ru-RU"/>
        </w:rPr>
      </w:pPr>
      <w:r w:rsidRPr="00D22127">
        <w:rPr>
          <w:lang w:val="ru-RU"/>
        </w:rPr>
        <w:t xml:space="preserve">В настоящей Рекомендации определяется модель данных и представление расширяемого языка разметки (XML) для расширяемого формата описания списка проверки конфигурации (XCCDF). Документ XCCDF </w:t>
      </w:r>
      <w:r w:rsidR="00AF27D0" w:rsidRPr="00D22127">
        <w:rPr>
          <w:lang w:val="ru-RU"/>
        </w:rPr>
        <w:t>является</w:t>
      </w:r>
      <w:r w:rsidRPr="00D22127">
        <w:rPr>
          <w:lang w:val="ru-RU"/>
        </w:rPr>
        <w:t xml:space="preserve"> структурированн</w:t>
      </w:r>
      <w:r w:rsidR="00AF27D0" w:rsidRPr="00D22127">
        <w:rPr>
          <w:lang w:val="ru-RU"/>
        </w:rPr>
        <w:t>ым</w:t>
      </w:r>
      <w:r w:rsidRPr="00D22127">
        <w:rPr>
          <w:lang w:val="ru-RU"/>
        </w:rPr>
        <w:t xml:space="preserve"> </w:t>
      </w:r>
      <w:r w:rsidR="00727411" w:rsidRPr="00D22127">
        <w:rPr>
          <w:lang w:val="ru-RU"/>
        </w:rPr>
        <w:t>сборником</w:t>
      </w:r>
      <w:r w:rsidRPr="00D22127">
        <w:rPr>
          <w:lang w:val="ru-RU"/>
        </w:rPr>
        <w:t xml:space="preserve"> правил конфигурации безопасности для некоторого набора целевых систем. Спецификация XCCDF предназначена для обеспечения обмена информацией, создания документов, организационной и ситуационной настройки, автоматической проверки соблюдения</w:t>
      </w:r>
      <w:r w:rsidR="00727411" w:rsidRPr="00D22127">
        <w:rPr>
          <w:lang w:val="ru-RU"/>
        </w:rPr>
        <w:t>, а также</w:t>
      </w:r>
      <w:r w:rsidRPr="00D22127">
        <w:rPr>
          <w:lang w:val="ru-RU"/>
        </w:rPr>
        <w:t xml:space="preserve"> оценивания. В спецификации определяется также модель данных и формат для хранения результатов проверки в соответствии с руководством и списком проверки по обеспечению безопасности. XCCDF призван обеспечить единую основу для описания списков проверки безопасности и других руководств по конфигурации и тем самым содействовать более широкому применению надлежащей практики в области безопасности. </w:t>
      </w:r>
      <w:r w:rsidR="00727411" w:rsidRPr="00D22127">
        <w:rPr>
          <w:lang w:val="ru-RU"/>
        </w:rPr>
        <w:t>Это достигается путем перечисления</w:t>
      </w:r>
      <w:r w:rsidRPr="00D22127">
        <w:rPr>
          <w:lang w:val="ru-RU"/>
        </w:rPr>
        <w:t xml:space="preserve"> соответствующи</w:t>
      </w:r>
      <w:r w:rsidR="00727411" w:rsidRPr="00D22127">
        <w:rPr>
          <w:lang w:val="ru-RU"/>
        </w:rPr>
        <w:t>х</w:t>
      </w:r>
      <w:r w:rsidRPr="00D22127">
        <w:rPr>
          <w:lang w:val="ru-RU"/>
        </w:rPr>
        <w:t xml:space="preserve"> пункт</w:t>
      </w:r>
      <w:r w:rsidR="00727411" w:rsidRPr="00D22127">
        <w:rPr>
          <w:lang w:val="ru-RU"/>
        </w:rPr>
        <w:t>ов</w:t>
      </w:r>
      <w:r w:rsidRPr="00D22127">
        <w:rPr>
          <w:lang w:val="ru-RU"/>
        </w:rPr>
        <w:t xml:space="preserve"> Межведомственного отчета NIST №7275</w:t>
      </w:r>
      <w:r w:rsidR="00727411" w:rsidRPr="00D22127">
        <w:rPr>
          <w:lang w:val="ru-RU"/>
        </w:rPr>
        <w:t>,</w:t>
      </w:r>
      <w:r w:rsidRPr="00D22127">
        <w:rPr>
          <w:lang w:val="ru-RU"/>
        </w:rPr>
        <w:t xml:space="preserve"> </w:t>
      </w:r>
      <w:r w:rsidR="00727411" w:rsidRPr="00D22127">
        <w:rPr>
          <w:lang w:val="ru-RU"/>
        </w:rPr>
        <w:t xml:space="preserve">пересмотр </w:t>
      </w:r>
      <w:r w:rsidRPr="00D22127">
        <w:rPr>
          <w:lang w:val="ru-RU"/>
        </w:rPr>
        <w:t>4</w:t>
      </w:r>
      <w:r w:rsidR="00727411" w:rsidRPr="00D22127">
        <w:rPr>
          <w:lang w:val="ru-RU"/>
        </w:rPr>
        <w:t xml:space="preserve"> –</w:t>
      </w:r>
      <w:r w:rsidRPr="00D22127">
        <w:rPr>
          <w:lang w:val="ru-RU"/>
        </w:rPr>
        <w:t xml:space="preserve"> Спецификация расширяемого формата описания списка провер</w:t>
      </w:r>
      <w:r w:rsidR="00190C48" w:rsidRPr="00D22127">
        <w:rPr>
          <w:lang w:val="ru-RU"/>
        </w:rPr>
        <w:t>ки конфигурации (XCCDF), версия </w:t>
      </w:r>
      <w:r w:rsidRPr="00D22127">
        <w:rPr>
          <w:lang w:val="ru-RU"/>
        </w:rPr>
        <w:t>1.2</w:t>
      </w:r>
      <w:r w:rsidR="00727411" w:rsidRPr="00D22127">
        <w:rPr>
          <w:lang w:val="ru-RU"/>
        </w:rPr>
        <w:t>,</w:t>
      </w:r>
      <w:r w:rsidR="00BA1631" w:rsidRPr="00D22127">
        <w:rPr>
          <w:lang w:val="ru-RU"/>
        </w:rPr>
        <w:t xml:space="preserve"> </w:t>
      </w:r>
      <w:r w:rsidRPr="00D22127">
        <w:rPr>
          <w:lang w:val="ru-RU"/>
        </w:rPr>
        <w:t>с указанием их характера – нормативного или информативного.</w:t>
      </w:r>
    </w:p>
    <w:p w:rsidR="008F0B99" w:rsidRPr="00D22127" w:rsidRDefault="008F0B99" w:rsidP="00F56424">
      <w:pPr>
        <w:pStyle w:val="Headingb"/>
        <w:rPr>
          <w:lang w:val="ru-RU"/>
        </w:rPr>
      </w:pPr>
      <w:r w:rsidRPr="00D22127">
        <w:rPr>
          <w:lang w:val="ru-RU"/>
        </w:rPr>
        <w:t xml:space="preserve">Проект новой </w:t>
      </w:r>
      <w:r w:rsidR="00D22127" w:rsidRPr="00D22127">
        <w:rPr>
          <w:lang w:val="ru-RU"/>
        </w:rPr>
        <w:t xml:space="preserve">Рекомендации </w:t>
      </w:r>
      <w:r w:rsidRPr="00D22127">
        <w:rPr>
          <w:lang w:val="ru-RU"/>
        </w:rPr>
        <w:t>МСЭ-T X.1528 (X.cpe)</w:t>
      </w:r>
      <w:r w:rsidR="0067675A" w:rsidRPr="00D22127">
        <w:rPr>
          <w:lang w:val="ru-RU"/>
        </w:rPr>
        <w:t xml:space="preserve"> –</w:t>
      </w:r>
      <w:r w:rsidRPr="00D22127">
        <w:rPr>
          <w:lang w:val="ru-RU"/>
        </w:rPr>
        <w:t xml:space="preserve"> Перечень общеизвестных платформ</w:t>
      </w:r>
      <w:r w:rsidRPr="00D22127">
        <w:rPr>
          <w:lang w:val="ru-RU"/>
        </w:rPr>
        <w:br/>
        <w:t>COM 17 – R 51</w:t>
      </w:r>
    </w:p>
    <w:p w:rsidR="008F0B99" w:rsidRPr="00D22127" w:rsidRDefault="008F0B99" w:rsidP="00F56424">
      <w:pPr>
        <w:pStyle w:val="Headingb"/>
        <w:rPr>
          <w:lang w:val="ru-RU" w:eastAsia="ja-JP"/>
        </w:rPr>
      </w:pPr>
      <w:r w:rsidRPr="00D22127">
        <w:rPr>
          <w:lang w:val="ru-RU"/>
        </w:rPr>
        <w:t>Краткое изложение</w:t>
      </w:r>
    </w:p>
    <w:p w:rsidR="008F0B99" w:rsidRPr="00D22127" w:rsidRDefault="008F0B99" w:rsidP="001B0ED3">
      <w:pPr>
        <w:rPr>
          <w:lang w:val="ru-RU"/>
        </w:rPr>
      </w:pPr>
      <w:r w:rsidRPr="00D22127">
        <w:rPr>
          <w:lang w:val="ru-RU"/>
        </w:rPr>
        <w:t xml:space="preserve">В настоящей </w:t>
      </w:r>
      <w:r w:rsidR="00727411" w:rsidRPr="00D22127">
        <w:rPr>
          <w:lang w:val="ru-RU"/>
        </w:rPr>
        <w:t xml:space="preserve">Рекомендации по вопросам </w:t>
      </w:r>
      <w:r w:rsidRPr="00D22127">
        <w:rPr>
          <w:lang w:val="ru-RU"/>
        </w:rPr>
        <w:t xml:space="preserve">перечня общеизвестных платформ (CPE) приводится структурированный метод описания и идентификации классов приложений, операционных систем и аппаратных устройств, которые представлены в средствах вычислительной техники предприятия. CPE определяется </w:t>
      </w:r>
      <w:r w:rsidR="001B0ED3" w:rsidRPr="00D22127">
        <w:rPr>
          <w:lang w:val="ru-RU"/>
        </w:rPr>
        <w:t>в виде</w:t>
      </w:r>
      <w:r w:rsidRPr="00D22127">
        <w:rPr>
          <w:lang w:val="ru-RU"/>
        </w:rPr>
        <w:t xml:space="preserve"> набора спецификаций, содержащихся в стековой модели, в котор</w:t>
      </w:r>
      <w:r w:rsidR="001B0ED3" w:rsidRPr="00D22127">
        <w:rPr>
          <w:lang w:val="ru-RU"/>
        </w:rPr>
        <w:t>ых</w:t>
      </w:r>
      <w:r w:rsidRPr="00D22127">
        <w:rPr>
          <w:lang w:val="ru-RU"/>
        </w:rPr>
        <w:t xml:space="preserve"> возможности базируются на более простых и имеющих более узкое определение элементах, определенных на более низких уровнях стека. Стек состоит из спецификации словаря и спецификации языка применимости, в которых используется спецификация сопоставления названий, опирающаяся в свою очередь на спецификацию присвоения названий.</w:t>
      </w:r>
    </w:p>
    <w:p w:rsidR="008F0B99" w:rsidRPr="00D22127" w:rsidRDefault="008F0B99" w:rsidP="00F56424">
      <w:pPr>
        <w:pStyle w:val="Headingb"/>
        <w:rPr>
          <w:lang w:val="ru-RU"/>
        </w:rPr>
      </w:pPr>
      <w:r w:rsidRPr="00D22127">
        <w:rPr>
          <w:lang w:val="ru-RU"/>
        </w:rPr>
        <w:t>Проект новой Рекомендации МСЭ-T X.1528.1 (X.cpe.1)</w:t>
      </w:r>
      <w:r w:rsidR="0067675A" w:rsidRPr="00D22127">
        <w:rPr>
          <w:lang w:val="ru-RU"/>
        </w:rPr>
        <w:t xml:space="preserve"> –</w:t>
      </w:r>
      <w:r w:rsidRPr="00D22127">
        <w:rPr>
          <w:lang w:val="ru-RU"/>
        </w:rPr>
        <w:t xml:space="preserve"> Присвоение названий перечня общеизвестных платформ </w:t>
      </w:r>
      <w:r w:rsidRPr="00D22127">
        <w:rPr>
          <w:lang w:val="ru-RU"/>
        </w:rPr>
        <w:br/>
        <w:t>COM 17 – R 52</w:t>
      </w:r>
    </w:p>
    <w:p w:rsidR="008F0B99" w:rsidRPr="00D22127" w:rsidRDefault="008F0B99" w:rsidP="00F56424">
      <w:pPr>
        <w:pStyle w:val="Headingb"/>
        <w:rPr>
          <w:szCs w:val="22"/>
          <w:lang w:val="ru-RU"/>
        </w:rPr>
      </w:pPr>
      <w:r w:rsidRPr="00D22127">
        <w:rPr>
          <w:szCs w:val="22"/>
          <w:lang w:val="ru-RU"/>
        </w:rPr>
        <w:t>Краткое изложение</w:t>
      </w:r>
    </w:p>
    <w:p w:rsidR="008F0B99" w:rsidRPr="00D22127" w:rsidRDefault="008F0B99" w:rsidP="00BA1631">
      <w:pPr>
        <w:rPr>
          <w:lang w:val="ru-RU"/>
        </w:rPr>
      </w:pPr>
      <w:r w:rsidRPr="00D22127">
        <w:rPr>
          <w:lang w:val="ru-RU"/>
        </w:rPr>
        <w:t xml:space="preserve">В настоящей </w:t>
      </w:r>
      <w:r w:rsidR="001B0ED3" w:rsidRPr="00D22127">
        <w:rPr>
          <w:lang w:val="ru-RU"/>
        </w:rPr>
        <w:t xml:space="preserve">Рекомендации по вопросам </w:t>
      </w:r>
      <w:r w:rsidRPr="00D22127">
        <w:rPr>
          <w:lang w:val="ru-RU"/>
        </w:rPr>
        <w:t>присвоения названий перечня общеизвестных платформ (CPE) определяется логическая структура названий для классов продуктов информационных технологий (ИТ)</w:t>
      </w:r>
      <w:r w:rsidR="001B0ED3" w:rsidRPr="00D22127">
        <w:rPr>
          <w:lang w:val="ru-RU"/>
        </w:rPr>
        <w:t xml:space="preserve">, а также </w:t>
      </w:r>
      <w:r w:rsidRPr="00D22127">
        <w:rPr>
          <w:lang w:val="ru-RU"/>
        </w:rPr>
        <w:t xml:space="preserve">процедуры включения этих названий в машиночитаемые коды и их исключения из этих кодов. Кроме того, в настоящей Рекомендации определяются и разъясняются требования, которым должны удовлетворять продукты ИТ, чтобы претендовать на соответствие </w:t>
      </w:r>
      <w:r w:rsidR="001E3082" w:rsidRPr="00D22127">
        <w:rPr>
          <w:lang w:val="ru-RU"/>
        </w:rPr>
        <w:t>этой</w:t>
      </w:r>
      <w:r w:rsidRPr="00D22127">
        <w:rPr>
          <w:lang w:val="ru-RU"/>
        </w:rPr>
        <w:t xml:space="preserve"> Рекомендации. </w:t>
      </w:r>
      <w:r w:rsidR="00727411" w:rsidRPr="00D22127">
        <w:rPr>
          <w:lang w:val="ru-RU"/>
        </w:rPr>
        <w:t xml:space="preserve">Это достигается путем перечисления соответствующих пунктов </w:t>
      </w:r>
      <w:r w:rsidRPr="00D22127">
        <w:rPr>
          <w:lang w:val="ru-RU"/>
        </w:rPr>
        <w:t>Межведомственного отчета NIST №</w:t>
      </w:r>
      <w:r w:rsidR="00642E52" w:rsidRPr="00D22127">
        <w:rPr>
          <w:lang w:val="ru-RU"/>
        </w:rPr>
        <w:t> </w:t>
      </w:r>
      <w:r w:rsidRPr="00D22127">
        <w:rPr>
          <w:lang w:val="ru-RU"/>
        </w:rPr>
        <w:t>7696</w:t>
      </w:r>
      <w:r w:rsidR="00BA1631" w:rsidRPr="00D22127">
        <w:rPr>
          <w:lang w:val="ru-RU"/>
        </w:rPr>
        <w:t xml:space="preserve"> </w:t>
      </w:r>
      <w:r w:rsidR="001B0ED3" w:rsidRPr="00D22127">
        <w:rPr>
          <w:lang w:val="ru-RU"/>
        </w:rPr>
        <w:t xml:space="preserve">– </w:t>
      </w:r>
      <w:r w:rsidRPr="00D22127">
        <w:rPr>
          <w:lang w:val="ru-RU"/>
        </w:rPr>
        <w:t>Перечень общеизвестных платформ: спецификация сопоставления названий, версия 2.3</w:t>
      </w:r>
      <w:r w:rsidR="001B0ED3" w:rsidRPr="00D22127">
        <w:rPr>
          <w:lang w:val="ru-RU"/>
        </w:rPr>
        <w:t>,</w:t>
      </w:r>
      <w:r w:rsidRPr="00D22127">
        <w:rPr>
          <w:lang w:val="ru-RU"/>
        </w:rPr>
        <w:t xml:space="preserve"> с указанием их характера – нормативного или информативного.</w:t>
      </w:r>
    </w:p>
    <w:p w:rsidR="008F0B99" w:rsidRPr="00D22127" w:rsidRDefault="008F0B99" w:rsidP="0067675A">
      <w:pPr>
        <w:keepNext/>
        <w:spacing w:before="240"/>
        <w:rPr>
          <w:b/>
          <w:bCs/>
          <w:lang w:val="ru-RU"/>
        </w:rPr>
      </w:pPr>
      <w:r w:rsidRPr="00D22127">
        <w:rPr>
          <w:b/>
          <w:bCs/>
          <w:lang w:val="ru-RU"/>
        </w:rPr>
        <w:t>Проект новой Рекомендации МСЭ-T X.1528.2 (X.cpe.2)</w:t>
      </w:r>
      <w:r w:rsidR="0067675A" w:rsidRPr="00D22127">
        <w:rPr>
          <w:b/>
          <w:bCs/>
          <w:lang w:val="ru-RU"/>
        </w:rPr>
        <w:t xml:space="preserve"> –</w:t>
      </w:r>
      <w:r w:rsidRPr="00D22127">
        <w:rPr>
          <w:b/>
          <w:bCs/>
          <w:lang w:val="ru-RU"/>
        </w:rPr>
        <w:t xml:space="preserve"> Сопоставление названий перечня общеизвестных платформ </w:t>
      </w:r>
      <w:r w:rsidRPr="00D22127">
        <w:rPr>
          <w:b/>
          <w:bCs/>
          <w:lang w:val="ru-RU"/>
        </w:rPr>
        <w:br/>
        <w:t>COM 17 – R 53</w:t>
      </w:r>
    </w:p>
    <w:p w:rsidR="008F0B99" w:rsidRPr="00D22127" w:rsidRDefault="008F0B99" w:rsidP="008F0B99">
      <w:pPr>
        <w:pStyle w:val="Headingb"/>
        <w:rPr>
          <w:szCs w:val="22"/>
          <w:lang w:val="ru-RU"/>
        </w:rPr>
      </w:pPr>
      <w:r w:rsidRPr="00D22127">
        <w:rPr>
          <w:szCs w:val="22"/>
          <w:lang w:val="ru-RU"/>
        </w:rPr>
        <w:t>Краткое изложение</w:t>
      </w:r>
    </w:p>
    <w:p w:rsidR="008F0B99" w:rsidRPr="00D22127" w:rsidRDefault="008F0B99" w:rsidP="00BA1631">
      <w:pPr>
        <w:rPr>
          <w:lang w:val="ru-RU"/>
        </w:rPr>
      </w:pPr>
      <w:r w:rsidRPr="00D22127">
        <w:rPr>
          <w:lang w:val="ru-RU"/>
        </w:rPr>
        <w:t xml:space="preserve">В настоящей Рекомендации определяется спецификация сопоставления названий перечня общеизвестных платформ (CPE). Спецификация сопоставления названий CPE является частью стека спецификаций CPE, которые поддерживают различные сценарии использования, относящиеся к описанию </w:t>
      </w:r>
      <w:r w:rsidR="001B0ED3" w:rsidRPr="00D22127">
        <w:rPr>
          <w:lang w:val="ru-RU"/>
        </w:rPr>
        <w:t xml:space="preserve">продуктов ИТ </w:t>
      </w:r>
      <w:r w:rsidRPr="00D22127">
        <w:rPr>
          <w:lang w:val="ru-RU"/>
        </w:rPr>
        <w:t xml:space="preserve">и присвоению </w:t>
      </w:r>
      <w:r w:rsidR="001B0ED3" w:rsidRPr="00D22127">
        <w:rPr>
          <w:lang w:val="ru-RU"/>
        </w:rPr>
        <w:t xml:space="preserve">им </w:t>
      </w:r>
      <w:r w:rsidRPr="00D22127">
        <w:rPr>
          <w:lang w:val="ru-RU"/>
        </w:rPr>
        <w:t xml:space="preserve">названий. Спецификация сопоставления названий CPE предоставляет метод проведения сравнения по типу "один-к-одному" между исходным и конечным названиями CPE. Помимо определения этой спецификации в настоящей Рекомендации также </w:t>
      </w:r>
      <w:r w:rsidRPr="00D22127">
        <w:rPr>
          <w:lang w:val="ru-RU"/>
        </w:rPr>
        <w:lastRenderedPageBreak/>
        <w:t xml:space="preserve">определяются и разъясняются требования, которым должны соответствовать продукты ИТ, претендующие на соответствие. </w:t>
      </w:r>
      <w:r w:rsidR="00727411" w:rsidRPr="00D22127">
        <w:rPr>
          <w:lang w:val="ru-RU"/>
        </w:rPr>
        <w:t>Это достигается путем перечисления соответствующих пунктов</w:t>
      </w:r>
      <w:r w:rsidRPr="00D22127">
        <w:rPr>
          <w:lang w:val="ru-RU"/>
        </w:rPr>
        <w:t xml:space="preserve"> Межведомственного отчета NIST №</w:t>
      </w:r>
      <w:r w:rsidR="00642E52" w:rsidRPr="00D22127">
        <w:rPr>
          <w:lang w:val="ru-RU"/>
        </w:rPr>
        <w:t> </w:t>
      </w:r>
      <w:r w:rsidRPr="00D22127">
        <w:rPr>
          <w:lang w:val="ru-RU"/>
        </w:rPr>
        <w:t xml:space="preserve">7696 </w:t>
      </w:r>
      <w:r w:rsidR="001B0ED3" w:rsidRPr="00D22127">
        <w:rPr>
          <w:lang w:val="ru-RU"/>
        </w:rPr>
        <w:t xml:space="preserve">– </w:t>
      </w:r>
      <w:r w:rsidRPr="00D22127">
        <w:rPr>
          <w:lang w:val="ru-RU"/>
        </w:rPr>
        <w:t>Перечень общеизвестных платформ: спецификация сопоставления названий, версия 2.3</w:t>
      </w:r>
      <w:r w:rsidR="001B0ED3" w:rsidRPr="00D22127">
        <w:rPr>
          <w:lang w:val="ru-RU"/>
        </w:rPr>
        <w:t>,</w:t>
      </w:r>
      <w:r w:rsidRPr="00D22127">
        <w:rPr>
          <w:lang w:val="ru-RU"/>
        </w:rPr>
        <w:t xml:space="preserve"> с указанием их характера – нормативного или информативного.</w:t>
      </w:r>
    </w:p>
    <w:p w:rsidR="008F0B99" w:rsidRPr="00D22127" w:rsidRDefault="008F0B99" w:rsidP="00BA1631">
      <w:pPr>
        <w:pStyle w:val="Headingb"/>
        <w:rPr>
          <w:lang w:val="ru-RU"/>
        </w:rPr>
      </w:pPr>
      <w:r w:rsidRPr="00D22127">
        <w:rPr>
          <w:lang w:val="ru-RU"/>
        </w:rPr>
        <w:t>Проект новой Рекомендации МСЭ-T X.1528.3 (X.cpe.3)</w:t>
      </w:r>
      <w:r w:rsidR="0067675A" w:rsidRPr="00D22127">
        <w:rPr>
          <w:lang w:val="ru-RU"/>
        </w:rPr>
        <w:t xml:space="preserve"> –</w:t>
      </w:r>
      <w:r w:rsidRPr="00D22127">
        <w:rPr>
          <w:lang w:val="ru-RU"/>
        </w:rPr>
        <w:t xml:space="preserve"> Словарь перечня общеизвестных платформ </w:t>
      </w:r>
      <w:r w:rsidRPr="00D22127">
        <w:rPr>
          <w:lang w:val="ru-RU"/>
        </w:rPr>
        <w:br/>
        <w:t>COM 17 – R 54</w:t>
      </w:r>
    </w:p>
    <w:p w:rsidR="008F0B99" w:rsidRPr="00D22127" w:rsidRDefault="008F0B99" w:rsidP="00BA1631">
      <w:pPr>
        <w:pStyle w:val="Headingb"/>
        <w:rPr>
          <w:szCs w:val="22"/>
          <w:lang w:val="ru-RU"/>
        </w:rPr>
      </w:pPr>
      <w:r w:rsidRPr="00D22127">
        <w:rPr>
          <w:szCs w:val="22"/>
          <w:lang w:val="ru-RU"/>
        </w:rPr>
        <w:t>Краткое изложение</w:t>
      </w:r>
    </w:p>
    <w:p w:rsidR="008F0B99" w:rsidRPr="00D22127" w:rsidRDefault="008F0B99" w:rsidP="00642E52">
      <w:pPr>
        <w:rPr>
          <w:lang w:val="ru-RU"/>
        </w:rPr>
      </w:pPr>
      <w:r w:rsidRPr="00D22127">
        <w:rPr>
          <w:lang w:val="ru-RU"/>
        </w:rPr>
        <w:t xml:space="preserve">В настоящей Рекомендации определяется спецификация словаря перечня общеизвестных платформ (CPE). Спецификация словаря CPE является частью стека спецификаций CPE, которые поддерживают различные сценарии использования, относящиеся к описанию </w:t>
      </w:r>
      <w:r w:rsidR="001E3082" w:rsidRPr="00D22127">
        <w:rPr>
          <w:lang w:val="ru-RU"/>
        </w:rPr>
        <w:t xml:space="preserve">продуктов информационных технологий (ИТ) </w:t>
      </w:r>
      <w:r w:rsidRPr="00D22127">
        <w:rPr>
          <w:lang w:val="ru-RU"/>
        </w:rPr>
        <w:t xml:space="preserve">и присвоению </w:t>
      </w:r>
      <w:r w:rsidR="001E3082" w:rsidRPr="00D22127">
        <w:rPr>
          <w:lang w:val="ru-RU"/>
        </w:rPr>
        <w:t xml:space="preserve">им </w:t>
      </w:r>
      <w:r w:rsidRPr="00D22127">
        <w:rPr>
          <w:lang w:val="ru-RU"/>
        </w:rPr>
        <w:t>названий. Отдельный словарь CPE является хранилищем названий продуктов ИК, при этом каждое название в хранилище определяет уникальный класс продукта ИТ в мире. Данная спецификация определяет семантику модели данных словаря CPE, а также правила, относящиеся к созданию словаря CPE и управлению им. Кроме того, в настоящей Рекомендации также определяются и разъясняются требования, которым должны соответствовать продукты и услуги ИТ, в том числе словари CPE, претендующие на соответствие</w:t>
      </w:r>
      <w:r w:rsidR="001E3082" w:rsidRPr="00D22127">
        <w:rPr>
          <w:lang w:val="ru-RU"/>
        </w:rPr>
        <w:t xml:space="preserve"> этой Рекомендации</w:t>
      </w:r>
      <w:r w:rsidRPr="00D22127">
        <w:rPr>
          <w:lang w:val="ru-RU"/>
        </w:rPr>
        <w:t xml:space="preserve">. </w:t>
      </w:r>
      <w:r w:rsidR="00727411" w:rsidRPr="00D22127">
        <w:rPr>
          <w:lang w:val="ru-RU"/>
        </w:rPr>
        <w:t xml:space="preserve">Это достигается путем перечисления соответствующих пунктов </w:t>
      </w:r>
      <w:r w:rsidRPr="00D22127">
        <w:rPr>
          <w:lang w:val="ru-RU"/>
        </w:rPr>
        <w:t>Межведомственного отчета NIST №</w:t>
      </w:r>
      <w:r w:rsidR="00642E52" w:rsidRPr="00D22127">
        <w:rPr>
          <w:lang w:val="ru-RU"/>
        </w:rPr>
        <w:t> </w:t>
      </w:r>
      <w:r w:rsidRPr="00D22127">
        <w:rPr>
          <w:lang w:val="ru-RU"/>
        </w:rPr>
        <w:t xml:space="preserve">7697 </w:t>
      </w:r>
      <w:r w:rsidR="001E3082" w:rsidRPr="00D22127">
        <w:rPr>
          <w:lang w:val="ru-RU"/>
        </w:rPr>
        <w:t xml:space="preserve">– </w:t>
      </w:r>
      <w:r w:rsidRPr="00D22127">
        <w:rPr>
          <w:lang w:val="ru-RU"/>
        </w:rPr>
        <w:t>Перечень общеизвестных платформ: спецификация сопоставления названий, версия 2.3</w:t>
      </w:r>
      <w:r w:rsidR="001E3082" w:rsidRPr="00D22127">
        <w:rPr>
          <w:lang w:val="ru-RU"/>
        </w:rPr>
        <w:t>,</w:t>
      </w:r>
      <w:r w:rsidRPr="00D22127">
        <w:rPr>
          <w:lang w:val="ru-RU"/>
        </w:rPr>
        <w:t xml:space="preserve"> с указанием их характера – нормативного или информативного.</w:t>
      </w:r>
      <w:r w:rsidR="00BA1631" w:rsidRPr="00D22127">
        <w:rPr>
          <w:lang w:val="ru-RU"/>
        </w:rPr>
        <w:t xml:space="preserve"> </w:t>
      </w:r>
    </w:p>
    <w:p w:rsidR="008F0B99" w:rsidRPr="00D22127" w:rsidRDefault="008F0B99" w:rsidP="00BA1631">
      <w:pPr>
        <w:pStyle w:val="Headingb"/>
        <w:rPr>
          <w:lang w:val="ru-RU"/>
        </w:rPr>
      </w:pPr>
      <w:r w:rsidRPr="00D22127">
        <w:rPr>
          <w:lang w:val="ru-RU"/>
        </w:rPr>
        <w:t>Проект новой Рекомендации МСЭ-T X.1528.4 (X.cpe.4)</w:t>
      </w:r>
      <w:r w:rsidR="0067675A" w:rsidRPr="00D22127">
        <w:rPr>
          <w:lang w:val="ru-RU"/>
        </w:rPr>
        <w:t xml:space="preserve"> –</w:t>
      </w:r>
      <w:r w:rsidRPr="00D22127">
        <w:rPr>
          <w:lang w:val="ru-RU"/>
        </w:rPr>
        <w:t xml:space="preserve"> Язык применимости перечня общеизвестных платформ </w:t>
      </w:r>
      <w:r w:rsidRPr="00D22127">
        <w:rPr>
          <w:lang w:val="ru-RU"/>
        </w:rPr>
        <w:br/>
        <w:t>COM 17 – R 55</w:t>
      </w:r>
    </w:p>
    <w:p w:rsidR="008F0B99" w:rsidRPr="00D22127" w:rsidRDefault="008F0B99" w:rsidP="00BA1631">
      <w:pPr>
        <w:pStyle w:val="Headingb"/>
        <w:rPr>
          <w:szCs w:val="22"/>
          <w:lang w:val="ru-RU"/>
        </w:rPr>
      </w:pPr>
      <w:r w:rsidRPr="00D22127">
        <w:rPr>
          <w:szCs w:val="22"/>
          <w:lang w:val="ru-RU"/>
        </w:rPr>
        <w:t>Краткое изложение</w:t>
      </w:r>
    </w:p>
    <w:p w:rsidR="008F0B99" w:rsidRPr="00D22127" w:rsidRDefault="008F0B99" w:rsidP="00BA1631">
      <w:pPr>
        <w:rPr>
          <w:lang w:val="ru-RU"/>
        </w:rPr>
      </w:pPr>
      <w:r w:rsidRPr="00D22127">
        <w:rPr>
          <w:lang w:val="ru-RU"/>
        </w:rPr>
        <w:t xml:space="preserve">В настоящей Рекомендации определяется спецификация языка применимости перечня общеизвестных платформ (CPE). Спецификация языка применимости CPE является частью стека спецификаций CPE, которые поддерживают различные сценарии использования, относящиеся к описанию </w:t>
      </w:r>
      <w:r w:rsidR="001E3082" w:rsidRPr="00D22127">
        <w:rPr>
          <w:lang w:val="ru-RU"/>
        </w:rPr>
        <w:t xml:space="preserve">продуктов ИТ </w:t>
      </w:r>
      <w:r w:rsidRPr="00D22127">
        <w:rPr>
          <w:lang w:val="ru-RU"/>
        </w:rPr>
        <w:t xml:space="preserve">и присвоению </w:t>
      </w:r>
      <w:r w:rsidR="001E3082" w:rsidRPr="00D22127">
        <w:rPr>
          <w:lang w:val="ru-RU"/>
        </w:rPr>
        <w:t xml:space="preserve">им </w:t>
      </w:r>
      <w:r w:rsidRPr="00D22127">
        <w:rPr>
          <w:lang w:val="ru-RU"/>
        </w:rPr>
        <w:t>названий. Модель данных языка применимости CPE составляет верхнюю часть других спецификаций CPE и обеспечивает необходимую функциональную возможность, позволяющую пользователям CPE образовывать сложные группы названий CPE для описания платформ ИТ. Эти группы называются заявлениями о применимости, поскольку они используются для обозначения платформ, к которым применяются конкретные руководств</w:t>
      </w:r>
      <w:r w:rsidR="008C73F4" w:rsidRPr="00D22127">
        <w:rPr>
          <w:lang w:val="ru-RU"/>
        </w:rPr>
        <w:t>о</w:t>
      </w:r>
      <w:r w:rsidRPr="00D22127">
        <w:rPr>
          <w:lang w:val="ru-RU"/>
        </w:rPr>
        <w:t>, политики и т.</w:t>
      </w:r>
      <w:r w:rsidR="00190C48" w:rsidRPr="00D22127">
        <w:rPr>
          <w:lang w:val="ru-RU"/>
        </w:rPr>
        <w:t> </w:t>
      </w:r>
      <w:r w:rsidRPr="00D22127">
        <w:rPr>
          <w:lang w:val="ru-RU"/>
        </w:rPr>
        <w:t xml:space="preserve">д. В настоящей Рекомендации определяется семантика модели данных языка применимости CPE, а также требования, которым должны соответствовать продукты ИТ и использующие язык применимости CPE документы, претендующие на соответствие этой Рекомендации. </w:t>
      </w:r>
    </w:p>
    <w:p w:rsidR="008F0B99" w:rsidRPr="00D22127" w:rsidRDefault="00727411" w:rsidP="00BA1631">
      <w:pPr>
        <w:rPr>
          <w:lang w:val="ru-RU"/>
        </w:rPr>
      </w:pPr>
      <w:r w:rsidRPr="00D22127">
        <w:rPr>
          <w:lang w:val="ru-RU"/>
        </w:rPr>
        <w:t xml:space="preserve">Это достигается путем перечисления соответствующих пунктов </w:t>
      </w:r>
      <w:r w:rsidR="008F0B99" w:rsidRPr="00D22127">
        <w:rPr>
          <w:lang w:val="ru-RU"/>
        </w:rPr>
        <w:t>Межведомственного отчета NIST №</w:t>
      </w:r>
      <w:r w:rsidR="00BA1631" w:rsidRPr="00D22127">
        <w:rPr>
          <w:lang w:val="ru-RU"/>
        </w:rPr>
        <w:t> </w:t>
      </w:r>
      <w:r w:rsidR="008F0B99" w:rsidRPr="00D22127">
        <w:rPr>
          <w:lang w:val="ru-RU"/>
        </w:rPr>
        <w:t xml:space="preserve">7698 </w:t>
      </w:r>
      <w:r w:rsidR="008C73F4" w:rsidRPr="00D22127">
        <w:rPr>
          <w:lang w:val="ru-RU"/>
        </w:rPr>
        <w:t xml:space="preserve">– </w:t>
      </w:r>
      <w:r w:rsidR="008F0B99" w:rsidRPr="00D22127">
        <w:rPr>
          <w:lang w:val="ru-RU"/>
        </w:rPr>
        <w:t xml:space="preserve">Спецификация языка применимости </w:t>
      </w:r>
      <w:r w:rsidR="008C73F4" w:rsidRPr="00D22127">
        <w:rPr>
          <w:lang w:val="ru-RU"/>
        </w:rPr>
        <w:t xml:space="preserve">перечня </w:t>
      </w:r>
      <w:r w:rsidR="008F0B99" w:rsidRPr="00D22127">
        <w:rPr>
          <w:lang w:val="ru-RU"/>
        </w:rPr>
        <w:t xml:space="preserve">общеизвестных платформ, версия </w:t>
      </w:r>
      <w:r w:rsidR="008C73F4" w:rsidRPr="00D22127">
        <w:rPr>
          <w:lang w:val="ru-RU"/>
        </w:rPr>
        <w:t>2</w:t>
      </w:r>
      <w:r w:rsidR="008F0B99" w:rsidRPr="00D22127">
        <w:rPr>
          <w:lang w:val="ru-RU"/>
        </w:rPr>
        <w:t>.3</w:t>
      </w:r>
      <w:r w:rsidR="008C73F4" w:rsidRPr="00D22127">
        <w:rPr>
          <w:lang w:val="ru-RU"/>
        </w:rPr>
        <w:t>,</w:t>
      </w:r>
      <w:r w:rsidR="008F0B99" w:rsidRPr="00D22127">
        <w:rPr>
          <w:lang w:val="ru-RU"/>
        </w:rPr>
        <w:t xml:space="preserve"> с указанием их характера – нормативного или информативного.</w:t>
      </w:r>
      <w:r w:rsidR="00BA1631" w:rsidRPr="00D22127">
        <w:rPr>
          <w:lang w:val="ru-RU"/>
        </w:rPr>
        <w:t xml:space="preserve"> </w:t>
      </w:r>
    </w:p>
    <w:p w:rsidR="008F0B99" w:rsidRPr="00D22127" w:rsidRDefault="008F0B99" w:rsidP="00BA1631">
      <w:pPr>
        <w:pStyle w:val="Headingb"/>
        <w:rPr>
          <w:lang w:val="ru-RU"/>
        </w:rPr>
      </w:pPr>
      <w:r w:rsidRPr="00D22127">
        <w:rPr>
          <w:lang w:val="ru-RU"/>
        </w:rPr>
        <w:t>Проект новой Рекомендации МСЭ-T X.1541 (X.iodef)</w:t>
      </w:r>
      <w:r w:rsidR="0067675A" w:rsidRPr="00D22127">
        <w:rPr>
          <w:lang w:val="ru-RU"/>
        </w:rPr>
        <w:t xml:space="preserve"> –</w:t>
      </w:r>
      <w:r w:rsidRPr="00D22127">
        <w:rPr>
          <w:lang w:val="ru-RU"/>
        </w:rPr>
        <w:t xml:space="preserve"> Формат обмена описаниями</w:t>
      </w:r>
      <w:r w:rsidR="00BA1631" w:rsidRPr="00D22127">
        <w:rPr>
          <w:lang w:val="ru-RU"/>
        </w:rPr>
        <w:t xml:space="preserve"> </w:t>
      </w:r>
      <w:r w:rsidRPr="00D22127">
        <w:rPr>
          <w:cs/>
          <w:lang w:val="ru-RU"/>
        </w:rPr>
        <w:t>‎</w:t>
      </w:r>
      <w:r w:rsidRPr="00D22127">
        <w:rPr>
          <w:lang w:val="ru-RU"/>
        </w:rPr>
        <w:t xml:space="preserve">инцидентов как объектов </w:t>
      </w:r>
      <w:r w:rsidRPr="00D22127">
        <w:rPr>
          <w:lang w:val="ru-RU"/>
        </w:rPr>
        <w:br/>
        <w:t>COM 17 – R 56</w:t>
      </w:r>
    </w:p>
    <w:p w:rsidR="008F0B99" w:rsidRPr="00D22127" w:rsidRDefault="008F0B99" w:rsidP="00BA1631">
      <w:pPr>
        <w:pStyle w:val="Headingb"/>
        <w:rPr>
          <w:szCs w:val="22"/>
          <w:lang w:val="ru-RU"/>
        </w:rPr>
      </w:pPr>
      <w:r w:rsidRPr="00D22127">
        <w:rPr>
          <w:szCs w:val="22"/>
          <w:lang w:val="ru-RU"/>
        </w:rPr>
        <w:t>Краткое изложение</w:t>
      </w:r>
    </w:p>
    <w:p w:rsidR="008F0B99" w:rsidRPr="00D22127" w:rsidRDefault="008F0B99" w:rsidP="008C73F4">
      <w:pPr>
        <w:spacing w:before="240"/>
        <w:rPr>
          <w:b/>
          <w:bCs/>
          <w:lang w:val="ru-RU"/>
        </w:rPr>
      </w:pPr>
      <w:r w:rsidRPr="00D22127">
        <w:rPr>
          <w:lang w:val="ru-RU"/>
        </w:rPr>
        <w:t>В настоящей Рекомендации описывается информационная модель формата обмена описаниями инцидентов как объектов (IODEF) и приводится соответствующая модель данных, определенная в виде схемы</w:t>
      </w:r>
      <w:r w:rsidR="008C73F4" w:rsidRPr="00D22127">
        <w:rPr>
          <w:lang w:val="ru-RU"/>
        </w:rPr>
        <w:t xml:space="preserve"> XML. </w:t>
      </w:r>
      <w:r w:rsidR="00797155" w:rsidRPr="00D22127">
        <w:rPr>
          <w:lang w:val="ru-RU"/>
        </w:rPr>
        <w:t xml:space="preserve">Формат </w:t>
      </w:r>
      <w:r w:rsidRPr="00D22127">
        <w:rPr>
          <w:lang w:val="ru-RU"/>
        </w:rPr>
        <w:t xml:space="preserve">IODEF определяет представление модели </w:t>
      </w:r>
      <w:r w:rsidRPr="00D22127">
        <w:rPr>
          <w:cs/>
          <w:lang w:val="ru-RU"/>
        </w:rPr>
        <w:t>‎</w:t>
      </w:r>
      <w:r w:rsidRPr="00D22127">
        <w:rPr>
          <w:lang w:val="ru-RU"/>
        </w:rPr>
        <w:t xml:space="preserve">данных для обмена информацией об инцидентах в сфере </w:t>
      </w:r>
      <w:r w:rsidRPr="00D22127">
        <w:rPr>
          <w:cs/>
          <w:lang w:val="ru-RU"/>
        </w:rPr>
        <w:t>‎</w:t>
      </w:r>
      <w:r w:rsidRPr="00D22127">
        <w:rPr>
          <w:lang w:val="ru-RU"/>
        </w:rPr>
        <w:t xml:space="preserve">компьютерной безопасности и других типах инцидентов, которой обычно обмениваются группы реагирования на </w:t>
      </w:r>
      <w:r w:rsidRPr="00D22127">
        <w:rPr>
          <w:cs/>
          <w:lang w:val="ru-RU"/>
        </w:rPr>
        <w:t>‎</w:t>
      </w:r>
      <w:r w:rsidRPr="00D22127">
        <w:rPr>
          <w:lang w:val="ru-RU"/>
        </w:rPr>
        <w:t xml:space="preserve">инциденты в сфере компьютерной безопасности (CSIRT) и поставщики услуг (SP). </w:t>
      </w:r>
      <w:r w:rsidR="00727411" w:rsidRPr="00D22127">
        <w:rPr>
          <w:lang w:val="ru-RU"/>
        </w:rPr>
        <w:t>Это достигается путем перечисления соответствующих пунктов</w:t>
      </w:r>
      <w:r w:rsidRPr="00D22127">
        <w:rPr>
          <w:lang w:val="ru-RU"/>
        </w:rPr>
        <w:t xml:space="preserve"> RFC 5070 с указанием их характера – нормативного или информативного.</w:t>
      </w:r>
    </w:p>
    <w:p w:rsidR="008F0B99" w:rsidRPr="00D22127" w:rsidRDefault="008F0B99" w:rsidP="00BA1631">
      <w:pPr>
        <w:pStyle w:val="Headingb"/>
        <w:rPr>
          <w:lang w:val="ru-RU"/>
        </w:rPr>
      </w:pPr>
      <w:r w:rsidRPr="00D22127">
        <w:rPr>
          <w:lang w:val="ru-RU"/>
        </w:rPr>
        <w:lastRenderedPageBreak/>
        <w:t>Проект новой Рекомендации МСЭ-T X.1580 (X.rid)</w:t>
      </w:r>
      <w:r w:rsidR="0067675A" w:rsidRPr="00D22127">
        <w:rPr>
          <w:lang w:val="ru-RU"/>
        </w:rPr>
        <w:t xml:space="preserve"> –</w:t>
      </w:r>
      <w:r w:rsidRPr="00D22127">
        <w:rPr>
          <w:lang w:val="ru-RU"/>
        </w:rPr>
        <w:t xml:space="preserve"> Межсетевая защита в реальном времени </w:t>
      </w:r>
      <w:r w:rsidRPr="00D22127">
        <w:rPr>
          <w:lang w:val="ru-RU"/>
        </w:rPr>
        <w:br/>
        <w:t>COM 17 – R 57</w:t>
      </w:r>
    </w:p>
    <w:p w:rsidR="008F0B99" w:rsidRPr="00D22127" w:rsidRDefault="008F0B99" w:rsidP="00BA1631">
      <w:pPr>
        <w:pStyle w:val="Headingb"/>
        <w:rPr>
          <w:szCs w:val="22"/>
          <w:lang w:val="ru-RU"/>
        </w:rPr>
      </w:pPr>
      <w:r w:rsidRPr="00D22127">
        <w:rPr>
          <w:szCs w:val="22"/>
          <w:lang w:val="ru-RU"/>
        </w:rPr>
        <w:t>Краткое изложение</w:t>
      </w:r>
    </w:p>
    <w:p w:rsidR="008F0B99" w:rsidRPr="00D22127" w:rsidRDefault="008F0B99" w:rsidP="00BA1631">
      <w:pPr>
        <w:rPr>
          <w:lang w:val="ru-RU"/>
        </w:rPr>
      </w:pPr>
      <w:r w:rsidRPr="00D22127">
        <w:rPr>
          <w:lang w:val="ru-RU"/>
        </w:rPr>
        <w:t>В настоящей Рекомендации по вопросам межсетевой защиты в реальном времени (RID) описываются проактивные методы межсетевой связи, облегчающие автоматизированный обмен информацией об обработке инцидентов. Реализации мо</w:t>
      </w:r>
      <w:r w:rsidR="00797155" w:rsidRPr="00D22127">
        <w:rPr>
          <w:lang w:val="ru-RU"/>
        </w:rPr>
        <w:t>жно</w:t>
      </w:r>
      <w:r w:rsidRPr="00D22127">
        <w:rPr>
          <w:lang w:val="ru-RU"/>
        </w:rPr>
        <w:t xml:space="preserve"> объединять с существующими системами управления инцидентами, а также механизмами обнаружения, идентификации источника и смягчения последствий в целях обеспечения более полного решения в области обработки инцидентов. RID определяет метод безопасной передачи информации об инцидентах, который позволяет обмениваться документами в формате обмена описаниями</w:t>
      </w:r>
      <w:r w:rsidR="00BA1631" w:rsidRPr="00D22127">
        <w:rPr>
          <w:lang w:val="ru-RU"/>
        </w:rPr>
        <w:t xml:space="preserve"> </w:t>
      </w:r>
      <w:r w:rsidRPr="00D22127">
        <w:rPr>
          <w:cs/>
          <w:lang w:val="ru-RU"/>
        </w:rPr>
        <w:t>‎</w:t>
      </w:r>
      <w:r w:rsidRPr="00D22127">
        <w:rPr>
          <w:lang w:val="ru-RU"/>
        </w:rPr>
        <w:t>инцидентов как объектов (IODEF) с использованием расширяемого языка разметки (XML). RID обеспечивает технические средства передачи управляющих сообщений</w:t>
      </w:r>
      <w:r w:rsidR="00797155" w:rsidRPr="00D22127">
        <w:rPr>
          <w:lang w:val="ru-RU"/>
        </w:rPr>
        <w:t xml:space="preserve"> в отношении</w:t>
      </w:r>
      <w:r w:rsidRPr="00D22127">
        <w:rPr>
          <w:lang w:val="ru-RU"/>
        </w:rPr>
        <w:t xml:space="preserve"> безопасности, политики и конфиденциальности, позволяющие обмениваться потенциально критичной информацией. Технические возможности мо</w:t>
      </w:r>
      <w:r w:rsidR="00797155" w:rsidRPr="00D22127">
        <w:rPr>
          <w:lang w:val="ru-RU"/>
        </w:rPr>
        <w:t>гут</w:t>
      </w:r>
      <w:r w:rsidRPr="00D22127">
        <w:rPr>
          <w:lang w:val="ru-RU"/>
        </w:rPr>
        <w:t xml:space="preserve"> быть преобразованы в надлежащие политики</w:t>
      </w:r>
      <w:r w:rsidR="00797155" w:rsidRPr="00D22127">
        <w:rPr>
          <w:lang w:val="ru-RU"/>
        </w:rPr>
        <w:t xml:space="preserve"> в целях </w:t>
      </w:r>
      <w:r w:rsidRPr="00D22127">
        <w:rPr>
          <w:lang w:val="ru-RU"/>
        </w:rPr>
        <w:t>предостав</w:t>
      </w:r>
      <w:r w:rsidR="00797155" w:rsidRPr="00D22127">
        <w:rPr>
          <w:lang w:val="ru-RU"/>
        </w:rPr>
        <w:t>ления</w:t>
      </w:r>
      <w:r w:rsidRPr="00D22127">
        <w:rPr>
          <w:lang w:val="ru-RU"/>
        </w:rPr>
        <w:t xml:space="preserve"> поставщикам услуг или организациям возможност</w:t>
      </w:r>
      <w:r w:rsidR="00797155" w:rsidRPr="00D22127">
        <w:rPr>
          <w:lang w:val="ru-RU"/>
        </w:rPr>
        <w:t>и</w:t>
      </w:r>
      <w:r w:rsidRPr="00D22127">
        <w:rPr>
          <w:lang w:val="ru-RU"/>
        </w:rPr>
        <w:t xml:space="preserve"> принимать надлежащие решения в соответствии с их политиками.</w:t>
      </w:r>
    </w:p>
    <w:p w:rsidR="008F0B99" w:rsidRPr="00D22127" w:rsidRDefault="008F0B99" w:rsidP="00BA1631">
      <w:pPr>
        <w:rPr>
          <w:lang w:val="ru-RU"/>
        </w:rPr>
      </w:pPr>
      <w:r w:rsidRPr="00D22127">
        <w:rPr>
          <w:lang w:val="ru-RU"/>
        </w:rPr>
        <w:t xml:space="preserve">В настоящей Рекомендации RID определяется путем перечисления соответствующих пунктов </w:t>
      </w:r>
      <w:r w:rsidR="00BA1631" w:rsidRPr="00D22127">
        <w:rPr>
          <w:lang w:val="ru-RU"/>
        </w:rPr>
        <w:t>RFC </w:t>
      </w:r>
      <w:r w:rsidRPr="00D22127">
        <w:rPr>
          <w:lang w:val="ru-RU"/>
        </w:rPr>
        <w:t>6545 с указанием их характера – нормативного или информативного.</w:t>
      </w:r>
    </w:p>
    <w:p w:rsidR="008F0B99" w:rsidRPr="00D22127" w:rsidRDefault="008F0B99" w:rsidP="00BA1631">
      <w:pPr>
        <w:pStyle w:val="Headingb"/>
        <w:rPr>
          <w:lang w:val="ru-RU"/>
        </w:rPr>
      </w:pPr>
      <w:r w:rsidRPr="00D22127">
        <w:rPr>
          <w:lang w:val="ru-RU"/>
        </w:rPr>
        <w:t>Проект новой Рекомендации МСЭ-T X.1581 (X.ridt)</w:t>
      </w:r>
      <w:r w:rsidR="0067675A" w:rsidRPr="00D22127">
        <w:rPr>
          <w:lang w:val="ru-RU"/>
        </w:rPr>
        <w:t xml:space="preserve"> –</w:t>
      </w:r>
      <w:r w:rsidRPr="00D22127">
        <w:rPr>
          <w:lang w:val="ru-RU"/>
        </w:rPr>
        <w:t xml:space="preserve"> </w:t>
      </w:r>
      <w:r w:rsidR="00797155" w:rsidRPr="00D22127">
        <w:rPr>
          <w:lang w:val="ru-RU"/>
        </w:rPr>
        <w:t>Транспортировани</w:t>
      </w:r>
      <w:r w:rsidR="0067675A" w:rsidRPr="00D22127">
        <w:rPr>
          <w:lang w:val="ru-RU"/>
        </w:rPr>
        <w:t>е</w:t>
      </w:r>
      <w:r w:rsidR="00797155" w:rsidRPr="00D22127">
        <w:rPr>
          <w:lang w:val="ru-RU"/>
        </w:rPr>
        <w:t xml:space="preserve"> сообщений </w:t>
      </w:r>
      <w:r w:rsidRPr="00D22127">
        <w:rPr>
          <w:lang w:val="ru-RU"/>
        </w:rPr>
        <w:t xml:space="preserve">для обеспечения межсетевой защиты в реальном времени </w:t>
      </w:r>
      <w:r w:rsidRPr="00D22127">
        <w:rPr>
          <w:lang w:val="ru-RU"/>
        </w:rPr>
        <w:br/>
        <w:t>COM 17 – R 58</w:t>
      </w:r>
    </w:p>
    <w:p w:rsidR="008F0B99" w:rsidRPr="00D22127" w:rsidRDefault="008F0B99" w:rsidP="00BA1631">
      <w:pPr>
        <w:pStyle w:val="Headingb"/>
        <w:rPr>
          <w:szCs w:val="22"/>
          <w:lang w:val="ru-RU"/>
        </w:rPr>
      </w:pPr>
      <w:r w:rsidRPr="00D22127">
        <w:rPr>
          <w:szCs w:val="22"/>
          <w:lang w:val="ru-RU"/>
        </w:rPr>
        <w:t>Краткое изложение</w:t>
      </w:r>
    </w:p>
    <w:p w:rsidR="008F0B99" w:rsidRPr="00D22127" w:rsidRDefault="008F0B99" w:rsidP="00BA1631">
      <w:pPr>
        <w:rPr>
          <w:b/>
          <w:bCs/>
          <w:lang w:val="ru-RU"/>
        </w:rPr>
      </w:pPr>
      <w:r w:rsidRPr="00D22127">
        <w:rPr>
          <w:lang w:val="ru-RU"/>
        </w:rPr>
        <w:t xml:space="preserve">В настоящей </w:t>
      </w:r>
      <w:r w:rsidR="00797155" w:rsidRPr="00D22127">
        <w:rPr>
          <w:lang w:val="ru-RU"/>
        </w:rPr>
        <w:t xml:space="preserve">Рекомендации </w:t>
      </w:r>
      <w:r w:rsidRPr="00D22127">
        <w:rPr>
          <w:lang w:val="ru-RU"/>
        </w:rPr>
        <w:t xml:space="preserve">определяется протокол транспортирования для обеспечения межсетевой защиты в реальном времени (RID), основанный на передаче сообщений RID по протоколу передачи гипертекста/безопасности транспортного уровня (HTTP/TLS). </w:t>
      </w:r>
      <w:r w:rsidR="00727411" w:rsidRPr="00D22127">
        <w:rPr>
          <w:lang w:val="ru-RU"/>
        </w:rPr>
        <w:t>Это достигается путем перечисления соответствующих пунктов</w:t>
      </w:r>
      <w:r w:rsidRPr="00D22127">
        <w:rPr>
          <w:lang w:val="ru-RU"/>
        </w:rPr>
        <w:t xml:space="preserve"> RFC 6546 с указанием их характера – нормативного или информативного.</w:t>
      </w:r>
    </w:p>
    <w:p w:rsidR="0005179F" w:rsidRPr="00D22127" w:rsidRDefault="0005179F" w:rsidP="00F56424">
      <w:pPr>
        <w:spacing w:before="720"/>
        <w:jc w:val="center"/>
        <w:rPr>
          <w:lang w:val="ru-RU"/>
        </w:rPr>
      </w:pPr>
      <w:r w:rsidRPr="00D22127">
        <w:rPr>
          <w:lang w:val="ru-RU"/>
        </w:rPr>
        <w:t>______________</w:t>
      </w:r>
    </w:p>
    <w:sectPr w:rsidR="0005179F" w:rsidRPr="00D22127" w:rsidSect="00F93AEE">
      <w:headerReference w:type="default" r:id="rId12"/>
      <w:footerReference w:type="default" r:id="rId13"/>
      <w:footerReference w:type="first" r:id="rId14"/>
      <w:pgSz w:w="11907" w:h="16840" w:code="9"/>
      <w:pgMar w:top="1134" w:right="1134" w:bottom="1134" w:left="1134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127" w:rsidRDefault="00D22127">
      <w:r>
        <w:separator/>
      </w:r>
    </w:p>
  </w:endnote>
  <w:endnote w:type="continuationSeparator" w:id="0">
    <w:p w:rsidR="00D22127" w:rsidRDefault="00D22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127" w:rsidRPr="006B6817" w:rsidRDefault="006B6817" w:rsidP="006B6817">
    <w:pPr>
      <w:pStyle w:val="Footer"/>
      <w:rPr>
        <w:lang w:val="fr-CH"/>
      </w:rPr>
    </w:pPr>
    <w:r>
      <w:rPr>
        <w:lang w:val="fr-CH"/>
      </w:rPr>
      <w:t>ITU-T\BUREAU\CIRC\269R.DOC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D22127" w:rsidRPr="00EF273F" w:rsidTr="00B54B88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D22127" w:rsidRPr="00EF273F" w:rsidRDefault="00D22127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D22127" w:rsidRPr="00EF273F" w:rsidRDefault="00D22127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Telephone</w:t>
          </w:r>
          <w:r w:rsidRPr="00EF273F">
            <w:rPr>
              <w:sz w:val="18"/>
              <w:szCs w:val="18"/>
              <w:lang w:val="en-GB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D22127" w:rsidRPr="00EF273F" w:rsidRDefault="00D22127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Telex 421 000 </w:t>
          </w:r>
          <w:proofErr w:type="spellStart"/>
          <w:r w:rsidRPr="00EF273F">
            <w:rPr>
              <w:sz w:val="18"/>
              <w:szCs w:val="18"/>
              <w:lang w:val="en-GB"/>
            </w:rPr>
            <w:t>uit</w:t>
          </w:r>
          <w:proofErr w:type="spellEnd"/>
          <w:r w:rsidRPr="00EF273F">
            <w:rPr>
              <w:sz w:val="18"/>
              <w:szCs w:val="18"/>
              <w:lang w:val="en-GB"/>
            </w:rPr>
            <w:t xml:space="preserve"> </w:t>
          </w:r>
          <w:proofErr w:type="spellStart"/>
          <w:r w:rsidRPr="00EF273F">
            <w:rPr>
              <w:sz w:val="18"/>
              <w:szCs w:val="18"/>
              <w:lang w:val="en-GB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D22127" w:rsidRPr="00EF273F" w:rsidRDefault="00D22127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E-mail:</w:t>
          </w:r>
          <w:r w:rsidRPr="00EF273F">
            <w:rPr>
              <w:sz w:val="18"/>
              <w:szCs w:val="18"/>
              <w:lang w:val="en-GB"/>
            </w:rPr>
            <w:tab/>
          </w:r>
          <w:hyperlink r:id="rId1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itumail@itu.int</w:t>
            </w:r>
          </w:hyperlink>
        </w:p>
      </w:tc>
    </w:tr>
    <w:tr w:rsidR="00D22127" w:rsidRPr="00EF273F" w:rsidTr="00B54B88">
      <w:trPr>
        <w:cantSplit/>
      </w:trPr>
      <w:tc>
        <w:tcPr>
          <w:tcW w:w="1062" w:type="pct"/>
        </w:tcPr>
        <w:p w:rsidR="00D22127" w:rsidRPr="00EF273F" w:rsidRDefault="00D22127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CH-1211 Geneva 20</w:t>
          </w:r>
        </w:p>
      </w:tc>
      <w:tc>
        <w:tcPr>
          <w:tcW w:w="1583" w:type="pct"/>
        </w:tcPr>
        <w:p w:rsidR="00D22127" w:rsidRPr="00EF273F" w:rsidRDefault="00D22127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Telefax</w:t>
          </w:r>
          <w:r w:rsidRPr="00EF273F">
            <w:rPr>
              <w:sz w:val="18"/>
              <w:szCs w:val="18"/>
              <w:lang w:val="en-GB"/>
            </w:rPr>
            <w:tab/>
            <w:t>Gr3:</w:t>
          </w:r>
          <w:r w:rsidRPr="00EF273F">
            <w:rPr>
              <w:sz w:val="18"/>
              <w:szCs w:val="18"/>
              <w:lang w:val="en-GB"/>
            </w:rPr>
            <w:tab/>
            <w:t>+41 22 733 72 56</w:t>
          </w:r>
        </w:p>
      </w:tc>
      <w:tc>
        <w:tcPr>
          <w:tcW w:w="1224" w:type="pct"/>
        </w:tcPr>
        <w:p w:rsidR="00D22127" w:rsidRPr="00EF273F" w:rsidRDefault="00D22127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Telegram ITU GENEVE</w:t>
          </w:r>
        </w:p>
      </w:tc>
      <w:tc>
        <w:tcPr>
          <w:tcW w:w="1131" w:type="pct"/>
        </w:tcPr>
        <w:p w:rsidR="00D22127" w:rsidRPr="00EF273F" w:rsidRDefault="00D22127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ru-RU"/>
            </w:rPr>
          </w:pPr>
          <w:r w:rsidRPr="00EF273F">
            <w:rPr>
              <w:sz w:val="18"/>
              <w:szCs w:val="18"/>
              <w:lang w:val="en-GB"/>
            </w:rPr>
            <w:tab/>
          </w:r>
          <w:hyperlink r:id="rId2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www.itu.int</w:t>
            </w:r>
          </w:hyperlink>
        </w:p>
      </w:tc>
    </w:tr>
    <w:tr w:rsidR="00D22127" w:rsidRPr="00EF273F" w:rsidTr="00B54B88">
      <w:trPr>
        <w:cantSplit/>
      </w:trPr>
      <w:tc>
        <w:tcPr>
          <w:tcW w:w="1062" w:type="pct"/>
        </w:tcPr>
        <w:p w:rsidR="00D22127" w:rsidRPr="00EF273F" w:rsidRDefault="00D22127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proofErr w:type="spellStart"/>
          <w:r w:rsidRPr="00EF273F">
            <w:rPr>
              <w:sz w:val="18"/>
              <w:szCs w:val="18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D22127" w:rsidRPr="00EF273F" w:rsidRDefault="00D22127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ab/>
            <w:t>Gr4:</w:t>
          </w:r>
          <w:r w:rsidRPr="00EF273F">
            <w:rPr>
              <w:sz w:val="18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D22127" w:rsidRPr="00EF273F" w:rsidRDefault="00D22127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  <w:tc>
        <w:tcPr>
          <w:tcW w:w="1131" w:type="pct"/>
        </w:tcPr>
        <w:p w:rsidR="00D22127" w:rsidRPr="00EF273F" w:rsidRDefault="00D22127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</w:tr>
  </w:tbl>
  <w:p w:rsidR="00D22127" w:rsidRPr="00B54B88" w:rsidRDefault="00D22127" w:rsidP="00B54B88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127" w:rsidRDefault="00D22127">
      <w:r>
        <w:separator/>
      </w:r>
    </w:p>
  </w:footnote>
  <w:footnote w:type="continuationSeparator" w:id="0">
    <w:p w:rsidR="00D22127" w:rsidRDefault="00D221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127" w:rsidRDefault="00D22127">
    <w:pPr>
      <w:pStyle w:val="Header"/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5B2F">
          <w:rPr>
            <w:noProof/>
          </w:rPr>
          <w:t>6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796D4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4E0CB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61CB4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20ECE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ABCE0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E262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4A0AB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F3E0A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D9285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0C002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1E55627"/>
    <w:multiLevelType w:val="hybridMultilevel"/>
    <w:tmpl w:val="7C786C92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8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4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1"/>
  </w:num>
  <w:num w:numId="2">
    <w:abstractNumId w:val="15"/>
  </w:num>
  <w:num w:numId="3">
    <w:abstractNumId w:val="27"/>
  </w:num>
  <w:num w:numId="4">
    <w:abstractNumId w:val="12"/>
  </w:num>
  <w:num w:numId="5">
    <w:abstractNumId w:val="22"/>
  </w:num>
  <w:num w:numId="6">
    <w:abstractNumId w:val="11"/>
  </w:num>
  <w:num w:numId="7">
    <w:abstractNumId w:val="24"/>
  </w:num>
  <w:num w:numId="8">
    <w:abstractNumId w:val="19"/>
  </w:num>
  <w:num w:numId="9">
    <w:abstractNumId w:val="20"/>
  </w:num>
  <w:num w:numId="10">
    <w:abstractNumId w:val="14"/>
  </w:num>
  <w:num w:numId="11">
    <w:abstractNumId w:val="23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7"/>
  </w:num>
  <w:num w:numId="14">
    <w:abstractNumId w:val="18"/>
  </w:num>
  <w:num w:numId="15">
    <w:abstractNumId w:val="13"/>
  </w:num>
  <w:num w:numId="16">
    <w:abstractNumId w:val="26"/>
  </w:num>
  <w:num w:numId="17">
    <w:abstractNumId w:val="25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25"/>
    <w:rsid w:val="00022027"/>
    <w:rsid w:val="00024565"/>
    <w:rsid w:val="0003235D"/>
    <w:rsid w:val="0005179F"/>
    <w:rsid w:val="00082B7B"/>
    <w:rsid w:val="00082FE7"/>
    <w:rsid w:val="00095EA0"/>
    <w:rsid w:val="000C2147"/>
    <w:rsid w:val="000C7D98"/>
    <w:rsid w:val="00103310"/>
    <w:rsid w:val="001127A1"/>
    <w:rsid w:val="00115B49"/>
    <w:rsid w:val="00142940"/>
    <w:rsid w:val="001629DC"/>
    <w:rsid w:val="00190C48"/>
    <w:rsid w:val="001B0ED3"/>
    <w:rsid w:val="001B4A74"/>
    <w:rsid w:val="001B6DBD"/>
    <w:rsid w:val="001D261C"/>
    <w:rsid w:val="001E3082"/>
    <w:rsid w:val="00207341"/>
    <w:rsid w:val="00246803"/>
    <w:rsid w:val="0025701E"/>
    <w:rsid w:val="0026232A"/>
    <w:rsid w:val="002736E9"/>
    <w:rsid w:val="002B37F9"/>
    <w:rsid w:val="002C6CAC"/>
    <w:rsid w:val="002D06B7"/>
    <w:rsid w:val="002D26FD"/>
    <w:rsid w:val="002E4C41"/>
    <w:rsid w:val="002F598E"/>
    <w:rsid w:val="0033434F"/>
    <w:rsid w:val="00340304"/>
    <w:rsid w:val="003E4B1E"/>
    <w:rsid w:val="003E7C52"/>
    <w:rsid w:val="003F5B77"/>
    <w:rsid w:val="004167E6"/>
    <w:rsid w:val="0041688E"/>
    <w:rsid w:val="00444B73"/>
    <w:rsid w:val="00455EFA"/>
    <w:rsid w:val="004650C7"/>
    <w:rsid w:val="00475A27"/>
    <w:rsid w:val="00495F13"/>
    <w:rsid w:val="004A0D07"/>
    <w:rsid w:val="004C0C51"/>
    <w:rsid w:val="004C5268"/>
    <w:rsid w:val="004E01AE"/>
    <w:rsid w:val="004F48F0"/>
    <w:rsid w:val="00514426"/>
    <w:rsid w:val="005B497C"/>
    <w:rsid w:val="005C59CA"/>
    <w:rsid w:val="005D044D"/>
    <w:rsid w:val="005E616E"/>
    <w:rsid w:val="005F761F"/>
    <w:rsid w:val="006139B2"/>
    <w:rsid w:val="00625BAF"/>
    <w:rsid w:val="00636D90"/>
    <w:rsid w:val="00642E52"/>
    <w:rsid w:val="00644F0E"/>
    <w:rsid w:val="0067675A"/>
    <w:rsid w:val="006777D5"/>
    <w:rsid w:val="00685201"/>
    <w:rsid w:val="00692078"/>
    <w:rsid w:val="006B6817"/>
    <w:rsid w:val="006F1984"/>
    <w:rsid w:val="00701561"/>
    <w:rsid w:val="0071361F"/>
    <w:rsid w:val="00715D66"/>
    <w:rsid w:val="00717255"/>
    <w:rsid w:val="00727411"/>
    <w:rsid w:val="0073537C"/>
    <w:rsid w:val="00741C5B"/>
    <w:rsid w:val="0074299E"/>
    <w:rsid w:val="00753F18"/>
    <w:rsid w:val="00763FF3"/>
    <w:rsid w:val="00773064"/>
    <w:rsid w:val="007752C4"/>
    <w:rsid w:val="0079397B"/>
    <w:rsid w:val="00797155"/>
    <w:rsid w:val="007D0BFA"/>
    <w:rsid w:val="007E753E"/>
    <w:rsid w:val="00803BC4"/>
    <w:rsid w:val="00826CB4"/>
    <w:rsid w:val="00831FDC"/>
    <w:rsid w:val="00832A5A"/>
    <w:rsid w:val="00867192"/>
    <w:rsid w:val="00871131"/>
    <w:rsid w:val="008A4094"/>
    <w:rsid w:val="008C5C0E"/>
    <w:rsid w:val="008C7044"/>
    <w:rsid w:val="008C73F4"/>
    <w:rsid w:val="008E0925"/>
    <w:rsid w:val="008F0B99"/>
    <w:rsid w:val="0092547F"/>
    <w:rsid w:val="009469D2"/>
    <w:rsid w:val="009857E7"/>
    <w:rsid w:val="009979B5"/>
    <w:rsid w:val="009A2C9B"/>
    <w:rsid w:val="009B6144"/>
    <w:rsid w:val="00A21DD2"/>
    <w:rsid w:val="00A563C7"/>
    <w:rsid w:val="00A57977"/>
    <w:rsid w:val="00A654CA"/>
    <w:rsid w:val="00A66C90"/>
    <w:rsid w:val="00A8170F"/>
    <w:rsid w:val="00A85B2F"/>
    <w:rsid w:val="00A91EB5"/>
    <w:rsid w:val="00AC2CBE"/>
    <w:rsid w:val="00AD3D11"/>
    <w:rsid w:val="00AF27D0"/>
    <w:rsid w:val="00AF2B53"/>
    <w:rsid w:val="00B34D84"/>
    <w:rsid w:val="00B54B88"/>
    <w:rsid w:val="00BA1631"/>
    <w:rsid w:val="00BA3B2D"/>
    <w:rsid w:val="00BC33B4"/>
    <w:rsid w:val="00C032C4"/>
    <w:rsid w:val="00C121AB"/>
    <w:rsid w:val="00C157FA"/>
    <w:rsid w:val="00C22D6C"/>
    <w:rsid w:val="00C60E38"/>
    <w:rsid w:val="00C623F1"/>
    <w:rsid w:val="00CB2AEE"/>
    <w:rsid w:val="00D22127"/>
    <w:rsid w:val="00D47122"/>
    <w:rsid w:val="00D65818"/>
    <w:rsid w:val="00D83022"/>
    <w:rsid w:val="00D84240"/>
    <w:rsid w:val="00D911F5"/>
    <w:rsid w:val="00DA1127"/>
    <w:rsid w:val="00DC6716"/>
    <w:rsid w:val="00DD2CE8"/>
    <w:rsid w:val="00DF012B"/>
    <w:rsid w:val="00DF109B"/>
    <w:rsid w:val="00E029CD"/>
    <w:rsid w:val="00E07386"/>
    <w:rsid w:val="00E14A1A"/>
    <w:rsid w:val="00E17F1A"/>
    <w:rsid w:val="00E334B8"/>
    <w:rsid w:val="00E45C46"/>
    <w:rsid w:val="00E645B4"/>
    <w:rsid w:val="00E87314"/>
    <w:rsid w:val="00EA550A"/>
    <w:rsid w:val="00EC5E44"/>
    <w:rsid w:val="00EF273F"/>
    <w:rsid w:val="00F15118"/>
    <w:rsid w:val="00F205F5"/>
    <w:rsid w:val="00F420F5"/>
    <w:rsid w:val="00F56424"/>
    <w:rsid w:val="00F830DA"/>
    <w:rsid w:val="00F83892"/>
    <w:rsid w:val="00F8473D"/>
    <w:rsid w:val="00F8789D"/>
    <w:rsid w:val="00F93AEE"/>
    <w:rsid w:val="00FC019B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42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B54B8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Headingb">
    <w:name w:val="Heading_b"/>
    <w:basedOn w:val="Normal"/>
    <w:next w:val="Normal"/>
    <w:rsid w:val="00F56424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eastAsia="MS Mincho"/>
      <w:b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8F0B99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4"/>
      <w:szCs w:val="20"/>
      <w:lang w:val="en-GB"/>
    </w:rPr>
  </w:style>
  <w:style w:type="paragraph" w:customStyle="1" w:styleId="enumlev1">
    <w:name w:val="enumlev1"/>
    <w:basedOn w:val="Normal"/>
    <w:rsid w:val="00F56424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rsid w:val="006B681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42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B54B8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Headingb">
    <w:name w:val="Heading_b"/>
    <w:basedOn w:val="Normal"/>
    <w:next w:val="Normal"/>
    <w:rsid w:val="00F56424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eastAsia="MS Mincho"/>
      <w:b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8F0B99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4"/>
      <w:szCs w:val="20"/>
      <w:lang w:val="en-GB"/>
    </w:rPr>
  </w:style>
  <w:style w:type="paragraph" w:customStyle="1" w:styleId="enumlev1">
    <w:name w:val="enumlev1"/>
    <w:basedOn w:val="Normal"/>
    <w:rsid w:val="00F56424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rsid w:val="006B68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itu-t/ipr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tsbsg17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5A4BA-0716-4E8C-987F-ECB67497C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2284</Words>
  <Characters>13019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15273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Bettini, Nadine</cp:lastModifiedBy>
  <cp:revision>2</cp:revision>
  <cp:lastPrinted>2012-03-19T14:26:00Z</cp:lastPrinted>
  <dcterms:created xsi:type="dcterms:W3CDTF">2012-03-26T08:04:00Z</dcterms:created>
  <dcterms:modified xsi:type="dcterms:W3CDTF">2012-03-26T08:04:00Z</dcterms:modified>
</cp:coreProperties>
</file>