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5D0E19" w:rsidRDefault="004556D7" w:rsidP="004841CD">
      <w:pPr>
        <w:pStyle w:val="Index1"/>
        <w:tabs>
          <w:tab w:val="clear" w:pos="794"/>
          <w:tab w:val="clear" w:pos="1191"/>
          <w:tab w:val="clear" w:pos="1588"/>
          <w:tab w:val="clear" w:pos="1985"/>
          <w:tab w:val="left" w:pos="5387"/>
        </w:tabs>
        <w:rPr>
          <w:lang w:val="en-US"/>
        </w:rPr>
      </w:pPr>
      <w:r w:rsidRPr="005D0E19">
        <w:rPr>
          <w:lang w:val="en-US"/>
        </w:rPr>
        <w:tab/>
      </w:r>
      <w:r w:rsidR="00D27786" w:rsidRPr="005D0E19">
        <w:rPr>
          <w:lang w:val="en-US"/>
        </w:rPr>
        <w:t>Geneva,</w:t>
      </w:r>
      <w:r w:rsidR="003418D2" w:rsidRPr="005D0E19">
        <w:rPr>
          <w:lang w:val="en-US"/>
        </w:rPr>
        <w:t xml:space="preserve"> </w:t>
      </w:r>
      <w:r w:rsidR="005D0EE8">
        <w:rPr>
          <w:lang w:val="en-US"/>
        </w:rPr>
        <w:t>8</w:t>
      </w:r>
      <w:r w:rsidR="009F48A0" w:rsidRPr="005D0E19">
        <w:rPr>
          <w:lang w:val="en-US"/>
        </w:rPr>
        <w:t xml:space="preserve"> </w:t>
      </w:r>
      <w:r w:rsidR="004841CD">
        <w:rPr>
          <w:lang w:val="en-US"/>
        </w:rPr>
        <w:t>March</w:t>
      </w:r>
      <w:r w:rsidR="000D4E75" w:rsidRPr="005D0E19">
        <w:rPr>
          <w:lang w:val="en-US"/>
        </w:rPr>
        <w:t xml:space="preserve"> 201</w:t>
      </w:r>
      <w:r w:rsidR="004841CD">
        <w:rPr>
          <w:lang w:val="en-US"/>
        </w:rPr>
        <w:t>2</w:t>
      </w:r>
    </w:p>
    <w:p w:rsidR="00D27786" w:rsidRPr="005D0E19" w:rsidRDefault="00D27786" w:rsidP="00D27786">
      <w:pPr>
        <w:rPr>
          <w:lang w:val="en-US"/>
        </w:rPr>
      </w:pPr>
    </w:p>
    <w:p w:rsidR="00D27786" w:rsidRPr="005D0E19"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5D0E19">
        <w:trPr>
          <w:cantSplit/>
        </w:trPr>
        <w:tc>
          <w:tcPr>
            <w:tcW w:w="6426" w:type="dxa"/>
            <w:vAlign w:val="center"/>
          </w:tcPr>
          <w:p w:rsidR="00D27786" w:rsidRPr="005D0E19" w:rsidRDefault="00D27786" w:rsidP="00D27786">
            <w:pPr>
              <w:tabs>
                <w:tab w:val="right" w:pos="8732"/>
              </w:tabs>
              <w:spacing w:before="0"/>
              <w:rPr>
                <w:rFonts w:ascii="Verdana" w:hAnsi="Verdana"/>
                <w:b/>
                <w:bCs/>
                <w:iCs/>
                <w:color w:val="FFFFFF"/>
                <w:sz w:val="26"/>
                <w:szCs w:val="26"/>
                <w:lang w:val="en-US"/>
              </w:rPr>
            </w:pPr>
            <w:r w:rsidRPr="005D0E19">
              <w:rPr>
                <w:rFonts w:ascii="Verdana" w:hAnsi="Verdana"/>
                <w:b/>
                <w:bCs/>
                <w:iCs/>
                <w:sz w:val="26"/>
                <w:szCs w:val="26"/>
                <w:lang w:val="en-US"/>
              </w:rPr>
              <w:t>Telecommunication Standardization</w:t>
            </w:r>
            <w:r w:rsidRPr="005D0E19">
              <w:rPr>
                <w:rFonts w:ascii="Verdana" w:hAnsi="Verdana"/>
                <w:b/>
                <w:bCs/>
                <w:iCs/>
                <w:sz w:val="26"/>
                <w:szCs w:val="26"/>
                <w:lang w:val="en-US"/>
              </w:rPr>
              <w:br/>
              <w:t>Bureau</w:t>
            </w:r>
          </w:p>
        </w:tc>
        <w:tc>
          <w:tcPr>
            <w:tcW w:w="3355" w:type="dxa"/>
            <w:vAlign w:val="center"/>
          </w:tcPr>
          <w:p w:rsidR="00D27786" w:rsidRPr="005D0E19" w:rsidRDefault="00706482" w:rsidP="00D27786">
            <w:pPr>
              <w:spacing w:before="0"/>
              <w:jc w:val="right"/>
              <w:rPr>
                <w:rFonts w:ascii="Verdana" w:hAnsi="Verdana"/>
                <w:color w:val="FFFFFF"/>
                <w:sz w:val="26"/>
                <w:szCs w:val="26"/>
                <w:lang w:val="en-US"/>
              </w:rPr>
            </w:pPr>
            <w:bookmarkStart w:id="0" w:name="ditulogo"/>
            <w:bookmarkEnd w:id="0"/>
            <w:r w:rsidRPr="005D0E19">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5D0E19">
        <w:trPr>
          <w:cantSplit/>
        </w:trPr>
        <w:tc>
          <w:tcPr>
            <w:tcW w:w="6426" w:type="dxa"/>
            <w:vAlign w:val="center"/>
          </w:tcPr>
          <w:p w:rsidR="00D27786" w:rsidRPr="005D0E19"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5D0E19"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5D0E19">
        <w:trPr>
          <w:cantSplit/>
        </w:trPr>
        <w:tc>
          <w:tcPr>
            <w:tcW w:w="993" w:type="dxa"/>
          </w:tcPr>
          <w:p w:rsidR="004556D7" w:rsidRPr="005D0E19" w:rsidRDefault="004556D7">
            <w:pPr>
              <w:tabs>
                <w:tab w:val="left" w:pos="4111"/>
              </w:tabs>
              <w:spacing w:before="10"/>
              <w:rPr>
                <w:sz w:val="22"/>
                <w:lang w:val="en-US"/>
              </w:rPr>
            </w:pPr>
            <w:r w:rsidRPr="005D0E19">
              <w:rPr>
                <w:sz w:val="22"/>
                <w:lang w:val="en-US"/>
              </w:rPr>
              <w:t>Ref:</w:t>
            </w:r>
          </w:p>
          <w:p w:rsidR="004556D7" w:rsidRPr="005D0E19" w:rsidRDefault="004556D7">
            <w:pPr>
              <w:tabs>
                <w:tab w:val="left" w:pos="4111"/>
              </w:tabs>
              <w:spacing w:before="10"/>
              <w:rPr>
                <w:sz w:val="22"/>
                <w:lang w:val="en-US"/>
              </w:rPr>
            </w:pPr>
          </w:p>
          <w:p w:rsidR="004556D7" w:rsidRPr="005D0E19" w:rsidRDefault="004556D7">
            <w:pPr>
              <w:tabs>
                <w:tab w:val="left" w:pos="4111"/>
              </w:tabs>
              <w:spacing w:before="10"/>
              <w:rPr>
                <w:sz w:val="22"/>
                <w:lang w:val="en-US"/>
              </w:rPr>
            </w:pPr>
            <w:r w:rsidRPr="005D0E19">
              <w:rPr>
                <w:sz w:val="22"/>
                <w:lang w:val="en-US"/>
              </w:rPr>
              <w:br/>
              <w:t>Tel:</w:t>
            </w:r>
          </w:p>
          <w:p w:rsidR="004556D7" w:rsidRPr="005D0E19" w:rsidRDefault="004556D7">
            <w:pPr>
              <w:tabs>
                <w:tab w:val="left" w:pos="4111"/>
              </w:tabs>
              <w:spacing w:before="10"/>
              <w:rPr>
                <w:rFonts w:ascii="Futura Lt BT" w:hAnsi="Futura Lt BT"/>
                <w:sz w:val="20"/>
                <w:lang w:val="en-US"/>
              </w:rPr>
            </w:pPr>
            <w:r w:rsidRPr="005D0E19">
              <w:rPr>
                <w:sz w:val="22"/>
                <w:lang w:val="en-US"/>
              </w:rPr>
              <w:t>Fax:</w:t>
            </w:r>
          </w:p>
        </w:tc>
        <w:tc>
          <w:tcPr>
            <w:tcW w:w="4436" w:type="dxa"/>
          </w:tcPr>
          <w:p w:rsidR="004556D7" w:rsidRPr="005D0E19" w:rsidRDefault="000D4E75" w:rsidP="000D4E75">
            <w:pPr>
              <w:tabs>
                <w:tab w:val="left" w:pos="4111"/>
              </w:tabs>
              <w:spacing w:before="0"/>
              <w:rPr>
                <w:b/>
                <w:lang w:val="en-US"/>
              </w:rPr>
            </w:pPr>
            <w:r w:rsidRPr="005D0E19">
              <w:rPr>
                <w:b/>
                <w:lang w:val="en-US"/>
              </w:rPr>
              <w:t xml:space="preserve">TSB Circular </w:t>
            </w:r>
            <w:r w:rsidR="00F22759">
              <w:rPr>
                <w:b/>
                <w:lang w:val="en-US"/>
              </w:rPr>
              <w:t>269</w:t>
            </w:r>
          </w:p>
          <w:p w:rsidR="004556D7" w:rsidRPr="005D0E19" w:rsidRDefault="004556D7" w:rsidP="002E5AC3">
            <w:pPr>
              <w:tabs>
                <w:tab w:val="left" w:pos="4111"/>
              </w:tabs>
              <w:spacing w:before="0"/>
              <w:rPr>
                <w:b/>
                <w:lang w:val="en-US"/>
              </w:rPr>
            </w:pPr>
            <w:r w:rsidRPr="005D0E19">
              <w:rPr>
                <w:lang w:val="en-US"/>
              </w:rPr>
              <w:t xml:space="preserve">COM </w:t>
            </w:r>
            <w:r w:rsidR="000D4E75" w:rsidRPr="005D0E19">
              <w:rPr>
                <w:lang w:val="en-US"/>
              </w:rPr>
              <w:t>17</w:t>
            </w:r>
            <w:r w:rsidRPr="005D0E19">
              <w:rPr>
                <w:lang w:val="en-US"/>
              </w:rPr>
              <w:t>/</w:t>
            </w:r>
            <w:r w:rsidR="002E5AC3" w:rsidRPr="005D0E19">
              <w:rPr>
                <w:lang w:val="en-US"/>
              </w:rPr>
              <w:t>MEU</w:t>
            </w:r>
          </w:p>
          <w:p w:rsidR="004556D7" w:rsidRPr="005D0E19" w:rsidRDefault="004556D7">
            <w:pPr>
              <w:tabs>
                <w:tab w:val="left" w:pos="4111"/>
              </w:tabs>
              <w:spacing w:before="0"/>
              <w:rPr>
                <w:lang w:val="en-US"/>
              </w:rPr>
            </w:pPr>
            <w:r w:rsidRPr="005D0E19">
              <w:rPr>
                <w:lang w:val="en-US"/>
              </w:rPr>
              <w:br/>
              <w:t xml:space="preserve">+41 22 730 </w:t>
            </w:r>
            <w:r w:rsidR="002E5AC3" w:rsidRPr="005D0E19">
              <w:rPr>
                <w:lang w:val="en-US"/>
              </w:rPr>
              <w:t>5866</w:t>
            </w:r>
            <w:r w:rsidRPr="005D0E19">
              <w:rPr>
                <w:lang w:val="en-US"/>
              </w:rPr>
              <w:br/>
              <w:t>+41 22 730 5853</w:t>
            </w:r>
          </w:p>
        </w:tc>
        <w:tc>
          <w:tcPr>
            <w:tcW w:w="4436" w:type="dxa"/>
          </w:tcPr>
          <w:p w:rsidR="004556D7" w:rsidRPr="005D0E19" w:rsidRDefault="004556D7">
            <w:pPr>
              <w:tabs>
                <w:tab w:val="clear" w:pos="794"/>
                <w:tab w:val="clear" w:pos="1191"/>
                <w:tab w:val="clear" w:pos="1588"/>
                <w:tab w:val="clear" w:pos="1985"/>
                <w:tab w:val="left" w:pos="284"/>
              </w:tabs>
              <w:spacing w:before="0"/>
              <w:ind w:left="284" w:hanging="284"/>
              <w:rPr>
                <w:lang w:val="en-US"/>
              </w:rPr>
            </w:pPr>
            <w:bookmarkStart w:id="1" w:name="Addressee_E"/>
            <w:bookmarkEnd w:id="1"/>
            <w:r w:rsidRPr="005D0E19">
              <w:rPr>
                <w:lang w:val="en-US"/>
              </w:rPr>
              <w:t>-</w:t>
            </w:r>
            <w:r w:rsidRPr="005D0E19">
              <w:rPr>
                <w:lang w:val="en-US"/>
              </w:rPr>
              <w:tab/>
              <w:t>To Administrations of Member States of the Union</w:t>
            </w:r>
          </w:p>
        </w:tc>
      </w:tr>
      <w:tr w:rsidR="004556D7" w:rsidRPr="005D0E19">
        <w:trPr>
          <w:cantSplit/>
        </w:trPr>
        <w:tc>
          <w:tcPr>
            <w:tcW w:w="993" w:type="dxa"/>
          </w:tcPr>
          <w:p w:rsidR="004556D7" w:rsidRPr="005D0E19" w:rsidRDefault="004556D7">
            <w:pPr>
              <w:spacing w:before="10"/>
              <w:rPr>
                <w:lang w:val="en-US"/>
              </w:rPr>
            </w:pPr>
            <w:r w:rsidRPr="005D0E19">
              <w:rPr>
                <w:lang w:val="en-US"/>
              </w:rPr>
              <w:t>E-mail:</w:t>
            </w:r>
          </w:p>
        </w:tc>
        <w:tc>
          <w:tcPr>
            <w:tcW w:w="4436" w:type="dxa"/>
          </w:tcPr>
          <w:p w:rsidR="004556D7" w:rsidRPr="005D0E19" w:rsidRDefault="00F22759" w:rsidP="000D4E75">
            <w:pPr>
              <w:tabs>
                <w:tab w:val="left" w:pos="4111"/>
              </w:tabs>
              <w:spacing w:before="0"/>
              <w:rPr>
                <w:lang w:val="en-US"/>
              </w:rPr>
            </w:pPr>
            <w:hyperlink r:id="rId10" w:history="1">
              <w:r w:rsidR="000D4E75" w:rsidRPr="005D0E19">
                <w:rPr>
                  <w:rStyle w:val="Hyperlink"/>
                  <w:lang w:val="en-US"/>
                </w:rPr>
                <w:t>tsbsg17@itu.int</w:t>
              </w:r>
            </w:hyperlink>
            <w:r w:rsidR="005C7BD2" w:rsidRPr="005D0E19">
              <w:rPr>
                <w:lang w:val="en-US"/>
              </w:rPr>
              <w:t xml:space="preserve"> </w:t>
            </w:r>
          </w:p>
        </w:tc>
        <w:tc>
          <w:tcPr>
            <w:tcW w:w="4436" w:type="dxa"/>
          </w:tcPr>
          <w:p w:rsidR="004556D7" w:rsidRPr="005D0E19" w:rsidRDefault="004556D7">
            <w:pPr>
              <w:tabs>
                <w:tab w:val="left" w:pos="4111"/>
              </w:tabs>
              <w:spacing w:before="0"/>
              <w:rPr>
                <w:b/>
                <w:lang w:val="en-US"/>
              </w:rPr>
            </w:pPr>
            <w:r w:rsidRPr="005D0E19">
              <w:rPr>
                <w:b/>
                <w:lang w:val="en-US"/>
              </w:rPr>
              <w:t>Copy:</w:t>
            </w:r>
          </w:p>
          <w:p w:rsidR="004556D7" w:rsidRPr="005D0E19" w:rsidRDefault="004556D7">
            <w:pPr>
              <w:tabs>
                <w:tab w:val="clear" w:pos="794"/>
                <w:tab w:val="left" w:pos="141"/>
                <w:tab w:val="left" w:pos="4111"/>
              </w:tabs>
              <w:spacing w:before="0"/>
              <w:rPr>
                <w:lang w:val="en-US"/>
              </w:rPr>
            </w:pPr>
            <w:r w:rsidRPr="005D0E19">
              <w:rPr>
                <w:lang w:val="en-US"/>
              </w:rPr>
              <w:t>-</w:t>
            </w:r>
            <w:r w:rsidRPr="005D0E19">
              <w:rPr>
                <w:lang w:val="en-US"/>
              </w:rPr>
              <w:tab/>
              <w:t>To ITU-T Sector Members;</w:t>
            </w:r>
          </w:p>
          <w:p w:rsidR="004556D7" w:rsidRDefault="004556D7">
            <w:pPr>
              <w:tabs>
                <w:tab w:val="clear" w:pos="794"/>
                <w:tab w:val="left" w:pos="141"/>
                <w:tab w:val="left" w:pos="4111"/>
              </w:tabs>
              <w:spacing w:before="0"/>
              <w:rPr>
                <w:lang w:val="en-US"/>
              </w:rPr>
            </w:pPr>
            <w:r w:rsidRPr="005D0E19">
              <w:rPr>
                <w:lang w:val="en-US"/>
              </w:rPr>
              <w:t>- To ITU-T Associates;</w:t>
            </w:r>
          </w:p>
          <w:p w:rsidR="003B4D2F" w:rsidRDefault="003B4D2F" w:rsidP="003B4D2F">
            <w:pPr>
              <w:tabs>
                <w:tab w:val="clear" w:pos="794"/>
                <w:tab w:val="left" w:pos="141"/>
                <w:tab w:val="left" w:pos="4111"/>
              </w:tabs>
              <w:spacing w:before="0"/>
            </w:pPr>
            <w:r>
              <w:rPr>
                <w:lang w:val="en-US"/>
              </w:rPr>
              <w:t xml:space="preserve">- </w:t>
            </w:r>
            <w:r>
              <w:t>To ITU-T Academia;</w:t>
            </w:r>
          </w:p>
          <w:p w:rsidR="004556D7" w:rsidRPr="005D0E19" w:rsidRDefault="004556D7" w:rsidP="000D4E75">
            <w:pPr>
              <w:tabs>
                <w:tab w:val="clear" w:pos="794"/>
                <w:tab w:val="left" w:pos="141"/>
                <w:tab w:val="left" w:pos="4111"/>
              </w:tabs>
              <w:spacing w:before="0"/>
              <w:ind w:left="141" w:hanging="141"/>
              <w:rPr>
                <w:lang w:val="en-US"/>
              </w:rPr>
            </w:pPr>
            <w:r w:rsidRPr="005D0E19">
              <w:rPr>
                <w:lang w:val="en-US"/>
              </w:rPr>
              <w:t>-</w:t>
            </w:r>
            <w:r w:rsidRPr="005D0E19">
              <w:rPr>
                <w:lang w:val="en-US"/>
              </w:rPr>
              <w:tab/>
              <w:t>To the Chairman and Vice-Chairm</w:t>
            </w:r>
            <w:r w:rsidR="005C7BD2" w:rsidRPr="005D0E19">
              <w:rPr>
                <w:lang w:val="en-US"/>
              </w:rPr>
              <w:t>e</w:t>
            </w:r>
            <w:r w:rsidRPr="005D0E19">
              <w:rPr>
                <w:lang w:val="en-US"/>
              </w:rPr>
              <w:t xml:space="preserve">n of Study Group </w:t>
            </w:r>
            <w:r w:rsidR="000D4E75" w:rsidRPr="005D0E19">
              <w:rPr>
                <w:lang w:val="en-US"/>
              </w:rPr>
              <w:t>17</w:t>
            </w:r>
            <w:r w:rsidRPr="005D0E19">
              <w:rPr>
                <w:lang w:val="en-US"/>
              </w:rPr>
              <w:t>;</w:t>
            </w:r>
          </w:p>
          <w:p w:rsidR="004556D7" w:rsidRPr="005D0E19" w:rsidRDefault="004556D7">
            <w:pPr>
              <w:tabs>
                <w:tab w:val="clear" w:pos="794"/>
                <w:tab w:val="left" w:pos="141"/>
                <w:tab w:val="left" w:pos="4111"/>
              </w:tabs>
              <w:spacing w:before="0"/>
              <w:ind w:left="141" w:hanging="141"/>
              <w:rPr>
                <w:lang w:val="en-US"/>
              </w:rPr>
            </w:pPr>
            <w:r w:rsidRPr="005D0E19">
              <w:rPr>
                <w:lang w:val="en-US"/>
              </w:rPr>
              <w:t>-</w:t>
            </w:r>
            <w:r w:rsidRPr="005D0E19">
              <w:rPr>
                <w:lang w:val="en-US"/>
              </w:rPr>
              <w:tab/>
              <w:t>To the Director of the Telecommunication Development Bureau;</w:t>
            </w:r>
          </w:p>
          <w:p w:rsidR="004556D7" w:rsidRPr="005D0E19" w:rsidRDefault="004556D7">
            <w:pPr>
              <w:tabs>
                <w:tab w:val="clear" w:pos="794"/>
                <w:tab w:val="clear" w:pos="1191"/>
                <w:tab w:val="clear" w:pos="1588"/>
                <w:tab w:val="clear" w:pos="1985"/>
                <w:tab w:val="left" w:pos="141"/>
              </w:tabs>
              <w:spacing w:before="0"/>
              <w:ind w:left="141" w:hanging="141"/>
              <w:rPr>
                <w:lang w:val="en-US"/>
              </w:rPr>
            </w:pPr>
            <w:r w:rsidRPr="005D0E19">
              <w:rPr>
                <w:lang w:val="en-US"/>
              </w:rPr>
              <w:t>-</w:t>
            </w:r>
            <w:r w:rsidRPr="005D0E19">
              <w:rPr>
                <w:lang w:val="en-US"/>
              </w:rPr>
              <w:tab/>
              <w:t xml:space="preserve">To the Director of the </w:t>
            </w:r>
            <w:proofErr w:type="spellStart"/>
            <w:r w:rsidRPr="005D0E19">
              <w:rPr>
                <w:lang w:val="en-US"/>
              </w:rPr>
              <w:t>Radiocommunication</w:t>
            </w:r>
            <w:proofErr w:type="spellEnd"/>
            <w:r w:rsidRPr="005D0E19">
              <w:rPr>
                <w:lang w:val="en-US"/>
              </w:rPr>
              <w:t xml:space="preserve"> Bureau</w:t>
            </w:r>
          </w:p>
          <w:p w:rsidR="004556D7" w:rsidRPr="005D0E19" w:rsidRDefault="004556D7">
            <w:pPr>
              <w:tabs>
                <w:tab w:val="clear" w:pos="794"/>
                <w:tab w:val="clear" w:pos="1191"/>
                <w:tab w:val="clear" w:pos="1588"/>
                <w:tab w:val="clear" w:pos="1985"/>
                <w:tab w:val="left" w:pos="284"/>
              </w:tabs>
              <w:spacing w:before="0"/>
              <w:ind w:left="284" w:hanging="284"/>
              <w:rPr>
                <w:lang w:val="en-US"/>
              </w:rPr>
            </w:pPr>
          </w:p>
        </w:tc>
      </w:tr>
    </w:tbl>
    <w:p w:rsidR="004556D7" w:rsidRPr="005D0E19" w:rsidRDefault="004556D7">
      <w:pPr>
        <w:spacing w:before="0"/>
        <w:rPr>
          <w:lang w:val="en-US"/>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4556D7" w:rsidRPr="005D0E19" w:rsidTr="00DD47A3">
        <w:trPr>
          <w:cantSplit/>
        </w:trPr>
        <w:tc>
          <w:tcPr>
            <w:tcW w:w="1100" w:type="dxa"/>
          </w:tcPr>
          <w:p w:rsidR="004556D7" w:rsidRPr="005D0E19" w:rsidRDefault="004556D7">
            <w:pPr>
              <w:tabs>
                <w:tab w:val="left" w:pos="4111"/>
              </w:tabs>
              <w:spacing w:before="10"/>
              <w:ind w:left="57"/>
              <w:rPr>
                <w:sz w:val="22"/>
                <w:lang w:val="en-US"/>
              </w:rPr>
            </w:pPr>
            <w:r w:rsidRPr="005D0E19">
              <w:rPr>
                <w:sz w:val="22"/>
                <w:lang w:val="en-US"/>
              </w:rPr>
              <w:t>Subject:</w:t>
            </w:r>
          </w:p>
        </w:tc>
        <w:tc>
          <w:tcPr>
            <w:tcW w:w="7087" w:type="dxa"/>
          </w:tcPr>
          <w:p w:rsidR="004556D7" w:rsidRPr="005D0E19" w:rsidRDefault="004556D7" w:rsidP="009C7059">
            <w:pPr>
              <w:tabs>
                <w:tab w:val="left" w:pos="4111"/>
              </w:tabs>
              <w:spacing w:before="0"/>
              <w:ind w:left="57" w:right="-284"/>
              <w:rPr>
                <w:lang w:val="en-US"/>
              </w:rPr>
            </w:pPr>
            <w:r w:rsidRPr="005D0E19">
              <w:rPr>
                <w:b/>
                <w:lang w:val="en-US"/>
              </w:rPr>
              <w:t xml:space="preserve">Meeting of Study Group </w:t>
            </w:r>
            <w:r w:rsidR="000D4E75" w:rsidRPr="005D0E19">
              <w:rPr>
                <w:b/>
                <w:lang w:val="en-US"/>
              </w:rPr>
              <w:t>17</w:t>
            </w:r>
            <w:r w:rsidRPr="005D0E19">
              <w:rPr>
                <w:b/>
                <w:lang w:val="en-US"/>
              </w:rPr>
              <w:t xml:space="preserve"> with a view to approving </w:t>
            </w:r>
            <w:r w:rsidR="000D4E75" w:rsidRPr="005D0E19">
              <w:rPr>
                <w:b/>
                <w:lang w:val="en-US"/>
              </w:rPr>
              <w:t>draft new Recommendation</w:t>
            </w:r>
            <w:r w:rsidRPr="005D0E19">
              <w:rPr>
                <w:b/>
                <w:lang w:val="en-US"/>
              </w:rPr>
              <w:t>s</w:t>
            </w:r>
            <w:r w:rsidR="00FB4C63" w:rsidRPr="005D0E19">
              <w:rPr>
                <w:b/>
                <w:lang w:val="en-US"/>
              </w:rPr>
              <w:t xml:space="preserve"> ITU-T </w:t>
            </w:r>
            <w:r w:rsidR="003E71DE" w:rsidRPr="003E71DE">
              <w:rPr>
                <w:b/>
                <w:lang w:val="en-US"/>
              </w:rPr>
              <w:t>X.1054</w:t>
            </w:r>
            <w:r w:rsidR="003B5DA6" w:rsidRPr="005D0E19">
              <w:rPr>
                <w:b/>
                <w:lang w:val="en-US"/>
              </w:rPr>
              <w:t xml:space="preserve">, </w:t>
            </w:r>
            <w:r w:rsidR="009C7059" w:rsidRPr="009C7059">
              <w:rPr>
                <w:b/>
                <w:lang w:val="en-US"/>
              </w:rPr>
              <w:t>X.1254</w:t>
            </w:r>
            <w:r w:rsidR="009C7059">
              <w:rPr>
                <w:b/>
                <w:lang w:val="en-US"/>
              </w:rPr>
              <w:t xml:space="preserve">, </w:t>
            </w:r>
            <w:r w:rsidR="003E71DE" w:rsidRPr="003E71DE">
              <w:rPr>
                <w:b/>
                <w:lang w:val="en-US"/>
              </w:rPr>
              <w:t>X.1527</w:t>
            </w:r>
            <w:r w:rsidR="003B5DA6" w:rsidRPr="005D0E19">
              <w:rPr>
                <w:b/>
                <w:lang w:val="en-US"/>
              </w:rPr>
              <w:t xml:space="preserve">, </w:t>
            </w:r>
            <w:r w:rsidR="003E71DE" w:rsidRPr="003E71DE">
              <w:rPr>
                <w:b/>
                <w:lang w:val="en-US"/>
              </w:rPr>
              <w:t>X.1528</w:t>
            </w:r>
            <w:r w:rsidR="003E71DE">
              <w:rPr>
                <w:b/>
                <w:lang w:val="en-US"/>
              </w:rPr>
              <w:t xml:space="preserve">, X.1528.1, X.1528.2, X.1528.3, X.1528.4, </w:t>
            </w:r>
            <w:r w:rsidR="009C7059" w:rsidRPr="009C7059">
              <w:rPr>
                <w:b/>
                <w:lang w:val="en-US"/>
              </w:rPr>
              <w:t>X.1541</w:t>
            </w:r>
            <w:r w:rsidR="009C7059">
              <w:rPr>
                <w:b/>
                <w:lang w:val="en-US"/>
              </w:rPr>
              <w:t xml:space="preserve">, </w:t>
            </w:r>
            <w:r w:rsidR="009C7059" w:rsidRPr="009C7059">
              <w:rPr>
                <w:b/>
                <w:lang w:val="en-US"/>
              </w:rPr>
              <w:t>X.1580</w:t>
            </w:r>
            <w:r w:rsidR="009C7059">
              <w:rPr>
                <w:b/>
                <w:lang w:val="en-US"/>
              </w:rPr>
              <w:t xml:space="preserve">, and </w:t>
            </w:r>
            <w:r w:rsidR="009C7059" w:rsidRPr="009C7059">
              <w:rPr>
                <w:b/>
                <w:lang w:val="en-US"/>
              </w:rPr>
              <w:t>X.1581</w:t>
            </w:r>
            <w:r w:rsidR="0003331E" w:rsidRPr="005D0E19">
              <w:rPr>
                <w:b/>
                <w:lang w:val="en-US"/>
              </w:rPr>
              <w:t xml:space="preserve"> </w:t>
            </w:r>
            <w:r w:rsidRPr="005D0E19">
              <w:rPr>
                <w:b/>
                <w:lang w:val="en-US"/>
              </w:rPr>
              <w:t>in accordance with the provisions of Resolution 1, Section 9, of WTSA (</w:t>
            </w:r>
            <w:r w:rsidR="005C7BD2" w:rsidRPr="005D0E19">
              <w:rPr>
                <w:b/>
                <w:lang w:val="en-US"/>
              </w:rPr>
              <w:t>Johannesburg, 2008</w:t>
            </w:r>
            <w:r w:rsidRPr="005D0E19">
              <w:rPr>
                <w:b/>
                <w:lang w:val="en-US"/>
              </w:rPr>
              <w:t>)</w:t>
            </w:r>
            <w:r w:rsidR="005D0EE8">
              <w:rPr>
                <w:b/>
                <w:lang w:val="en-US"/>
              </w:rPr>
              <w:t>,</w:t>
            </w:r>
            <w:r w:rsidR="005D0EE8">
              <w:rPr>
                <w:b/>
                <w:lang w:val="en-US"/>
              </w:rPr>
              <w:br/>
            </w:r>
            <w:r w:rsidRPr="005D0E19">
              <w:rPr>
                <w:b/>
                <w:lang w:val="en-US"/>
              </w:rPr>
              <w:t xml:space="preserve">Geneva, </w:t>
            </w:r>
            <w:r w:rsidR="009C7059">
              <w:rPr>
                <w:b/>
                <w:lang w:val="en-US"/>
              </w:rPr>
              <w:t>7</w:t>
            </w:r>
            <w:r w:rsidR="00F06F81" w:rsidRPr="005D0E19">
              <w:rPr>
                <w:b/>
                <w:lang w:val="en-US"/>
              </w:rPr>
              <w:t xml:space="preserve"> </w:t>
            </w:r>
            <w:r w:rsidR="00946AAE" w:rsidRPr="005D0E19">
              <w:rPr>
                <w:b/>
                <w:lang w:val="en-US"/>
              </w:rPr>
              <w:t>September</w:t>
            </w:r>
            <w:r w:rsidR="000D4E75" w:rsidRPr="005D0E19">
              <w:rPr>
                <w:b/>
                <w:lang w:val="en-US"/>
              </w:rPr>
              <w:t xml:space="preserve"> 201</w:t>
            </w:r>
            <w:r w:rsidR="009C7059">
              <w:rPr>
                <w:b/>
                <w:lang w:val="en-US"/>
              </w:rPr>
              <w:t>2</w:t>
            </w:r>
          </w:p>
        </w:tc>
      </w:tr>
    </w:tbl>
    <w:p w:rsidR="004556D7" w:rsidRPr="005D0E19" w:rsidRDefault="004556D7">
      <w:pPr>
        <w:rPr>
          <w:lang w:val="en-US"/>
        </w:rPr>
      </w:pPr>
      <w:bookmarkStart w:id="2" w:name="StartTyping_E"/>
      <w:bookmarkEnd w:id="2"/>
    </w:p>
    <w:p w:rsidR="004556D7" w:rsidRPr="005D0E19" w:rsidRDefault="004556D7">
      <w:pPr>
        <w:rPr>
          <w:lang w:val="en-US"/>
        </w:rPr>
      </w:pPr>
    </w:p>
    <w:p w:rsidR="004556D7" w:rsidRPr="005D0E19" w:rsidRDefault="004556D7">
      <w:pPr>
        <w:rPr>
          <w:lang w:val="en-US"/>
        </w:rPr>
      </w:pPr>
      <w:r w:rsidRPr="005D0E19">
        <w:rPr>
          <w:lang w:val="en-US"/>
        </w:rPr>
        <w:t>Dear Sir/Madam,</w:t>
      </w:r>
    </w:p>
    <w:p w:rsidR="005C4DF9" w:rsidRPr="005D0E19" w:rsidRDefault="004556D7" w:rsidP="00C064C2">
      <w:pPr>
        <w:rPr>
          <w:lang w:val="en-US"/>
        </w:rPr>
      </w:pPr>
      <w:r w:rsidRPr="005D0E19">
        <w:rPr>
          <w:bCs/>
          <w:lang w:val="en-US"/>
        </w:rPr>
        <w:t>1</w:t>
      </w:r>
      <w:r w:rsidRPr="005D0E19">
        <w:rPr>
          <w:lang w:val="en-US"/>
        </w:rPr>
        <w:tab/>
        <w:t xml:space="preserve">At the request of the Chairman of Study Group </w:t>
      </w:r>
      <w:r w:rsidR="000D4E75" w:rsidRPr="005D0E19">
        <w:rPr>
          <w:lang w:val="en-US"/>
        </w:rPr>
        <w:t>17</w:t>
      </w:r>
      <w:r w:rsidRPr="005D0E19">
        <w:rPr>
          <w:lang w:val="en-US"/>
        </w:rPr>
        <w:t xml:space="preserve">, </w:t>
      </w:r>
      <w:r w:rsidR="000D4E75" w:rsidRPr="005D0E19">
        <w:rPr>
          <w:i/>
          <w:iCs/>
          <w:szCs w:val="24"/>
          <w:lang w:val="en-US"/>
        </w:rPr>
        <w:t>Security</w:t>
      </w:r>
      <w:r w:rsidRPr="005D0E19">
        <w:rPr>
          <w:lang w:val="en-US"/>
        </w:rPr>
        <w:t xml:space="preserve">, I have the </w:t>
      </w:r>
      <w:proofErr w:type="spellStart"/>
      <w:r w:rsidRPr="005D0E19">
        <w:rPr>
          <w:lang w:val="en-US"/>
        </w:rPr>
        <w:t>honour</w:t>
      </w:r>
      <w:proofErr w:type="spellEnd"/>
      <w:r w:rsidRPr="005D0E19">
        <w:rPr>
          <w:lang w:val="en-US"/>
        </w:rPr>
        <w:t xml:space="preserve"> to inform you that this </w:t>
      </w:r>
      <w:r w:rsidR="00F33EDB" w:rsidRPr="005D0E19">
        <w:rPr>
          <w:lang w:val="en-US"/>
        </w:rPr>
        <w:t>S</w:t>
      </w:r>
      <w:r w:rsidRPr="005D0E19">
        <w:rPr>
          <w:lang w:val="en-US"/>
        </w:rPr>
        <w:t xml:space="preserve">tudy </w:t>
      </w:r>
      <w:r w:rsidR="00F33EDB" w:rsidRPr="005D0E19">
        <w:rPr>
          <w:lang w:val="en-US"/>
        </w:rPr>
        <w:t>G</w:t>
      </w:r>
      <w:r w:rsidR="00D36174" w:rsidRPr="005D0E19">
        <w:rPr>
          <w:lang w:val="en-US"/>
        </w:rPr>
        <w:t>roup, which will meet from</w:t>
      </w:r>
      <w:r w:rsidR="00233178" w:rsidRPr="005D0E19">
        <w:rPr>
          <w:lang w:val="en-US"/>
        </w:rPr>
        <w:t xml:space="preserve"> </w:t>
      </w:r>
      <w:r w:rsidR="005D0EE8">
        <w:rPr>
          <w:lang w:val="en-US"/>
        </w:rPr>
        <w:t>2</w:t>
      </w:r>
      <w:r w:rsidR="00C064C2">
        <w:rPr>
          <w:lang w:val="en-US"/>
        </w:rPr>
        <w:t>9</w:t>
      </w:r>
      <w:r w:rsidR="005D0EE8">
        <w:rPr>
          <w:lang w:val="en-US"/>
        </w:rPr>
        <w:t xml:space="preserve"> August to </w:t>
      </w:r>
      <w:r w:rsidR="009C7059">
        <w:rPr>
          <w:lang w:val="en-US"/>
        </w:rPr>
        <w:t>7</w:t>
      </w:r>
      <w:r w:rsidR="00946AAE" w:rsidRPr="005D0E19">
        <w:rPr>
          <w:lang w:val="en-US"/>
        </w:rPr>
        <w:t xml:space="preserve"> September 201</w:t>
      </w:r>
      <w:r w:rsidR="009C7059">
        <w:rPr>
          <w:lang w:val="en-US"/>
        </w:rPr>
        <w:t>2</w:t>
      </w:r>
      <w:r w:rsidRPr="005D0E19">
        <w:rPr>
          <w:lang w:val="en-US"/>
        </w:rPr>
        <w:t>, intends to apply the procedure described in Resolution 1, Section 9, of WTSA (</w:t>
      </w:r>
      <w:r w:rsidR="005C7BD2" w:rsidRPr="005D0E19">
        <w:rPr>
          <w:lang w:val="en-US"/>
        </w:rPr>
        <w:t>Johannesburg, 2008</w:t>
      </w:r>
      <w:r w:rsidRPr="005D0E19">
        <w:rPr>
          <w:lang w:val="en-US"/>
        </w:rPr>
        <w:t xml:space="preserve">) for the approval of </w:t>
      </w:r>
      <w:r w:rsidR="00EE6D69" w:rsidRPr="005D0E19">
        <w:rPr>
          <w:lang w:val="en-US"/>
        </w:rPr>
        <w:t xml:space="preserve">the above-mentioned draft </w:t>
      </w:r>
      <w:r w:rsidRPr="005D0E19">
        <w:rPr>
          <w:lang w:val="en-US"/>
        </w:rPr>
        <w:t>new Recommendations.</w:t>
      </w:r>
    </w:p>
    <w:p w:rsidR="004556D7" w:rsidRPr="005D0E19" w:rsidRDefault="004556D7" w:rsidP="000D4E75">
      <w:pPr>
        <w:rPr>
          <w:lang w:val="en-US"/>
        </w:rPr>
      </w:pPr>
      <w:r w:rsidRPr="005D0E19">
        <w:rPr>
          <w:bCs/>
          <w:lang w:val="en-US"/>
        </w:rPr>
        <w:t>2</w:t>
      </w:r>
      <w:r w:rsidRPr="005D0E19">
        <w:rPr>
          <w:lang w:val="en-US"/>
        </w:rPr>
        <w:tab/>
        <w:t xml:space="preserve">The </w:t>
      </w:r>
      <w:r w:rsidR="000D4E75" w:rsidRPr="005D0E19">
        <w:rPr>
          <w:lang w:val="en-US"/>
        </w:rPr>
        <w:t>title</w:t>
      </w:r>
      <w:r w:rsidR="00EE6D69" w:rsidRPr="005D0E19">
        <w:rPr>
          <w:lang w:val="en-US"/>
        </w:rPr>
        <w:t xml:space="preserve">s, </w:t>
      </w:r>
      <w:r w:rsidRPr="005D0E19">
        <w:rPr>
          <w:lang w:val="en-US"/>
        </w:rPr>
        <w:t>summaries and location of the dra</w:t>
      </w:r>
      <w:r w:rsidR="000D4E75" w:rsidRPr="005D0E19">
        <w:rPr>
          <w:lang w:val="en-US"/>
        </w:rPr>
        <w:t xml:space="preserve">ft </w:t>
      </w:r>
      <w:r w:rsidRPr="005D0E19">
        <w:rPr>
          <w:lang w:val="en-US"/>
        </w:rPr>
        <w:t xml:space="preserve">new ITU-T Recommendations proposed for approval will be found in </w:t>
      </w:r>
      <w:r w:rsidRPr="005D0E19">
        <w:rPr>
          <w:b/>
          <w:lang w:val="en-US"/>
        </w:rPr>
        <w:t>Annex 1</w:t>
      </w:r>
      <w:r w:rsidRPr="005D0E19">
        <w:rPr>
          <w:lang w:val="en-US"/>
        </w:rPr>
        <w:t>.</w:t>
      </w:r>
    </w:p>
    <w:p w:rsidR="003E620E" w:rsidRPr="005D0E19" w:rsidRDefault="004556D7" w:rsidP="005D0EE8">
      <w:pPr>
        <w:rPr>
          <w:lang w:val="en-US"/>
        </w:rPr>
      </w:pPr>
      <w:r w:rsidRPr="005D0E19">
        <w:rPr>
          <w:bCs/>
          <w:lang w:val="en-US"/>
        </w:rPr>
        <w:t>3</w:t>
      </w:r>
      <w:r w:rsidRPr="005D0E19">
        <w:rPr>
          <w:lang w:val="en-US"/>
        </w:rPr>
        <w:tab/>
        <w:t>Any ITU Member State, Sector Member</w:t>
      </w:r>
      <w:r w:rsidR="005D0EE8">
        <w:rPr>
          <w:lang w:val="en-US"/>
        </w:rPr>
        <w:t>,</w:t>
      </w:r>
      <w:r w:rsidRPr="005D0E19">
        <w:rPr>
          <w:lang w:val="en-US"/>
        </w:rPr>
        <w:t xml:space="preserve"> Associate </w:t>
      </w:r>
      <w:r w:rsidR="005D0EE8">
        <w:rPr>
          <w:lang w:val="en-US"/>
        </w:rPr>
        <w:t>or Academic</w:t>
      </w:r>
      <w:r w:rsidR="000A3957">
        <w:rPr>
          <w:lang w:val="en-US"/>
        </w:rPr>
        <w:t xml:space="preserve"> Institution </w:t>
      </w:r>
      <w:r w:rsidRPr="005D0E19">
        <w:rPr>
          <w:lang w:val="en-US"/>
        </w:rPr>
        <w:t xml:space="preserve">aware of a patent held by </w:t>
      </w:r>
      <w:proofErr w:type="gramStart"/>
      <w:r w:rsidRPr="005D0E19">
        <w:rPr>
          <w:lang w:val="en-US"/>
        </w:rPr>
        <w:t>itself</w:t>
      </w:r>
      <w:proofErr w:type="gramEnd"/>
      <w:r w:rsidRPr="005D0E19">
        <w:rPr>
          <w:lang w:val="en-US"/>
        </w:rPr>
        <w:t xml:space="preserve"> or others which may fully or partly cover elements of the draft Recommendations proposed for approval is requested to disclose such information to TSB, </w:t>
      </w:r>
      <w:r w:rsidR="003E620E" w:rsidRPr="005D0E19">
        <w:rPr>
          <w:lang w:val="en-US"/>
        </w:rPr>
        <w:t>in accordance with the Common Patent Policy for ITU-T/ITU-R/ISO/IEC.</w:t>
      </w:r>
    </w:p>
    <w:p w:rsidR="004556D7" w:rsidRPr="005D0E19" w:rsidRDefault="003E620E" w:rsidP="003E620E">
      <w:pPr>
        <w:ind w:right="-426"/>
        <w:rPr>
          <w:lang w:val="en-US"/>
        </w:rPr>
      </w:pPr>
      <w:r w:rsidRPr="005D0E19">
        <w:rPr>
          <w:lang w:val="en-US"/>
        </w:rPr>
        <w:t>Available patent information can be accessed on</w:t>
      </w:r>
      <w:r w:rsidRPr="005D0E19">
        <w:rPr>
          <w:lang w:val="en-US"/>
        </w:rPr>
        <w:noBreakHyphen/>
        <w:t>line via the ITU</w:t>
      </w:r>
      <w:r w:rsidRPr="005D0E19">
        <w:rPr>
          <w:lang w:val="en-US"/>
        </w:rPr>
        <w:noBreakHyphen/>
        <w:t>T website (</w:t>
      </w:r>
      <w:hyperlink r:id="rId11" w:history="1">
        <w:r w:rsidRPr="005D0E19">
          <w:rPr>
            <w:rStyle w:val="Hyperlink"/>
            <w:lang w:val="en-US"/>
          </w:rPr>
          <w:t>www.itu.int/ITU-T/ipr/</w:t>
        </w:r>
      </w:hyperlink>
      <w:r w:rsidRPr="005D0E19">
        <w:rPr>
          <w:lang w:val="en-US"/>
        </w:rPr>
        <w:t>).</w:t>
      </w:r>
    </w:p>
    <w:p w:rsidR="005C4DF9" w:rsidRPr="005D0E19" w:rsidRDefault="004556D7" w:rsidP="006820A7">
      <w:pPr>
        <w:rPr>
          <w:lang w:val="en-US"/>
        </w:rPr>
      </w:pPr>
      <w:r w:rsidRPr="005D0E19">
        <w:rPr>
          <w:bCs/>
          <w:lang w:val="en-US"/>
        </w:rPr>
        <w:br w:type="page"/>
      </w:r>
      <w:r w:rsidRPr="005D0E19">
        <w:rPr>
          <w:bCs/>
          <w:lang w:val="en-US"/>
        </w:rPr>
        <w:lastRenderedPageBreak/>
        <w:t>4</w:t>
      </w:r>
      <w:r w:rsidRPr="005D0E19">
        <w:rPr>
          <w:lang w:val="en-US"/>
        </w:rPr>
        <w:tab/>
        <w:t xml:space="preserve">Having regard to the provisions of Resolution 1, Section 9, I should be grateful if you would inform me by 2400 hours UTC </w:t>
      </w:r>
      <w:r w:rsidRPr="005D0E19">
        <w:rPr>
          <w:b/>
          <w:lang w:val="en-US"/>
        </w:rPr>
        <w:t xml:space="preserve">on </w:t>
      </w:r>
      <w:r w:rsidR="003B4D2F" w:rsidRPr="006820A7">
        <w:rPr>
          <w:b/>
          <w:lang w:val="en-US"/>
        </w:rPr>
        <w:t>1</w:t>
      </w:r>
      <w:r w:rsidR="006820A7" w:rsidRPr="006820A7">
        <w:rPr>
          <w:b/>
          <w:lang w:val="en-US"/>
        </w:rPr>
        <w:t>6</w:t>
      </w:r>
      <w:r w:rsidR="00B839AF" w:rsidRPr="003B4D2F">
        <w:rPr>
          <w:b/>
          <w:lang w:val="en-US"/>
        </w:rPr>
        <w:t xml:space="preserve"> </w:t>
      </w:r>
      <w:r w:rsidR="00275BA1" w:rsidRPr="003B4D2F">
        <w:rPr>
          <w:b/>
          <w:lang w:val="en-US"/>
        </w:rPr>
        <w:t>August</w:t>
      </w:r>
      <w:r w:rsidR="00B839AF" w:rsidRPr="003B4D2F">
        <w:rPr>
          <w:b/>
          <w:lang w:val="en-US"/>
        </w:rPr>
        <w:t xml:space="preserve"> 201</w:t>
      </w:r>
      <w:r w:rsidR="009C7059">
        <w:rPr>
          <w:b/>
          <w:lang w:val="en-US"/>
        </w:rPr>
        <w:t>2</w:t>
      </w:r>
      <w:r w:rsidRPr="003B4D2F">
        <w:rPr>
          <w:lang w:val="en-US"/>
        </w:rPr>
        <w:t xml:space="preserve"> whether your Administration assigns authority to Study Group </w:t>
      </w:r>
      <w:r w:rsidR="000D4E75" w:rsidRPr="003B4D2F">
        <w:rPr>
          <w:lang w:val="en-US"/>
        </w:rPr>
        <w:t>17</w:t>
      </w:r>
      <w:r w:rsidRPr="003B4D2F">
        <w:rPr>
          <w:lang w:val="en-US"/>
        </w:rPr>
        <w:t xml:space="preserve"> that these draft new</w:t>
      </w:r>
      <w:r w:rsidRPr="005D0E19">
        <w:rPr>
          <w:lang w:val="en-US"/>
        </w:rPr>
        <w:t xml:space="preserve"> Recommendations should be considered for approval at the Study Group meeting.</w:t>
      </w:r>
    </w:p>
    <w:p w:rsidR="004556D7" w:rsidRPr="005D0E19" w:rsidRDefault="004556D7" w:rsidP="000D4E75">
      <w:pPr>
        <w:rPr>
          <w:lang w:val="en-US"/>
        </w:rPr>
      </w:pPr>
      <w:r w:rsidRPr="005D0E19">
        <w:rPr>
          <w:lang w:val="en-US"/>
        </w:rP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Pr="005D0E19" w:rsidRDefault="004556D7" w:rsidP="009C7059">
      <w:pPr>
        <w:rPr>
          <w:lang w:val="en-US"/>
        </w:rPr>
      </w:pPr>
      <w:r w:rsidRPr="005D0E19">
        <w:rPr>
          <w:bCs/>
          <w:lang w:val="en-US"/>
        </w:rPr>
        <w:t>5</w:t>
      </w:r>
      <w:r w:rsidRPr="005D0E19">
        <w:rPr>
          <w:lang w:val="en-US"/>
        </w:rPr>
        <w:tab/>
        <w:t xml:space="preserve">If 70% or more of the replies from Member States support consideration for approval of these draft new Recommendations at the Study Group meeting, one </w:t>
      </w:r>
      <w:proofErr w:type="gramStart"/>
      <w:r w:rsidRPr="005D0E19">
        <w:rPr>
          <w:lang w:val="en-US"/>
        </w:rPr>
        <w:t>Plenary</w:t>
      </w:r>
      <w:proofErr w:type="gramEnd"/>
      <w:r w:rsidRPr="005D0E19">
        <w:rPr>
          <w:lang w:val="en-US"/>
        </w:rPr>
        <w:t xml:space="preserve"> session will be devoted </w:t>
      </w:r>
      <w:r w:rsidRPr="005D0E19">
        <w:rPr>
          <w:b/>
          <w:lang w:val="en-US"/>
        </w:rPr>
        <w:t xml:space="preserve">on </w:t>
      </w:r>
      <w:r w:rsidR="009C7059">
        <w:rPr>
          <w:b/>
          <w:lang w:val="en-US"/>
        </w:rPr>
        <w:t>7</w:t>
      </w:r>
      <w:r w:rsidR="00946AAE" w:rsidRPr="005D0E19">
        <w:rPr>
          <w:b/>
          <w:lang w:val="en-US"/>
        </w:rPr>
        <w:t xml:space="preserve"> September 201</w:t>
      </w:r>
      <w:r w:rsidR="009C7059">
        <w:rPr>
          <w:b/>
          <w:lang w:val="en-US"/>
        </w:rPr>
        <w:t>2</w:t>
      </w:r>
      <w:r w:rsidR="00946AAE" w:rsidRPr="005D0E19">
        <w:rPr>
          <w:b/>
          <w:lang w:val="en-US"/>
        </w:rPr>
        <w:t xml:space="preserve"> </w:t>
      </w:r>
      <w:r w:rsidRPr="005D0E19">
        <w:rPr>
          <w:lang w:val="en-US"/>
        </w:rPr>
        <w:t>to apply the approval procedure.</w:t>
      </w:r>
    </w:p>
    <w:p w:rsidR="004556D7" w:rsidRPr="005D0E19" w:rsidRDefault="004556D7">
      <w:pPr>
        <w:rPr>
          <w:lang w:val="en-US"/>
        </w:rPr>
      </w:pPr>
      <w:r w:rsidRPr="005D0E19">
        <w:rPr>
          <w:lang w:val="en-US"/>
        </w:rPr>
        <w:t xml:space="preserve">I accordingly invite your Administration to send a representative to the meeting. </w:t>
      </w:r>
      <w:r w:rsidRPr="005D0E19">
        <w:rPr>
          <w:b/>
          <w:lang w:val="en-US"/>
        </w:rPr>
        <w:t>The Administrations of Member States of the Union</w:t>
      </w:r>
      <w:r w:rsidRPr="005D0E19">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5D0E19" w:rsidRDefault="004556D7" w:rsidP="009C7059">
      <w:pPr>
        <w:rPr>
          <w:lang w:val="en-US"/>
        </w:rPr>
      </w:pPr>
      <w:r w:rsidRPr="005D0E19">
        <w:rPr>
          <w:bCs/>
          <w:lang w:val="en-US"/>
        </w:rPr>
        <w:t>6</w:t>
      </w:r>
      <w:r w:rsidRPr="005D0E19">
        <w:rPr>
          <w:lang w:val="en-US"/>
        </w:rPr>
        <w:tab/>
        <w:t xml:space="preserve">The agenda and all </w:t>
      </w:r>
      <w:r w:rsidRPr="003B4D2F">
        <w:rPr>
          <w:lang w:val="en-US"/>
        </w:rPr>
        <w:t>relevant information concerning the Study Group </w:t>
      </w:r>
      <w:r w:rsidR="000D4E75" w:rsidRPr="003B4D2F">
        <w:rPr>
          <w:lang w:val="en-US"/>
        </w:rPr>
        <w:t>17</w:t>
      </w:r>
      <w:r w:rsidRPr="003B4D2F">
        <w:rPr>
          <w:lang w:val="en-US"/>
        </w:rPr>
        <w:t xml:space="preserve"> meeting wi</w:t>
      </w:r>
      <w:r w:rsidR="000D0987" w:rsidRPr="003B4D2F">
        <w:rPr>
          <w:lang w:val="en-US"/>
        </w:rPr>
        <w:t xml:space="preserve">ll be available from Collective </w:t>
      </w:r>
      <w:r w:rsidR="000D4E75" w:rsidRPr="003B4D2F">
        <w:rPr>
          <w:lang w:val="en-US"/>
        </w:rPr>
        <w:t xml:space="preserve">letter </w:t>
      </w:r>
      <w:r w:rsidR="009C7059">
        <w:rPr>
          <w:lang w:val="en-US"/>
        </w:rPr>
        <w:t>7</w:t>
      </w:r>
      <w:r w:rsidRPr="003B4D2F">
        <w:rPr>
          <w:lang w:val="en-US"/>
        </w:rPr>
        <w:t>/</w:t>
      </w:r>
      <w:r w:rsidR="000D4E75" w:rsidRPr="005D0E19">
        <w:rPr>
          <w:lang w:val="en-US"/>
        </w:rPr>
        <w:t>17.</w:t>
      </w:r>
    </w:p>
    <w:p w:rsidR="004556D7" w:rsidRPr="005D0E19" w:rsidRDefault="004556D7" w:rsidP="000D4E75">
      <w:pPr>
        <w:rPr>
          <w:lang w:val="en-US"/>
        </w:rPr>
      </w:pPr>
      <w:r w:rsidRPr="005D0E19">
        <w:rPr>
          <w:bCs/>
          <w:lang w:val="en-US"/>
        </w:rPr>
        <w:t>7</w:t>
      </w:r>
      <w:r w:rsidRPr="005D0E19">
        <w:rPr>
          <w:lang w:val="en-US"/>
        </w:rPr>
        <w:tab/>
        <w:t>After the meeting, the Director of TSB will notify, in a circular, the decision taken on these Recommendations. This information will also be published in the ITU Operational Bulletin.</w:t>
      </w:r>
    </w:p>
    <w:p w:rsidR="004556D7" w:rsidRPr="005D0E19" w:rsidRDefault="004556D7">
      <w:pPr>
        <w:spacing w:before="480"/>
        <w:rPr>
          <w:lang w:val="en-US"/>
        </w:rPr>
      </w:pPr>
      <w:r w:rsidRPr="005D0E19">
        <w:rPr>
          <w:lang w:val="en-US"/>
        </w:rPr>
        <w:t>Yours faithfully,</w:t>
      </w:r>
    </w:p>
    <w:p w:rsidR="004556D7" w:rsidRPr="005D0E19" w:rsidRDefault="002C2A8C">
      <w:pPr>
        <w:spacing w:before="1701"/>
        <w:rPr>
          <w:lang w:val="en-US"/>
        </w:rPr>
      </w:pPr>
      <w:r w:rsidRPr="005D0E19">
        <w:rPr>
          <w:lang w:val="en-US"/>
        </w:rPr>
        <w:t>Malcolm Johnson</w:t>
      </w:r>
      <w:r w:rsidR="004556D7" w:rsidRPr="005D0E19">
        <w:rPr>
          <w:lang w:val="en-US"/>
        </w:rPr>
        <w:br/>
        <w:t>Director of the Telecommunication</w:t>
      </w:r>
      <w:r w:rsidR="004556D7" w:rsidRPr="005D0E19">
        <w:rPr>
          <w:lang w:val="en-US"/>
        </w:rPr>
        <w:br/>
        <w:t>Standardization Bureau</w:t>
      </w:r>
    </w:p>
    <w:p w:rsidR="004556D7" w:rsidRPr="005D0E19" w:rsidRDefault="004556D7">
      <w:pPr>
        <w:spacing w:before="720"/>
        <w:rPr>
          <w:lang w:val="en-US"/>
        </w:rPr>
      </w:pPr>
    </w:p>
    <w:p w:rsidR="000D4E75" w:rsidRPr="005D0E19" w:rsidRDefault="004556D7">
      <w:pPr>
        <w:spacing w:before="720"/>
        <w:rPr>
          <w:b/>
          <w:lang w:val="en-US"/>
        </w:rPr>
      </w:pPr>
      <w:r w:rsidRPr="005D0E19">
        <w:rPr>
          <w:b/>
          <w:lang w:val="en-US"/>
        </w:rPr>
        <w:t>Annex:</w:t>
      </w:r>
      <w:r w:rsidR="00174053" w:rsidRPr="005D0E19">
        <w:rPr>
          <w:b/>
          <w:lang w:val="en-US"/>
        </w:rPr>
        <w:t xml:space="preserve"> </w:t>
      </w:r>
      <w:r w:rsidR="009F48A0" w:rsidRPr="005D0E19">
        <w:rPr>
          <w:b/>
          <w:lang w:val="en-US"/>
        </w:rPr>
        <w:t>1</w:t>
      </w:r>
    </w:p>
    <w:p w:rsidR="000D4E75" w:rsidRPr="00F22759" w:rsidRDefault="000D4E75" w:rsidP="009C7059">
      <w:pPr>
        <w:pStyle w:val="AppendixRef"/>
        <w:rPr>
          <w:b/>
          <w:bCs/>
          <w:lang w:val="en-US"/>
        </w:rPr>
      </w:pPr>
      <w:bookmarkStart w:id="3" w:name="_GoBack"/>
      <w:bookmarkEnd w:id="3"/>
      <w:r w:rsidRPr="005D0E19">
        <w:rPr>
          <w:lang w:val="en-US"/>
        </w:rPr>
        <w:br w:type="page"/>
      </w:r>
      <w:r w:rsidRPr="00F22759">
        <w:rPr>
          <w:b/>
          <w:bCs/>
          <w:lang w:val="en-US"/>
        </w:rPr>
        <w:lastRenderedPageBreak/>
        <w:t>ANNEX 1</w:t>
      </w:r>
      <w:r w:rsidRPr="00F22759">
        <w:rPr>
          <w:b/>
          <w:bCs/>
          <w:lang w:val="en-US"/>
        </w:rPr>
        <w:br/>
        <w:t xml:space="preserve">(to TSB Circular </w:t>
      </w:r>
      <w:r w:rsidR="00F22759" w:rsidRPr="00F22759">
        <w:rPr>
          <w:b/>
          <w:bCs/>
          <w:lang w:val="en-US"/>
        </w:rPr>
        <w:t>269</w:t>
      </w:r>
      <w:r w:rsidRPr="00F22759">
        <w:rPr>
          <w:b/>
          <w:bCs/>
          <w:lang w:val="en-US"/>
        </w:rPr>
        <w:t>)</w:t>
      </w:r>
    </w:p>
    <w:p w:rsidR="000D4E75" w:rsidRPr="005D0E19" w:rsidRDefault="000D4E75" w:rsidP="000D4E75">
      <w:pPr>
        <w:spacing w:before="240"/>
        <w:jc w:val="center"/>
        <w:rPr>
          <w:szCs w:val="24"/>
          <w:lang w:val="en-US"/>
        </w:rPr>
      </w:pPr>
      <w:r w:rsidRPr="005D0E19">
        <w:rPr>
          <w:b/>
          <w:bCs/>
          <w:szCs w:val="24"/>
          <w:lang w:val="en-US"/>
        </w:rPr>
        <w:t>Summary and location of the texts</w:t>
      </w:r>
    </w:p>
    <w:p w:rsidR="007E46BB" w:rsidRPr="005D0E19" w:rsidRDefault="00D031E1" w:rsidP="009C7059">
      <w:pPr>
        <w:spacing w:before="360"/>
        <w:rPr>
          <w:b/>
          <w:bCs/>
          <w:sz w:val="28"/>
          <w:szCs w:val="28"/>
          <w:lang w:val="en-US"/>
        </w:rPr>
      </w:pPr>
      <w:r w:rsidRPr="005D0E19">
        <w:rPr>
          <w:b/>
          <w:bCs/>
          <w:lang w:val="en-US"/>
        </w:rPr>
        <w:t xml:space="preserve">Draft new Recommendation ITU-T </w:t>
      </w:r>
      <w:r w:rsidR="009C7059" w:rsidRPr="009C7059">
        <w:rPr>
          <w:b/>
          <w:bCs/>
          <w:lang w:val="en-US"/>
        </w:rPr>
        <w:t xml:space="preserve">X.1054 </w:t>
      </w:r>
      <w:r w:rsidR="00946AAE" w:rsidRPr="005D0E19">
        <w:rPr>
          <w:b/>
          <w:bCs/>
          <w:lang w:val="en-US"/>
        </w:rPr>
        <w:t>(</w:t>
      </w:r>
      <w:proofErr w:type="spellStart"/>
      <w:r w:rsidR="00946AAE" w:rsidRPr="005D0E19">
        <w:rPr>
          <w:b/>
          <w:bCs/>
          <w:lang w:val="en-US"/>
        </w:rPr>
        <w:t>X.</w:t>
      </w:r>
      <w:r w:rsidR="009C7059">
        <w:rPr>
          <w:b/>
          <w:bCs/>
          <w:lang w:val="en-US"/>
        </w:rPr>
        <w:t>isgf</w:t>
      </w:r>
      <w:proofErr w:type="spellEnd"/>
      <w:r w:rsidR="00946AAE" w:rsidRPr="005D0E19">
        <w:rPr>
          <w:b/>
          <w:bCs/>
          <w:lang w:val="en-US"/>
        </w:rPr>
        <w:t xml:space="preserve">), </w:t>
      </w:r>
      <w:r w:rsidR="009C7059" w:rsidRPr="009C7059">
        <w:rPr>
          <w:b/>
          <w:bCs/>
          <w:lang w:val="en-US"/>
        </w:rPr>
        <w:t>Information technology - Security techniques - Governance of information security</w:t>
      </w:r>
      <w:r w:rsidR="007E46BB" w:rsidRPr="005D0E19">
        <w:rPr>
          <w:b/>
          <w:bCs/>
          <w:lang w:val="en-US"/>
        </w:rPr>
        <w:br/>
      </w:r>
      <w:r w:rsidR="007E46BB" w:rsidRPr="005D0E19">
        <w:rPr>
          <w:b/>
          <w:bCs/>
          <w:szCs w:val="24"/>
          <w:lang w:val="en-US"/>
        </w:rPr>
        <w:t xml:space="preserve">COM 17 – R </w:t>
      </w:r>
      <w:r w:rsidR="009C7059">
        <w:rPr>
          <w:b/>
          <w:bCs/>
          <w:szCs w:val="24"/>
          <w:lang w:val="en-US"/>
        </w:rPr>
        <w:t>49</w:t>
      </w:r>
    </w:p>
    <w:p w:rsidR="007E46BB" w:rsidRPr="005D0E19" w:rsidRDefault="007E46BB" w:rsidP="007E46BB">
      <w:pPr>
        <w:rPr>
          <w:b/>
          <w:lang w:val="en-US"/>
        </w:rPr>
      </w:pPr>
      <w:r w:rsidRPr="005D0E19">
        <w:rPr>
          <w:b/>
          <w:lang w:val="en-US"/>
        </w:rPr>
        <w:t>Summary</w:t>
      </w:r>
    </w:p>
    <w:p w:rsidR="00B53057" w:rsidRPr="00B53057" w:rsidRDefault="00B53057" w:rsidP="00B53057">
      <w:pPr>
        <w:rPr>
          <w:lang w:val="en-US"/>
        </w:rPr>
      </w:pPr>
      <w:r w:rsidRPr="00B53057">
        <w:rPr>
          <w:lang w:val="en-US"/>
        </w:rPr>
        <w:t>This Recommendation | International Standard provides guidance on the governance of information security.</w:t>
      </w:r>
    </w:p>
    <w:p w:rsidR="00B53057" w:rsidRPr="00B53057" w:rsidRDefault="00B53057" w:rsidP="00B53057">
      <w:pPr>
        <w:rPr>
          <w:lang w:val="en-US"/>
        </w:rPr>
      </w:pPr>
      <w:r w:rsidRPr="00B53057">
        <w:rPr>
          <w:lang w:val="en-US"/>
        </w:rPr>
        <w:t xml:space="preserve">Information security has become a key issue for </w:t>
      </w:r>
      <w:proofErr w:type="spellStart"/>
      <w:r w:rsidRPr="00B53057">
        <w:rPr>
          <w:lang w:val="en-US"/>
        </w:rPr>
        <w:t>organisations</w:t>
      </w:r>
      <w:proofErr w:type="spellEnd"/>
      <w:r w:rsidRPr="00B53057">
        <w:rPr>
          <w:lang w:val="en-US"/>
        </w:rPr>
        <w:t xml:space="preserve">. Not only are there increasing regulatory requirements but also the failure of an </w:t>
      </w:r>
      <w:proofErr w:type="spellStart"/>
      <w:r w:rsidRPr="00B53057">
        <w:rPr>
          <w:lang w:val="en-US"/>
        </w:rPr>
        <w:t>organisation’s</w:t>
      </w:r>
      <w:proofErr w:type="spellEnd"/>
      <w:r w:rsidRPr="00B53057">
        <w:rPr>
          <w:lang w:val="en-US"/>
        </w:rPr>
        <w:t xml:space="preserve"> information security measures can have a direct impact on an </w:t>
      </w:r>
      <w:proofErr w:type="spellStart"/>
      <w:r w:rsidRPr="00B53057">
        <w:rPr>
          <w:lang w:val="en-US"/>
        </w:rPr>
        <w:t>organisation’s</w:t>
      </w:r>
      <w:proofErr w:type="spellEnd"/>
      <w:r w:rsidRPr="00B53057">
        <w:rPr>
          <w:lang w:val="en-US"/>
        </w:rPr>
        <w:t xml:space="preserve"> reputation.</w:t>
      </w:r>
    </w:p>
    <w:p w:rsidR="00B53057" w:rsidRPr="00B53057" w:rsidRDefault="00B53057" w:rsidP="00B53057">
      <w:pPr>
        <w:rPr>
          <w:lang w:val="en-US"/>
        </w:rPr>
      </w:pPr>
      <w:r w:rsidRPr="00B53057">
        <w:rPr>
          <w:lang w:val="en-US"/>
        </w:rPr>
        <w:t xml:space="preserve">Therefore, the governing body, as part of its governance responsibilities, is increasingly required to oversee information security to ensure the objectives of the </w:t>
      </w:r>
      <w:proofErr w:type="spellStart"/>
      <w:r w:rsidRPr="00B53057">
        <w:rPr>
          <w:lang w:val="en-US"/>
        </w:rPr>
        <w:t>organisation</w:t>
      </w:r>
      <w:proofErr w:type="spellEnd"/>
      <w:r w:rsidRPr="00B53057">
        <w:rPr>
          <w:lang w:val="en-US"/>
        </w:rPr>
        <w:t xml:space="preserve"> are achieved.</w:t>
      </w:r>
    </w:p>
    <w:p w:rsidR="00B53057" w:rsidRPr="00B53057" w:rsidRDefault="00B53057" w:rsidP="00B53057">
      <w:pPr>
        <w:rPr>
          <w:lang w:val="en-US"/>
        </w:rPr>
      </w:pPr>
      <w:r w:rsidRPr="00B53057">
        <w:rPr>
          <w:lang w:val="en-US"/>
        </w:rPr>
        <w:t xml:space="preserve">In addition, governance of information security provides a powerful link between an </w:t>
      </w:r>
      <w:proofErr w:type="spellStart"/>
      <w:r w:rsidRPr="00B53057">
        <w:rPr>
          <w:lang w:val="en-US"/>
        </w:rPr>
        <w:t>organisation’s</w:t>
      </w:r>
      <w:proofErr w:type="spellEnd"/>
      <w:r w:rsidRPr="00B53057">
        <w:rPr>
          <w:lang w:val="en-US"/>
        </w:rPr>
        <w:t xml:space="preserve"> governing body, executive management and those responsible for implementing and operating an information security management system.</w:t>
      </w:r>
    </w:p>
    <w:p w:rsidR="00B53057" w:rsidRPr="00B53057" w:rsidRDefault="00B53057" w:rsidP="00B53057">
      <w:pPr>
        <w:rPr>
          <w:lang w:val="en-US"/>
        </w:rPr>
      </w:pPr>
      <w:r w:rsidRPr="00B53057">
        <w:rPr>
          <w:lang w:val="en-US"/>
        </w:rPr>
        <w:t xml:space="preserve">It provides the mandate essential for driving information security initiatives throughout the </w:t>
      </w:r>
      <w:proofErr w:type="spellStart"/>
      <w:r w:rsidRPr="00B53057">
        <w:rPr>
          <w:lang w:val="en-US"/>
        </w:rPr>
        <w:t>organisation</w:t>
      </w:r>
      <w:proofErr w:type="spellEnd"/>
      <w:r w:rsidRPr="00B53057">
        <w:rPr>
          <w:lang w:val="en-US"/>
        </w:rPr>
        <w:t>.</w:t>
      </w:r>
    </w:p>
    <w:p w:rsidR="00634055" w:rsidRDefault="00B53057" w:rsidP="00B53057">
      <w:pPr>
        <w:rPr>
          <w:lang w:val="en-US"/>
        </w:rPr>
      </w:pPr>
      <w:r w:rsidRPr="00B53057">
        <w:rPr>
          <w:lang w:val="en-US"/>
        </w:rPr>
        <w:t>Furthermore, an effective governance of information security ensures that the governing body receives relevant reporting - framed in a business context - about information security-related activities. This enables pertinent and timely decisions about information security issues in support of the strategic</w:t>
      </w:r>
      <w:r>
        <w:rPr>
          <w:lang w:val="en-US"/>
        </w:rPr>
        <w:t xml:space="preserve"> objectives of the </w:t>
      </w:r>
      <w:proofErr w:type="spellStart"/>
      <w:r>
        <w:rPr>
          <w:lang w:val="en-US"/>
        </w:rPr>
        <w:t>organisation</w:t>
      </w:r>
      <w:proofErr w:type="spellEnd"/>
      <w:r w:rsidR="00E06868" w:rsidRPr="005D0E19">
        <w:rPr>
          <w:lang w:val="en-US"/>
        </w:rPr>
        <w:t>.</w:t>
      </w:r>
    </w:p>
    <w:p w:rsidR="00950E07" w:rsidRPr="005D0E19" w:rsidRDefault="00950E07" w:rsidP="00950E07">
      <w:pPr>
        <w:spacing w:before="360"/>
        <w:rPr>
          <w:b/>
          <w:bCs/>
          <w:sz w:val="28"/>
          <w:szCs w:val="28"/>
          <w:lang w:val="en-US"/>
        </w:rPr>
      </w:pPr>
      <w:r w:rsidRPr="005D0E19">
        <w:rPr>
          <w:b/>
          <w:bCs/>
          <w:lang w:val="en-US"/>
        </w:rPr>
        <w:t xml:space="preserve">Draft new Recommendation ITU-T </w:t>
      </w:r>
      <w:r w:rsidRPr="00950E07">
        <w:rPr>
          <w:b/>
          <w:bCs/>
          <w:lang w:val="en-US"/>
        </w:rPr>
        <w:t xml:space="preserve">X.1254 </w:t>
      </w:r>
      <w:r w:rsidR="00D156E1">
        <w:rPr>
          <w:b/>
          <w:bCs/>
          <w:lang w:val="en-US"/>
        </w:rPr>
        <w:t>(</w:t>
      </w:r>
      <w:proofErr w:type="spellStart"/>
      <w:r w:rsidR="00D156E1">
        <w:rPr>
          <w:b/>
          <w:bCs/>
          <w:lang w:val="en-US"/>
        </w:rPr>
        <w:t>X.eaa</w:t>
      </w:r>
      <w:proofErr w:type="spellEnd"/>
      <w:r w:rsidR="00D156E1">
        <w:rPr>
          <w:b/>
          <w:bCs/>
          <w:lang w:val="en-US"/>
        </w:rPr>
        <w:t xml:space="preserve">) </w:t>
      </w:r>
      <w:r w:rsidRPr="00950E07">
        <w:rPr>
          <w:b/>
          <w:bCs/>
          <w:lang w:val="en-US"/>
        </w:rPr>
        <w:t>| ISO/IEC 29115, Information technology — Security techniques — Entity authentication assurance framework</w:t>
      </w:r>
      <w:r w:rsidRPr="005D0E19">
        <w:rPr>
          <w:b/>
          <w:bCs/>
          <w:lang w:val="en-US"/>
        </w:rPr>
        <w:br/>
      </w:r>
      <w:r w:rsidRPr="005D0E19">
        <w:rPr>
          <w:b/>
          <w:bCs/>
          <w:szCs w:val="24"/>
          <w:lang w:val="en-US"/>
        </w:rPr>
        <w:t xml:space="preserve">COM 17 – R </w:t>
      </w:r>
      <w:r>
        <w:rPr>
          <w:b/>
          <w:bCs/>
          <w:szCs w:val="24"/>
          <w:lang w:val="en-US"/>
        </w:rPr>
        <w:t>61</w:t>
      </w:r>
    </w:p>
    <w:p w:rsidR="00950E07" w:rsidRPr="005D0E19" w:rsidRDefault="00950E07" w:rsidP="00950E07">
      <w:pPr>
        <w:rPr>
          <w:b/>
          <w:lang w:val="en-US"/>
        </w:rPr>
      </w:pPr>
      <w:r w:rsidRPr="005D0E19">
        <w:rPr>
          <w:b/>
          <w:lang w:val="en-US"/>
        </w:rPr>
        <w:t>Summary</w:t>
      </w:r>
    </w:p>
    <w:p w:rsidR="00C17506" w:rsidRPr="00C17506" w:rsidRDefault="00C17506" w:rsidP="00C17506">
      <w:pPr>
        <w:rPr>
          <w:lang w:val="en-US"/>
        </w:rPr>
      </w:pPr>
      <w:r w:rsidRPr="00C17506">
        <w:rPr>
          <w:lang w:val="en-US"/>
        </w:rPr>
        <w:t xml:space="preserve">This Recommendation | International Standard defines four levels of entity authentication assurance (i.e., </w:t>
      </w:r>
      <w:proofErr w:type="spellStart"/>
      <w:r w:rsidRPr="00C17506">
        <w:rPr>
          <w:lang w:val="en-US"/>
        </w:rPr>
        <w:t>LoA</w:t>
      </w:r>
      <w:proofErr w:type="spellEnd"/>
      <w:r w:rsidRPr="00C17506">
        <w:rPr>
          <w:lang w:val="en-US"/>
        </w:rPr>
        <w:t xml:space="preserve"> 1 – </w:t>
      </w:r>
      <w:proofErr w:type="spellStart"/>
      <w:r w:rsidRPr="00C17506">
        <w:rPr>
          <w:lang w:val="en-US"/>
        </w:rPr>
        <w:t>LoA</w:t>
      </w:r>
      <w:proofErr w:type="spellEnd"/>
      <w:r w:rsidRPr="00C17506">
        <w:rPr>
          <w:lang w:val="en-US"/>
        </w:rPr>
        <w:t xml:space="preserve"> 4); and the criteria and threats for each of the four levels of entity authentication assurance. Additionally it:</w:t>
      </w:r>
    </w:p>
    <w:p w:rsidR="00C17506" w:rsidRPr="00C17506" w:rsidRDefault="00C17506" w:rsidP="00C17506">
      <w:pPr>
        <w:pStyle w:val="ListParagraph"/>
        <w:numPr>
          <w:ilvl w:val="0"/>
          <w:numId w:val="3"/>
        </w:numPr>
        <w:rPr>
          <w:lang w:val="en-US"/>
        </w:rPr>
      </w:pPr>
      <w:r w:rsidRPr="00C17506">
        <w:rPr>
          <w:lang w:val="en-US"/>
        </w:rPr>
        <w:t>specifies a framework for managing the assurance levels;</w:t>
      </w:r>
    </w:p>
    <w:p w:rsidR="00C17506" w:rsidRPr="00C17506" w:rsidRDefault="00C17506" w:rsidP="00C17506">
      <w:pPr>
        <w:pStyle w:val="ListParagraph"/>
        <w:numPr>
          <w:ilvl w:val="0"/>
          <w:numId w:val="3"/>
        </w:numPr>
        <w:rPr>
          <w:lang w:val="en-US"/>
        </w:rPr>
      </w:pPr>
      <w:r w:rsidRPr="00C17506">
        <w:rPr>
          <w:lang w:val="en-US"/>
        </w:rPr>
        <w:t>based on a risk assessment, provides guidance concerning control technologies that to be used to mitigate authentication threats to authentication;</w:t>
      </w:r>
    </w:p>
    <w:p w:rsidR="00C17506" w:rsidRPr="00C17506" w:rsidRDefault="00C17506" w:rsidP="00C17506">
      <w:pPr>
        <w:pStyle w:val="ListParagraph"/>
        <w:numPr>
          <w:ilvl w:val="0"/>
          <w:numId w:val="3"/>
        </w:numPr>
        <w:rPr>
          <w:lang w:val="en-US"/>
        </w:rPr>
      </w:pPr>
      <w:r w:rsidRPr="00C17506">
        <w:rPr>
          <w:lang w:val="en-US"/>
        </w:rPr>
        <w:t xml:space="preserve">provides guidance for mapping the four levels of assurance to other authentication assurance schemas; and </w:t>
      </w:r>
    </w:p>
    <w:p w:rsidR="00950E07" w:rsidRPr="00C17506" w:rsidRDefault="00C17506" w:rsidP="00C17506">
      <w:pPr>
        <w:pStyle w:val="ListParagraph"/>
        <w:numPr>
          <w:ilvl w:val="0"/>
          <w:numId w:val="3"/>
        </w:numPr>
        <w:rPr>
          <w:lang w:val="en-US"/>
        </w:rPr>
      </w:pPr>
      <w:proofErr w:type="gramStart"/>
      <w:r w:rsidRPr="00C17506">
        <w:rPr>
          <w:lang w:val="en-US"/>
        </w:rPr>
        <w:t>provides</w:t>
      </w:r>
      <w:proofErr w:type="gramEnd"/>
      <w:r w:rsidRPr="00C17506">
        <w:rPr>
          <w:lang w:val="en-US"/>
        </w:rPr>
        <w:t xml:space="preserve"> guidance for exchanging the results of authentication that are based on the four levels of assurance.</w:t>
      </w:r>
    </w:p>
    <w:p w:rsidR="00D73E4D" w:rsidRDefault="00D73E4D">
      <w:pPr>
        <w:tabs>
          <w:tab w:val="clear" w:pos="794"/>
          <w:tab w:val="clear" w:pos="1191"/>
          <w:tab w:val="clear" w:pos="1588"/>
          <w:tab w:val="clear" w:pos="1985"/>
        </w:tabs>
        <w:overflowPunct/>
        <w:autoSpaceDE/>
        <w:autoSpaceDN/>
        <w:adjustRightInd/>
        <w:spacing w:before="0"/>
        <w:textAlignment w:val="auto"/>
        <w:rPr>
          <w:b/>
          <w:bCs/>
          <w:lang w:val="en-US"/>
        </w:rPr>
      </w:pPr>
      <w:r>
        <w:rPr>
          <w:b/>
          <w:bCs/>
          <w:lang w:val="en-US"/>
        </w:rPr>
        <w:br w:type="page"/>
      </w:r>
    </w:p>
    <w:p w:rsidR="004556D7" w:rsidRPr="005D0E19" w:rsidRDefault="00725E00" w:rsidP="00183340">
      <w:pPr>
        <w:spacing w:before="240"/>
        <w:rPr>
          <w:b/>
          <w:bCs/>
          <w:sz w:val="28"/>
          <w:szCs w:val="28"/>
          <w:lang w:val="en-US"/>
        </w:rPr>
      </w:pPr>
      <w:r w:rsidRPr="005D0E19">
        <w:rPr>
          <w:b/>
          <w:bCs/>
          <w:lang w:val="en-US"/>
        </w:rPr>
        <w:lastRenderedPageBreak/>
        <w:t xml:space="preserve">Draft new Recommendation ITU-T </w:t>
      </w:r>
      <w:r w:rsidR="00183340" w:rsidRPr="00183340">
        <w:rPr>
          <w:b/>
          <w:bCs/>
          <w:lang w:val="en-US"/>
        </w:rPr>
        <w:t>X.1527 (</w:t>
      </w:r>
      <w:proofErr w:type="spellStart"/>
      <w:r w:rsidR="00183340" w:rsidRPr="00183340">
        <w:rPr>
          <w:b/>
          <w:bCs/>
          <w:lang w:val="en-US"/>
        </w:rPr>
        <w:t>X.xccdf</w:t>
      </w:r>
      <w:proofErr w:type="spellEnd"/>
      <w:r w:rsidR="00183340" w:rsidRPr="00183340">
        <w:rPr>
          <w:b/>
          <w:bCs/>
          <w:lang w:val="en-US"/>
        </w:rPr>
        <w:t>)</w:t>
      </w:r>
      <w:r w:rsidR="00424E71" w:rsidRPr="005D0E19">
        <w:rPr>
          <w:b/>
          <w:bCs/>
          <w:lang w:val="en-US"/>
        </w:rPr>
        <w:t xml:space="preserve">, </w:t>
      </w:r>
      <w:r w:rsidR="00183340" w:rsidRPr="00183340">
        <w:rPr>
          <w:b/>
          <w:bCs/>
          <w:lang w:val="en-US"/>
        </w:rPr>
        <w:t>Extensible configuration checklist description format</w:t>
      </w:r>
      <w:r w:rsidR="000D4E75" w:rsidRPr="005D0E19">
        <w:rPr>
          <w:b/>
          <w:bCs/>
          <w:lang w:val="en-US"/>
        </w:rPr>
        <w:br/>
      </w:r>
      <w:r w:rsidR="000D4E75" w:rsidRPr="005D0E19">
        <w:rPr>
          <w:b/>
          <w:bCs/>
          <w:szCs w:val="24"/>
          <w:lang w:val="en-US"/>
        </w:rPr>
        <w:t xml:space="preserve">COM 17 – R </w:t>
      </w:r>
      <w:r w:rsidR="00183340">
        <w:rPr>
          <w:b/>
          <w:bCs/>
          <w:szCs w:val="24"/>
          <w:lang w:val="en-US"/>
        </w:rPr>
        <w:t>50</w:t>
      </w:r>
    </w:p>
    <w:p w:rsidR="000D4E75" w:rsidRPr="005D0E19" w:rsidRDefault="000D4E75" w:rsidP="000D4E75">
      <w:pPr>
        <w:rPr>
          <w:b/>
          <w:lang w:val="en-US"/>
        </w:rPr>
      </w:pPr>
      <w:r w:rsidRPr="005D0E19">
        <w:rPr>
          <w:b/>
          <w:lang w:val="en-US"/>
        </w:rPr>
        <w:t>Summary</w:t>
      </w:r>
    </w:p>
    <w:p w:rsidR="000D4E75" w:rsidRPr="005D0E19" w:rsidRDefault="00406FDB" w:rsidP="001B6AD7">
      <w:pPr>
        <w:rPr>
          <w:lang w:val="en-US"/>
        </w:rPr>
      </w:pPr>
      <w:r w:rsidRPr="00406FDB">
        <w:rPr>
          <w:lang w:val="en-US"/>
        </w:rPr>
        <w:t>This Recommendation specifies the data model and Extensible Markup Language (XML) representation for the Extensible Configuration Checklist Description Format (XCCDF). An XCCDF document is a structured collection of security configuration rules for some set of target systems. The XCCDF specification is designed to support information interchange, document generation, organizational and situational tailoring, automated compliance testing, and scoring. The specification also defines a data model and format for storing results of security guidance or checklist testing. The intent of XCCDF is to provide a uniform foundation for expression of security checklists and other configuration guidance, and thereby foster more widespread application of good security practices. This is achieved by listing the relevant clauses of NIST Interagency Report 7275 Revision 4, Specification for the Extensible Configuration Checklist Description Format (XCCDF) Version 1.2, and showing whether th</w:t>
      </w:r>
      <w:r>
        <w:rPr>
          <w:lang w:val="en-US"/>
        </w:rPr>
        <w:t>ey are normative or informative</w:t>
      </w:r>
      <w:r w:rsidR="00580F18" w:rsidRPr="005D0E19">
        <w:rPr>
          <w:lang w:val="en-US"/>
        </w:rPr>
        <w:t>.</w:t>
      </w:r>
    </w:p>
    <w:p w:rsidR="000D4E75" w:rsidRPr="005D0E19" w:rsidRDefault="00557349" w:rsidP="000C6F06">
      <w:pPr>
        <w:spacing w:before="240"/>
        <w:rPr>
          <w:b/>
          <w:bCs/>
          <w:szCs w:val="24"/>
          <w:lang w:val="en-US"/>
        </w:rPr>
      </w:pPr>
      <w:r w:rsidRPr="005D0E19">
        <w:rPr>
          <w:b/>
          <w:bCs/>
          <w:lang w:val="en-US"/>
        </w:rPr>
        <w:t xml:space="preserve">Draft new Recommendation ITU-T </w:t>
      </w:r>
      <w:r w:rsidR="000C6F06" w:rsidRPr="000C6F06">
        <w:rPr>
          <w:b/>
          <w:bCs/>
          <w:lang w:val="en-US"/>
        </w:rPr>
        <w:t>X.1528 (</w:t>
      </w:r>
      <w:proofErr w:type="spellStart"/>
      <w:r w:rsidR="000C6F06" w:rsidRPr="000C6F06">
        <w:rPr>
          <w:b/>
          <w:bCs/>
          <w:lang w:val="en-US"/>
        </w:rPr>
        <w:t>X.cpe</w:t>
      </w:r>
      <w:proofErr w:type="spellEnd"/>
      <w:r w:rsidR="000C6F06" w:rsidRPr="000C6F06">
        <w:rPr>
          <w:b/>
          <w:bCs/>
          <w:lang w:val="en-US"/>
        </w:rPr>
        <w:t>)</w:t>
      </w:r>
      <w:r w:rsidR="007D4D6C" w:rsidRPr="005D0E19">
        <w:rPr>
          <w:b/>
          <w:bCs/>
          <w:lang w:val="en-US"/>
        </w:rPr>
        <w:t xml:space="preserve">, </w:t>
      </w:r>
      <w:r w:rsidR="000C6F06" w:rsidRPr="000C6F06">
        <w:rPr>
          <w:b/>
          <w:bCs/>
          <w:lang w:val="en-US"/>
        </w:rPr>
        <w:t>Common platform enumeration</w:t>
      </w:r>
      <w:r w:rsidR="008728E0" w:rsidRPr="005D0E19">
        <w:rPr>
          <w:b/>
          <w:bCs/>
          <w:lang w:val="en-US"/>
        </w:rPr>
        <w:br/>
      </w:r>
      <w:r w:rsidR="008728E0" w:rsidRPr="005D0E19">
        <w:rPr>
          <w:b/>
          <w:bCs/>
          <w:szCs w:val="24"/>
          <w:lang w:val="en-US"/>
        </w:rPr>
        <w:t xml:space="preserve">COM 17 – R </w:t>
      </w:r>
      <w:r w:rsidR="000C6F06">
        <w:rPr>
          <w:b/>
          <w:bCs/>
          <w:szCs w:val="24"/>
          <w:lang w:val="en-US"/>
        </w:rPr>
        <w:t>51</w:t>
      </w:r>
    </w:p>
    <w:p w:rsidR="008728E0" w:rsidRPr="005D0E19" w:rsidRDefault="008728E0" w:rsidP="008728E0">
      <w:pPr>
        <w:rPr>
          <w:rFonts w:eastAsia="MS Mincho"/>
          <w:b/>
          <w:lang w:val="en-US" w:eastAsia="ja-JP"/>
        </w:rPr>
      </w:pPr>
      <w:r w:rsidRPr="005D0E19">
        <w:rPr>
          <w:rFonts w:eastAsia="MS Mincho"/>
          <w:b/>
          <w:lang w:val="en-US"/>
        </w:rPr>
        <w:t>Summary</w:t>
      </w:r>
    </w:p>
    <w:p w:rsidR="001B6AD7" w:rsidRPr="005D0E19" w:rsidRDefault="000C6F06" w:rsidP="008728E0">
      <w:pPr>
        <w:rPr>
          <w:lang w:val="en-US"/>
        </w:rPr>
      </w:pPr>
      <w:r w:rsidRPr="000C6F06">
        <w:rPr>
          <w:lang w:val="en-US"/>
        </w:rPr>
        <w:t>This Recommendation on common platform enumeration (CPE) provides a structured method of describing and identifying classes of applications, operating systems, and hardware devices present among an enterprise's computing assets. CPE is defined through a set of specifications in a stack-based model, where capabilities are based on simpler, more narrowly defined elements that are specified lower in the stack. The stack consists of a Dictionary specification and an Applicability Language specification that rely on a Name Matching specification which relies on a Naming specification</w:t>
      </w:r>
      <w:r w:rsidR="00C028D9" w:rsidRPr="005D0E19">
        <w:rPr>
          <w:lang w:val="en-US"/>
        </w:rPr>
        <w:t>.</w:t>
      </w:r>
    </w:p>
    <w:p w:rsidR="008728E0" w:rsidRPr="005D0E19" w:rsidRDefault="007E262B" w:rsidP="00F11055">
      <w:pPr>
        <w:keepNext/>
        <w:spacing w:before="240"/>
        <w:rPr>
          <w:b/>
          <w:bCs/>
          <w:szCs w:val="24"/>
          <w:lang w:val="en-US"/>
        </w:rPr>
      </w:pPr>
      <w:r w:rsidRPr="005D0E19">
        <w:rPr>
          <w:b/>
          <w:bCs/>
          <w:szCs w:val="24"/>
          <w:lang w:val="en-US"/>
        </w:rPr>
        <w:t xml:space="preserve">Draft new Recommendation ITU-T </w:t>
      </w:r>
      <w:r w:rsidR="00F11055" w:rsidRPr="00F11055">
        <w:rPr>
          <w:b/>
          <w:bCs/>
          <w:szCs w:val="24"/>
          <w:lang w:val="en-US"/>
        </w:rPr>
        <w:t>X.1528.1 (X.cpe.1), Common platform enumeration naming</w:t>
      </w:r>
      <w:r w:rsidR="008728E0" w:rsidRPr="005D0E19">
        <w:rPr>
          <w:b/>
          <w:bCs/>
          <w:szCs w:val="24"/>
          <w:lang w:val="en-US"/>
        </w:rPr>
        <w:br/>
        <w:t xml:space="preserve">COM 17 – R </w:t>
      </w:r>
      <w:r w:rsidR="00F11055">
        <w:rPr>
          <w:b/>
          <w:bCs/>
          <w:szCs w:val="24"/>
          <w:lang w:val="en-US"/>
        </w:rPr>
        <w:t>52</w:t>
      </w:r>
    </w:p>
    <w:p w:rsidR="008728E0" w:rsidRPr="005D0E19" w:rsidRDefault="008728E0" w:rsidP="007E46BB">
      <w:pPr>
        <w:pStyle w:val="Headingb0"/>
        <w:rPr>
          <w:lang w:val="en-US"/>
        </w:rPr>
      </w:pPr>
      <w:r w:rsidRPr="005D0E19">
        <w:rPr>
          <w:lang w:val="en-US"/>
        </w:rPr>
        <w:t>Summary</w:t>
      </w:r>
    </w:p>
    <w:p w:rsidR="00C75B39" w:rsidRDefault="00F11055" w:rsidP="00642661">
      <w:pPr>
        <w:spacing w:before="240"/>
        <w:rPr>
          <w:lang w:val="en-US"/>
        </w:rPr>
      </w:pPr>
      <w:r w:rsidRPr="00F11055">
        <w:rPr>
          <w:lang w:val="en-US"/>
        </w:rPr>
        <w:t>This Recommendation on common platform enumeration (CPE) naming defines the logical structure of names for IT product classes and the procedures for binding and unbinding these names to and from machine-readable encodings. This Recommendation also defines and explains the requirements that IT products must meet to claim conformance with this Recommendation. This is achieved by listing the relevant clauses of the NIST Interagency Report 7696 Common Platform Enumeration: Name Matching Specification version 2.3 and showing whether they are normative or informative</w:t>
      </w:r>
      <w:r w:rsidR="008C41B2" w:rsidRPr="005D0E19">
        <w:rPr>
          <w:lang w:val="en-US"/>
        </w:rPr>
        <w:t>.</w:t>
      </w:r>
    </w:p>
    <w:p w:rsidR="000B4082" w:rsidRPr="005D0E19" w:rsidRDefault="000B4082" w:rsidP="000B4082">
      <w:pPr>
        <w:keepNext/>
        <w:spacing w:before="240"/>
        <w:rPr>
          <w:b/>
          <w:bCs/>
          <w:szCs w:val="24"/>
          <w:lang w:val="en-US"/>
        </w:rPr>
      </w:pPr>
      <w:r w:rsidRPr="005D0E19">
        <w:rPr>
          <w:b/>
          <w:bCs/>
          <w:szCs w:val="24"/>
          <w:lang w:val="en-US"/>
        </w:rPr>
        <w:t xml:space="preserve">Draft new Recommendation ITU-T </w:t>
      </w:r>
      <w:r w:rsidRPr="00F11055">
        <w:rPr>
          <w:b/>
          <w:bCs/>
          <w:szCs w:val="24"/>
          <w:lang w:val="en-US"/>
        </w:rPr>
        <w:t>X.1528.</w:t>
      </w:r>
      <w:r>
        <w:rPr>
          <w:b/>
          <w:bCs/>
          <w:szCs w:val="24"/>
          <w:lang w:val="en-US"/>
        </w:rPr>
        <w:t>2</w:t>
      </w:r>
      <w:r w:rsidRPr="00F11055">
        <w:rPr>
          <w:b/>
          <w:bCs/>
          <w:szCs w:val="24"/>
          <w:lang w:val="en-US"/>
        </w:rPr>
        <w:t xml:space="preserve"> (X.cpe.</w:t>
      </w:r>
      <w:r>
        <w:rPr>
          <w:b/>
          <w:bCs/>
          <w:szCs w:val="24"/>
          <w:lang w:val="en-US"/>
        </w:rPr>
        <w:t>2</w:t>
      </w:r>
      <w:r w:rsidRPr="00F11055">
        <w:rPr>
          <w:b/>
          <w:bCs/>
          <w:szCs w:val="24"/>
          <w:lang w:val="en-US"/>
        </w:rPr>
        <w:t xml:space="preserve">), </w:t>
      </w:r>
      <w:r w:rsidRPr="000B4082">
        <w:rPr>
          <w:b/>
          <w:bCs/>
          <w:szCs w:val="24"/>
          <w:lang w:val="en-US"/>
        </w:rPr>
        <w:t>Common platform enumeration name matching</w:t>
      </w:r>
      <w:r w:rsidRPr="005D0E19">
        <w:rPr>
          <w:b/>
          <w:bCs/>
          <w:szCs w:val="24"/>
          <w:lang w:val="en-US"/>
        </w:rPr>
        <w:br/>
        <w:t xml:space="preserve">COM 17 – R </w:t>
      </w:r>
      <w:r>
        <w:rPr>
          <w:b/>
          <w:bCs/>
          <w:szCs w:val="24"/>
          <w:lang w:val="en-US"/>
        </w:rPr>
        <w:t>53</w:t>
      </w:r>
    </w:p>
    <w:p w:rsidR="000B4082" w:rsidRPr="005D0E19" w:rsidRDefault="000B4082" w:rsidP="000B4082">
      <w:pPr>
        <w:pStyle w:val="Headingb0"/>
        <w:rPr>
          <w:lang w:val="en-US"/>
        </w:rPr>
      </w:pPr>
      <w:r w:rsidRPr="005D0E19">
        <w:rPr>
          <w:lang w:val="en-US"/>
        </w:rPr>
        <w:t>Summary</w:t>
      </w:r>
    </w:p>
    <w:p w:rsidR="000B4082" w:rsidRDefault="000A74EB" w:rsidP="000B4082">
      <w:pPr>
        <w:spacing w:before="240"/>
        <w:rPr>
          <w:lang w:val="en-US"/>
        </w:rPr>
      </w:pPr>
      <w:r w:rsidRPr="000A74EB">
        <w:rPr>
          <w:lang w:val="en-US"/>
        </w:rPr>
        <w:t xml:space="preserve">This Recommendation defines the specification for common platform enumeration (CPE) name matching. The CPE name matching specification is part of a stack of CPE specifications that support a variety of use cases relating to IT product description and naming. The CPE Name Matching specification provides a method for conducting a one-to-one comparison of a source CPE name to a target CPE name. In addition to defining the specification, this Recommendation also </w:t>
      </w:r>
      <w:r w:rsidRPr="000A74EB">
        <w:rPr>
          <w:lang w:val="en-US"/>
        </w:rPr>
        <w:lastRenderedPageBreak/>
        <w:t>defines and explains the requirements that IT products must meet to claim compliance. This is achieved by listing the relevant clauses of the NIST Interagency Report 7696 Common Platform Enumeration: Name Matching Specification version 2.3 and showing whether they are normative or informative</w:t>
      </w:r>
      <w:r w:rsidR="000B4082" w:rsidRPr="005D0E19">
        <w:rPr>
          <w:lang w:val="en-US"/>
        </w:rPr>
        <w:t>.</w:t>
      </w:r>
    </w:p>
    <w:p w:rsidR="0001581D" w:rsidRPr="005D0E19" w:rsidRDefault="0001581D" w:rsidP="00000AEA">
      <w:pPr>
        <w:keepNext/>
        <w:spacing w:before="240"/>
        <w:rPr>
          <w:b/>
          <w:bCs/>
          <w:szCs w:val="24"/>
          <w:lang w:val="en-US"/>
        </w:rPr>
      </w:pPr>
      <w:r w:rsidRPr="005D0E19">
        <w:rPr>
          <w:b/>
          <w:bCs/>
          <w:szCs w:val="24"/>
          <w:lang w:val="en-US"/>
        </w:rPr>
        <w:t xml:space="preserve">Draft new Recommendation ITU-T </w:t>
      </w:r>
      <w:r w:rsidRPr="00F11055">
        <w:rPr>
          <w:b/>
          <w:bCs/>
          <w:szCs w:val="24"/>
          <w:lang w:val="en-US"/>
        </w:rPr>
        <w:t>X.1528.</w:t>
      </w:r>
      <w:r>
        <w:rPr>
          <w:b/>
          <w:bCs/>
          <w:szCs w:val="24"/>
          <w:lang w:val="en-US"/>
        </w:rPr>
        <w:t>3</w:t>
      </w:r>
      <w:r w:rsidRPr="00F11055">
        <w:rPr>
          <w:b/>
          <w:bCs/>
          <w:szCs w:val="24"/>
          <w:lang w:val="en-US"/>
        </w:rPr>
        <w:t xml:space="preserve"> (X.cpe.</w:t>
      </w:r>
      <w:r>
        <w:rPr>
          <w:b/>
          <w:bCs/>
          <w:szCs w:val="24"/>
          <w:lang w:val="en-US"/>
        </w:rPr>
        <w:t>3</w:t>
      </w:r>
      <w:r w:rsidRPr="00F11055">
        <w:rPr>
          <w:b/>
          <w:bCs/>
          <w:szCs w:val="24"/>
          <w:lang w:val="en-US"/>
        </w:rPr>
        <w:t xml:space="preserve">), </w:t>
      </w:r>
      <w:r w:rsidR="00000AEA" w:rsidRPr="00000AEA">
        <w:rPr>
          <w:b/>
          <w:bCs/>
          <w:szCs w:val="24"/>
          <w:lang w:val="en-US"/>
        </w:rPr>
        <w:t>Common platform enumeration dictionary</w:t>
      </w:r>
      <w:r w:rsidRPr="005D0E19">
        <w:rPr>
          <w:b/>
          <w:bCs/>
          <w:szCs w:val="24"/>
          <w:lang w:val="en-US"/>
        </w:rPr>
        <w:br/>
        <w:t xml:space="preserve">COM 17 – R </w:t>
      </w:r>
      <w:r>
        <w:rPr>
          <w:b/>
          <w:bCs/>
          <w:szCs w:val="24"/>
          <w:lang w:val="en-US"/>
        </w:rPr>
        <w:t>54</w:t>
      </w:r>
    </w:p>
    <w:p w:rsidR="0001581D" w:rsidRPr="005D0E19" w:rsidRDefault="0001581D" w:rsidP="0001581D">
      <w:pPr>
        <w:pStyle w:val="Headingb0"/>
        <w:rPr>
          <w:lang w:val="en-US"/>
        </w:rPr>
      </w:pPr>
      <w:r w:rsidRPr="005D0E19">
        <w:rPr>
          <w:lang w:val="en-US"/>
        </w:rPr>
        <w:t>Summary</w:t>
      </w:r>
    </w:p>
    <w:p w:rsidR="0001581D" w:rsidRDefault="00000AEA" w:rsidP="0001581D">
      <w:pPr>
        <w:spacing w:before="240"/>
        <w:rPr>
          <w:lang w:val="en-US"/>
        </w:rPr>
      </w:pPr>
      <w:r w:rsidRPr="00000AEA">
        <w:rPr>
          <w:lang w:val="en-US"/>
        </w:rPr>
        <w:t>This Recommendation defines the common platform enumeration (CPE) dictionary specification. The CPE dictionary specification is a part of a stack of CPE specifications that support a variety of use cases relating to information technology (IT) product description and naming. An individual CPE dictionary is a repository of IT product names, with each name in the repository identifying a unique class of IT product in the world. This specification defines the semantics of the CPE Dictionary data model and the rules associated with CPE dictionary creation and management. This Recommendation also defines and explains the requirements that IT products and services, including CPE dictionaries, must meet to claim compliance with this Recommendation. This is achieved by listing the relevant clauses of the NIST Interagency Report 7697 Common Platform Enumeration: Name Matching Specification version 2.3 and showing whether th</w:t>
      </w:r>
      <w:r>
        <w:rPr>
          <w:lang w:val="en-US"/>
        </w:rPr>
        <w:t>ey are normative or informative</w:t>
      </w:r>
      <w:r w:rsidR="0001581D" w:rsidRPr="005D0E19">
        <w:rPr>
          <w:lang w:val="en-US"/>
        </w:rPr>
        <w:t>.</w:t>
      </w:r>
    </w:p>
    <w:p w:rsidR="00000AEA" w:rsidRPr="005D0E19" w:rsidRDefault="00000AEA" w:rsidP="00F82C26">
      <w:pPr>
        <w:keepNext/>
        <w:spacing w:before="240"/>
        <w:rPr>
          <w:b/>
          <w:bCs/>
          <w:szCs w:val="24"/>
          <w:lang w:val="en-US"/>
        </w:rPr>
      </w:pPr>
      <w:r w:rsidRPr="005D0E19">
        <w:rPr>
          <w:b/>
          <w:bCs/>
          <w:szCs w:val="24"/>
          <w:lang w:val="en-US"/>
        </w:rPr>
        <w:t xml:space="preserve">Draft new Recommendation ITU-T </w:t>
      </w:r>
      <w:r w:rsidRPr="00F11055">
        <w:rPr>
          <w:b/>
          <w:bCs/>
          <w:szCs w:val="24"/>
          <w:lang w:val="en-US"/>
        </w:rPr>
        <w:t>X.1528.</w:t>
      </w:r>
      <w:r w:rsidR="00F82C26">
        <w:rPr>
          <w:b/>
          <w:bCs/>
          <w:szCs w:val="24"/>
          <w:lang w:val="en-US"/>
        </w:rPr>
        <w:t>4</w:t>
      </w:r>
      <w:r w:rsidRPr="00F11055">
        <w:rPr>
          <w:b/>
          <w:bCs/>
          <w:szCs w:val="24"/>
          <w:lang w:val="en-US"/>
        </w:rPr>
        <w:t xml:space="preserve"> (X.cpe.</w:t>
      </w:r>
      <w:r w:rsidR="00F82C26">
        <w:rPr>
          <w:b/>
          <w:bCs/>
          <w:szCs w:val="24"/>
          <w:lang w:val="en-US"/>
        </w:rPr>
        <w:t>4</w:t>
      </w:r>
      <w:r w:rsidRPr="00F11055">
        <w:rPr>
          <w:b/>
          <w:bCs/>
          <w:szCs w:val="24"/>
          <w:lang w:val="en-US"/>
        </w:rPr>
        <w:t xml:space="preserve">), </w:t>
      </w:r>
      <w:r w:rsidR="00F82C26" w:rsidRPr="00F82C26">
        <w:rPr>
          <w:b/>
          <w:bCs/>
          <w:szCs w:val="24"/>
          <w:lang w:val="en-US"/>
        </w:rPr>
        <w:t>Common platform enumeration applicability language</w:t>
      </w:r>
      <w:r w:rsidRPr="005D0E19">
        <w:rPr>
          <w:b/>
          <w:bCs/>
          <w:szCs w:val="24"/>
          <w:lang w:val="en-US"/>
        </w:rPr>
        <w:br/>
        <w:t xml:space="preserve">COM 17 – R </w:t>
      </w:r>
      <w:r>
        <w:rPr>
          <w:b/>
          <w:bCs/>
          <w:szCs w:val="24"/>
          <w:lang w:val="en-US"/>
        </w:rPr>
        <w:t>5</w:t>
      </w:r>
      <w:r w:rsidR="00F82C26">
        <w:rPr>
          <w:b/>
          <w:bCs/>
          <w:szCs w:val="24"/>
          <w:lang w:val="en-US"/>
        </w:rPr>
        <w:t>5</w:t>
      </w:r>
    </w:p>
    <w:p w:rsidR="00000AEA" w:rsidRPr="005D0E19" w:rsidRDefault="00000AEA" w:rsidP="00000AEA">
      <w:pPr>
        <w:pStyle w:val="Headingb0"/>
        <w:rPr>
          <w:lang w:val="en-US"/>
        </w:rPr>
      </w:pPr>
      <w:r w:rsidRPr="005D0E19">
        <w:rPr>
          <w:lang w:val="en-US"/>
        </w:rPr>
        <w:t>Summary</w:t>
      </w:r>
    </w:p>
    <w:p w:rsidR="00F82C26" w:rsidRPr="00F82C26" w:rsidRDefault="00F82C26" w:rsidP="00F82C26">
      <w:pPr>
        <w:spacing w:before="240"/>
        <w:rPr>
          <w:lang w:val="en-US"/>
        </w:rPr>
      </w:pPr>
      <w:r w:rsidRPr="00F82C26">
        <w:rPr>
          <w:lang w:val="en-US"/>
        </w:rPr>
        <w:t>This Recommendation defines the specification for common platform enumeration (CPE) applicability language. The CPE applicability language specification is part of a stack of CPE specifications that support a variety of use cases relating to IT product description and naming. The CPE applicability language data model builds on top of other CPE specifications to provide the functionality required to allow CPE users to construct complex groupings of CPE names to describe IT platforms. These groupings are referred to as applicability statements because they are used to designate the platforms to which particular guidance, policies, etc. apply. This Recommendation defines the semantics of the CPE applicability language data model and the requirements that IT products and CPE applicability language documents must meet to claim compliance with this Recommendation.</w:t>
      </w:r>
    </w:p>
    <w:p w:rsidR="00000AEA" w:rsidRDefault="00F82C26" w:rsidP="00F82C26">
      <w:pPr>
        <w:spacing w:before="240"/>
        <w:rPr>
          <w:lang w:val="en-US"/>
        </w:rPr>
      </w:pPr>
      <w:r w:rsidRPr="00F82C26">
        <w:rPr>
          <w:lang w:val="en-US"/>
        </w:rPr>
        <w:t>This is achieved by listing the relevant clauses of the NIST Interagency Report 7698: Common Platform Enumeration Applicability Language Specification version 2.3 and showing whether they are normative or informative.</w:t>
      </w:r>
    </w:p>
    <w:p w:rsidR="00F82C26" w:rsidRPr="005D0E19" w:rsidRDefault="00F82C26" w:rsidP="00284A96">
      <w:pPr>
        <w:keepNext/>
        <w:spacing w:before="240"/>
        <w:rPr>
          <w:b/>
          <w:bCs/>
          <w:szCs w:val="24"/>
          <w:lang w:val="en-US"/>
        </w:rPr>
      </w:pPr>
      <w:r w:rsidRPr="005D0E19">
        <w:rPr>
          <w:b/>
          <w:bCs/>
          <w:szCs w:val="24"/>
          <w:lang w:val="en-US"/>
        </w:rPr>
        <w:t xml:space="preserve">Draft new Recommendation ITU-T </w:t>
      </w:r>
      <w:r w:rsidR="00284A96" w:rsidRPr="00284A96">
        <w:rPr>
          <w:b/>
          <w:bCs/>
          <w:szCs w:val="24"/>
          <w:lang w:val="en-US"/>
        </w:rPr>
        <w:t>X.1541 (</w:t>
      </w:r>
      <w:proofErr w:type="spellStart"/>
      <w:r w:rsidR="00284A96" w:rsidRPr="00284A96">
        <w:rPr>
          <w:b/>
          <w:bCs/>
          <w:szCs w:val="24"/>
          <w:lang w:val="en-US"/>
        </w:rPr>
        <w:t>X.iodef</w:t>
      </w:r>
      <w:proofErr w:type="spellEnd"/>
      <w:r w:rsidR="00284A96" w:rsidRPr="00284A96">
        <w:rPr>
          <w:b/>
          <w:bCs/>
          <w:szCs w:val="24"/>
          <w:lang w:val="en-US"/>
        </w:rPr>
        <w:t>), Incident object description exchange format</w:t>
      </w:r>
      <w:r w:rsidRPr="005D0E19">
        <w:rPr>
          <w:b/>
          <w:bCs/>
          <w:szCs w:val="24"/>
          <w:lang w:val="en-US"/>
        </w:rPr>
        <w:br/>
        <w:t xml:space="preserve">COM 17 – R </w:t>
      </w:r>
      <w:r>
        <w:rPr>
          <w:b/>
          <w:bCs/>
          <w:szCs w:val="24"/>
          <w:lang w:val="en-US"/>
        </w:rPr>
        <w:t>5</w:t>
      </w:r>
      <w:r w:rsidR="00284A96">
        <w:rPr>
          <w:b/>
          <w:bCs/>
          <w:szCs w:val="24"/>
          <w:lang w:val="en-US"/>
        </w:rPr>
        <w:t>6</w:t>
      </w:r>
    </w:p>
    <w:p w:rsidR="00F82C26" w:rsidRPr="005D0E19" w:rsidRDefault="00F82C26" w:rsidP="00F82C26">
      <w:pPr>
        <w:pStyle w:val="Headingb0"/>
        <w:rPr>
          <w:lang w:val="en-US"/>
        </w:rPr>
      </w:pPr>
      <w:r w:rsidRPr="005D0E19">
        <w:rPr>
          <w:lang w:val="en-US"/>
        </w:rPr>
        <w:t>Summary</w:t>
      </w:r>
    </w:p>
    <w:p w:rsidR="00F82C26" w:rsidRDefault="00284A96" w:rsidP="00F82C26">
      <w:pPr>
        <w:spacing w:before="240"/>
        <w:rPr>
          <w:lang w:val="en-US"/>
        </w:rPr>
      </w:pPr>
      <w:r w:rsidRPr="00284A96">
        <w:rPr>
          <w:lang w:val="en-US"/>
        </w:rPr>
        <w:t xml:space="preserve">This Recommendation describes the information model for the incident object description exchange format (IODEF) and provides an associated data model specified with XML Schema. The IODEF specifies a data model representation for sharing information commonly exchanged by Computer Security Incident Response Teams (CSIRTs) and service providers (SPs) about computer security </w:t>
      </w:r>
      <w:r w:rsidRPr="00284A96">
        <w:rPr>
          <w:lang w:val="en-US"/>
        </w:rPr>
        <w:lastRenderedPageBreak/>
        <w:t>or other incident types. This is achieved by listing the relevant clauses of RFC 5070 and showing whether they are normative or informative</w:t>
      </w:r>
      <w:r w:rsidR="00F82C26" w:rsidRPr="00F82C26">
        <w:rPr>
          <w:lang w:val="en-US"/>
        </w:rPr>
        <w:t>.</w:t>
      </w:r>
    </w:p>
    <w:p w:rsidR="006D619F" w:rsidRPr="005D0E19" w:rsidRDefault="006D619F" w:rsidP="00DA6DB2">
      <w:pPr>
        <w:keepNext/>
        <w:spacing w:before="240"/>
        <w:rPr>
          <w:b/>
          <w:bCs/>
          <w:szCs w:val="24"/>
          <w:lang w:val="en-US"/>
        </w:rPr>
      </w:pPr>
      <w:r w:rsidRPr="005D0E19">
        <w:rPr>
          <w:b/>
          <w:bCs/>
          <w:szCs w:val="24"/>
          <w:lang w:val="en-US"/>
        </w:rPr>
        <w:t xml:space="preserve">Draft new Recommendation ITU-T </w:t>
      </w:r>
      <w:r w:rsidR="00DA6DB2" w:rsidRPr="00DA6DB2">
        <w:rPr>
          <w:b/>
          <w:bCs/>
          <w:szCs w:val="24"/>
          <w:lang w:val="en-US"/>
        </w:rPr>
        <w:t>X.1580 (</w:t>
      </w:r>
      <w:proofErr w:type="spellStart"/>
      <w:r w:rsidR="00DA6DB2" w:rsidRPr="00DA6DB2">
        <w:rPr>
          <w:b/>
          <w:bCs/>
          <w:szCs w:val="24"/>
          <w:lang w:val="en-US"/>
        </w:rPr>
        <w:t>X.rid</w:t>
      </w:r>
      <w:proofErr w:type="spellEnd"/>
      <w:r w:rsidR="00DA6DB2" w:rsidRPr="00DA6DB2">
        <w:rPr>
          <w:b/>
          <w:bCs/>
          <w:szCs w:val="24"/>
          <w:lang w:val="en-US"/>
        </w:rPr>
        <w:t>), Real-time inter-network defense</w:t>
      </w:r>
      <w:r w:rsidRPr="005D0E19">
        <w:rPr>
          <w:b/>
          <w:bCs/>
          <w:szCs w:val="24"/>
          <w:lang w:val="en-US"/>
        </w:rPr>
        <w:br/>
        <w:t xml:space="preserve">COM 17 – R </w:t>
      </w:r>
      <w:r>
        <w:rPr>
          <w:b/>
          <w:bCs/>
          <w:szCs w:val="24"/>
          <w:lang w:val="en-US"/>
        </w:rPr>
        <w:t>5</w:t>
      </w:r>
      <w:r w:rsidR="00DA6DB2">
        <w:rPr>
          <w:b/>
          <w:bCs/>
          <w:szCs w:val="24"/>
          <w:lang w:val="en-US"/>
        </w:rPr>
        <w:t>7</w:t>
      </w:r>
    </w:p>
    <w:p w:rsidR="006D619F" w:rsidRPr="005D0E19" w:rsidRDefault="006D619F" w:rsidP="006D619F">
      <w:pPr>
        <w:pStyle w:val="Headingb0"/>
        <w:rPr>
          <w:lang w:val="en-US"/>
        </w:rPr>
      </w:pPr>
      <w:r w:rsidRPr="005D0E19">
        <w:rPr>
          <w:lang w:val="en-US"/>
        </w:rPr>
        <w:t>Summary</w:t>
      </w:r>
    </w:p>
    <w:p w:rsidR="00DA6DB2" w:rsidRPr="00DA6DB2" w:rsidRDefault="00DA6DB2" w:rsidP="00DA6DB2">
      <w:pPr>
        <w:spacing w:before="240"/>
        <w:rPr>
          <w:lang w:val="en-US"/>
        </w:rPr>
      </w:pPr>
      <w:r w:rsidRPr="00DA6DB2">
        <w:rPr>
          <w:lang w:val="en-US"/>
        </w:rPr>
        <w:t>This Recommendation on real-time inter-network defense (RID) outlines a proactive inter-network communication method to facilitate the automation of sharing incident handling information. Implementations may integrate with existing incident management systems as well as detection, source identification, and mitigation mechanisms for a more complete incident handling solution. RID specifies a method to securely communicate incident information, enabling the exchange of incident object description exchange format (IODEF) extensible markup language (XML) documents. RID provides a technical means to convey security, policy, and privacy controls to enable the exchange of potentially sensitive information. The technical capabilities can be mapped to the appropriate policies to enable service providers or organizations the option to make appropriate decisions according to their policies.</w:t>
      </w:r>
    </w:p>
    <w:p w:rsidR="006D619F" w:rsidRDefault="00DA6DB2" w:rsidP="00DA6DB2">
      <w:pPr>
        <w:spacing w:before="240"/>
        <w:rPr>
          <w:lang w:val="en-US"/>
        </w:rPr>
      </w:pPr>
      <w:r w:rsidRPr="00DA6DB2">
        <w:rPr>
          <w:lang w:val="en-US"/>
        </w:rPr>
        <w:t>This Recommendation specifies RID by listing the relevant clauses of RFC 6545 and showing whether they are normative or informative</w:t>
      </w:r>
      <w:r w:rsidR="006D619F" w:rsidRPr="00F82C26">
        <w:rPr>
          <w:lang w:val="en-US"/>
        </w:rPr>
        <w:t>.</w:t>
      </w:r>
    </w:p>
    <w:p w:rsidR="00E56F62" w:rsidRPr="005D0E19" w:rsidRDefault="00E56F62" w:rsidP="00E56F62">
      <w:pPr>
        <w:keepNext/>
        <w:spacing w:before="240"/>
        <w:rPr>
          <w:b/>
          <w:bCs/>
          <w:szCs w:val="24"/>
          <w:lang w:val="en-US"/>
        </w:rPr>
      </w:pPr>
      <w:r w:rsidRPr="005D0E19">
        <w:rPr>
          <w:b/>
          <w:bCs/>
          <w:szCs w:val="24"/>
          <w:lang w:val="en-US"/>
        </w:rPr>
        <w:t xml:space="preserve">Draft new Recommendation ITU-T </w:t>
      </w:r>
      <w:r w:rsidRPr="00DA6DB2">
        <w:rPr>
          <w:b/>
          <w:bCs/>
          <w:szCs w:val="24"/>
          <w:lang w:val="en-US"/>
        </w:rPr>
        <w:t>X.158</w:t>
      </w:r>
      <w:r>
        <w:rPr>
          <w:b/>
          <w:bCs/>
          <w:szCs w:val="24"/>
          <w:lang w:val="en-US"/>
        </w:rPr>
        <w:t>1</w:t>
      </w:r>
      <w:r w:rsidRPr="00DA6DB2">
        <w:rPr>
          <w:b/>
          <w:bCs/>
          <w:szCs w:val="24"/>
          <w:lang w:val="en-US"/>
        </w:rPr>
        <w:t xml:space="preserve"> (</w:t>
      </w:r>
      <w:proofErr w:type="spellStart"/>
      <w:r w:rsidRPr="00DA6DB2">
        <w:rPr>
          <w:b/>
          <w:bCs/>
          <w:szCs w:val="24"/>
          <w:lang w:val="en-US"/>
        </w:rPr>
        <w:t>X.rid</w:t>
      </w:r>
      <w:r>
        <w:rPr>
          <w:b/>
          <w:bCs/>
          <w:szCs w:val="24"/>
          <w:lang w:val="en-US"/>
        </w:rPr>
        <w:t>t</w:t>
      </w:r>
      <w:proofErr w:type="spellEnd"/>
      <w:r w:rsidRPr="00DA6DB2">
        <w:rPr>
          <w:b/>
          <w:bCs/>
          <w:szCs w:val="24"/>
          <w:lang w:val="en-US"/>
        </w:rPr>
        <w:t xml:space="preserve">), </w:t>
      </w:r>
      <w:r w:rsidRPr="00E56F62">
        <w:rPr>
          <w:b/>
          <w:bCs/>
          <w:szCs w:val="24"/>
          <w:lang w:val="en-US"/>
        </w:rPr>
        <w:t>Transport of real-time inter-network defense messages</w:t>
      </w:r>
      <w:r w:rsidRPr="005D0E19">
        <w:rPr>
          <w:b/>
          <w:bCs/>
          <w:szCs w:val="24"/>
          <w:lang w:val="en-US"/>
        </w:rPr>
        <w:br/>
        <w:t xml:space="preserve">COM 17 – R </w:t>
      </w:r>
      <w:r>
        <w:rPr>
          <w:b/>
          <w:bCs/>
          <w:szCs w:val="24"/>
          <w:lang w:val="en-US"/>
        </w:rPr>
        <w:t>58</w:t>
      </w:r>
    </w:p>
    <w:p w:rsidR="00E56F62" w:rsidRPr="005D0E19" w:rsidRDefault="00E56F62" w:rsidP="00E56F62">
      <w:pPr>
        <w:pStyle w:val="Headingb0"/>
        <w:rPr>
          <w:lang w:val="en-US"/>
        </w:rPr>
      </w:pPr>
      <w:r w:rsidRPr="005D0E19">
        <w:rPr>
          <w:lang w:val="en-US"/>
        </w:rPr>
        <w:t>Summary</w:t>
      </w:r>
    </w:p>
    <w:p w:rsidR="00E56F62" w:rsidRPr="005D0E19" w:rsidRDefault="0055486A" w:rsidP="00E56F62">
      <w:pPr>
        <w:spacing w:before="240"/>
        <w:rPr>
          <w:b/>
          <w:bCs/>
          <w:lang w:val="en-US"/>
        </w:rPr>
      </w:pPr>
      <w:r w:rsidRPr="0055486A">
        <w:rPr>
          <w:lang w:val="en-US"/>
        </w:rPr>
        <w:t>This Recommendation specifies a transport protocol for real-time inter-network defense (RID) based upon the passing of RID messages over hypertext transfer protocol/transport layer security (HTTP/TLS). This is achieved by listing the relevant clauses of RFC 6546 and showing whether they are normative or informative</w:t>
      </w:r>
      <w:r w:rsidR="00E56F62" w:rsidRPr="00F82C26">
        <w:rPr>
          <w:lang w:val="en-US"/>
        </w:rPr>
        <w:t>.</w:t>
      </w:r>
    </w:p>
    <w:p w:rsidR="008728E0" w:rsidRPr="005D0E19" w:rsidRDefault="008728E0" w:rsidP="008728E0">
      <w:pPr>
        <w:spacing w:before="240"/>
        <w:jc w:val="center"/>
        <w:rPr>
          <w:lang w:val="en-US"/>
        </w:rPr>
      </w:pPr>
      <w:r w:rsidRPr="005D0E19">
        <w:rPr>
          <w:lang w:val="en-US"/>
        </w:rPr>
        <w:t>____________</w:t>
      </w:r>
    </w:p>
    <w:sectPr w:rsidR="008728E0" w:rsidRPr="005D0E19" w:rsidSect="007C7809">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EE8" w:rsidRDefault="005D0EE8">
      <w:r>
        <w:separator/>
      </w:r>
    </w:p>
  </w:endnote>
  <w:endnote w:type="continuationSeparator" w:id="0">
    <w:p w:rsidR="005D0EE8" w:rsidRDefault="005D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Pr="000D4E75" w:rsidRDefault="005D0EE8" w:rsidP="00406FDB">
    <w:pPr>
      <w:pStyle w:val="Footer"/>
      <w:rPr>
        <w:sz w:val="16"/>
        <w:lang w:val="fr-CH"/>
      </w:rPr>
    </w:pPr>
    <w:r>
      <w:rPr>
        <w:sz w:val="16"/>
        <w:lang w:val="fr-CH"/>
      </w:rPr>
      <w:t>ITU-T\BUREAU\CIRC\</w:t>
    </w:r>
    <w:r w:rsidR="00F22759">
      <w:rPr>
        <w:sz w:val="16"/>
        <w:lang w:val="fr-CH"/>
      </w:rPr>
      <w:t>269</w:t>
    </w:r>
    <w:r>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D0EE8" w:rsidRDefault="005D0EE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D0EE8" w:rsidRDefault="005D0EE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EE8" w:rsidRDefault="005D0EE8">
      <w:r>
        <w:t>____________________</w:t>
      </w:r>
    </w:p>
  </w:footnote>
  <w:footnote w:type="continuationSeparator" w:id="0">
    <w:p w:rsidR="005D0EE8" w:rsidRDefault="005D0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E8" w:rsidRDefault="005D0EE8">
    <w:pPr>
      <w:pStyle w:val="Header"/>
    </w:pPr>
    <w:r>
      <w:t xml:space="preserve">- </w:t>
    </w:r>
    <w:r w:rsidR="006820A7">
      <w:fldChar w:fldCharType="begin"/>
    </w:r>
    <w:r w:rsidR="006820A7">
      <w:instrText>PAGE</w:instrText>
    </w:r>
    <w:r w:rsidR="006820A7">
      <w:fldChar w:fldCharType="separate"/>
    </w:r>
    <w:r w:rsidR="00F22759">
      <w:rPr>
        <w:noProof/>
      </w:rPr>
      <w:t>6</w:t>
    </w:r>
    <w:r w:rsidR="006820A7">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5627"/>
    <w:multiLevelType w:val="hybridMultilevel"/>
    <w:tmpl w:val="7C786C9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2255E"/>
    <w:multiLevelType w:val="hybridMultilevel"/>
    <w:tmpl w:val="342029BC"/>
    <w:lvl w:ilvl="0" w:tplc="BCA6E6DC">
      <w:numFmt w:val="bullet"/>
      <w:lvlText w:val="•"/>
      <w:lvlJc w:val="left"/>
      <w:pPr>
        <w:ind w:left="792" w:hanging="792"/>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CF66B2"/>
    <w:multiLevelType w:val="hybridMultilevel"/>
    <w:tmpl w:val="2AD2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10C6"/>
    <w:rsid w:val="000002E8"/>
    <w:rsid w:val="00000AEA"/>
    <w:rsid w:val="00013479"/>
    <w:rsid w:val="0001581D"/>
    <w:rsid w:val="0003331E"/>
    <w:rsid w:val="00036D9B"/>
    <w:rsid w:val="000428BB"/>
    <w:rsid w:val="0009124E"/>
    <w:rsid w:val="000A3957"/>
    <w:rsid w:val="000A74EB"/>
    <w:rsid w:val="000B4082"/>
    <w:rsid w:val="000B4C91"/>
    <w:rsid w:val="000C6F06"/>
    <w:rsid w:val="000D0987"/>
    <w:rsid w:val="000D237D"/>
    <w:rsid w:val="000D4E75"/>
    <w:rsid w:val="00132E06"/>
    <w:rsid w:val="00174053"/>
    <w:rsid w:val="00183340"/>
    <w:rsid w:val="001A153B"/>
    <w:rsid w:val="001A2BAA"/>
    <w:rsid w:val="001B6AD7"/>
    <w:rsid w:val="001D7FD6"/>
    <w:rsid w:val="00233178"/>
    <w:rsid w:val="002378BD"/>
    <w:rsid w:val="00254FA0"/>
    <w:rsid w:val="00275BA1"/>
    <w:rsid w:val="00284516"/>
    <w:rsid w:val="00284A96"/>
    <w:rsid w:val="002C2A8C"/>
    <w:rsid w:val="002E5AC3"/>
    <w:rsid w:val="002F2CD9"/>
    <w:rsid w:val="00301BD3"/>
    <w:rsid w:val="0034129E"/>
    <w:rsid w:val="003418D2"/>
    <w:rsid w:val="003626E4"/>
    <w:rsid w:val="00374A80"/>
    <w:rsid w:val="00386E4E"/>
    <w:rsid w:val="00390246"/>
    <w:rsid w:val="003B4D2F"/>
    <w:rsid w:val="003B5DA6"/>
    <w:rsid w:val="003C0256"/>
    <w:rsid w:val="003E620E"/>
    <w:rsid w:val="003E71DE"/>
    <w:rsid w:val="00406FDB"/>
    <w:rsid w:val="00412516"/>
    <w:rsid w:val="00414CBB"/>
    <w:rsid w:val="00424E71"/>
    <w:rsid w:val="004259C3"/>
    <w:rsid w:val="004419C6"/>
    <w:rsid w:val="0044349E"/>
    <w:rsid w:val="004556D7"/>
    <w:rsid w:val="0048406A"/>
    <w:rsid w:val="004841CD"/>
    <w:rsid w:val="00492BF7"/>
    <w:rsid w:val="004A0A2E"/>
    <w:rsid w:val="004B75A3"/>
    <w:rsid w:val="004D37EC"/>
    <w:rsid w:val="005500A5"/>
    <w:rsid w:val="0055486A"/>
    <w:rsid w:val="00557349"/>
    <w:rsid w:val="00580F18"/>
    <w:rsid w:val="005B53C7"/>
    <w:rsid w:val="005B6E1A"/>
    <w:rsid w:val="005C4DF9"/>
    <w:rsid w:val="005C5FEE"/>
    <w:rsid w:val="005C7BD2"/>
    <w:rsid w:val="005D0E19"/>
    <w:rsid w:val="005D0EE8"/>
    <w:rsid w:val="00634055"/>
    <w:rsid w:val="00642661"/>
    <w:rsid w:val="00660026"/>
    <w:rsid w:val="00661968"/>
    <w:rsid w:val="0066763E"/>
    <w:rsid w:val="006820A7"/>
    <w:rsid w:val="00684385"/>
    <w:rsid w:val="006D2FDF"/>
    <w:rsid w:val="006D619F"/>
    <w:rsid w:val="006E7C16"/>
    <w:rsid w:val="006F4771"/>
    <w:rsid w:val="00703030"/>
    <w:rsid w:val="00706482"/>
    <w:rsid w:val="0070659A"/>
    <w:rsid w:val="00706A00"/>
    <w:rsid w:val="007212FB"/>
    <w:rsid w:val="00725E00"/>
    <w:rsid w:val="00773676"/>
    <w:rsid w:val="007C7809"/>
    <w:rsid w:val="007D4D6C"/>
    <w:rsid w:val="007E0282"/>
    <w:rsid w:val="007E262B"/>
    <w:rsid w:val="007E450E"/>
    <w:rsid w:val="007E46BB"/>
    <w:rsid w:val="007E5665"/>
    <w:rsid w:val="008004F1"/>
    <w:rsid w:val="00814CB9"/>
    <w:rsid w:val="0085416F"/>
    <w:rsid w:val="008728E0"/>
    <w:rsid w:val="008914C8"/>
    <w:rsid w:val="008C41B2"/>
    <w:rsid w:val="008D10C6"/>
    <w:rsid w:val="008D2BEE"/>
    <w:rsid w:val="008E2966"/>
    <w:rsid w:val="008F768A"/>
    <w:rsid w:val="0090295A"/>
    <w:rsid w:val="00927650"/>
    <w:rsid w:val="00944BF0"/>
    <w:rsid w:val="00946AAE"/>
    <w:rsid w:val="00950E07"/>
    <w:rsid w:val="009560C7"/>
    <w:rsid w:val="00983187"/>
    <w:rsid w:val="00987BF8"/>
    <w:rsid w:val="009A5E03"/>
    <w:rsid w:val="009B5421"/>
    <w:rsid w:val="009C7059"/>
    <w:rsid w:val="009F48A0"/>
    <w:rsid w:val="00A07FDA"/>
    <w:rsid w:val="00A37EDA"/>
    <w:rsid w:val="00A661B0"/>
    <w:rsid w:val="00A8273E"/>
    <w:rsid w:val="00AA4AEF"/>
    <w:rsid w:val="00AC3528"/>
    <w:rsid w:val="00AD7E77"/>
    <w:rsid w:val="00AE216C"/>
    <w:rsid w:val="00B06115"/>
    <w:rsid w:val="00B37274"/>
    <w:rsid w:val="00B450FE"/>
    <w:rsid w:val="00B51197"/>
    <w:rsid w:val="00B53057"/>
    <w:rsid w:val="00B72303"/>
    <w:rsid w:val="00B74CDB"/>
    <w:rsid w:val="00B82F53"/>
    <w:rsid w:val="00B839AF"/>
    <w:rsid w:val="00BB11BA"/>
    <w:rsid w:val="00BC0A21"/>
    <w:rsid w:val="00C028D9"/>
    <w:rsid w:val="00C064C2"/>
    <w:rsid w:val="00C17506"/>
    <w:rsid w:val="00C60E22"/>
    <w:rsid w:val="00C75B39"/>
    <w:rsid w:val="00C83168"/>
    <w:rsid w:val="00D00080"/>
    <w:rsid w:val="00D031E1"/>
    <w:rsid w:val="00D14388"/>
    <w:rsid w:val="00D156E1"/>
    <w:rsid w:val="00D27786"/>
    <w:rsid w:val="00D32475"/>
    <w:rsid w:val="00D342D1"/>
    <w:rsid w:val="00D36174"/>
    <w:rsid w:val="00D46AE2"/>
    <w:rsid w:val="00D729AB"/>
    <w:rsid w:val="00D73E4D"/>
    <w:rsid w:val="00D8627E"/>
    <w:rsid w:val="00DA6DB2"/>
    <w:rsid w:val="00DC0223"/>
    <w:rsid w:val="00DC1380"/>
    <w:rsid w:val="00DC3CDE"/>
    <w:rsid w:val="00DD47A3"/>
    <w:rsid w:val="00DF2348"/>
    <w:rsid w:val="00E06868"/>
    <w:rsid w:val="00E21F8A"/>
    <w:rsid w:val="00E43079"/>
    <w:rsid w:val="00E56F62"/>
    <w:rsid w:val="00EA3324"/>
    <w:rsid w:val="00EB137D"/>
    <w:rsid w:val="00EE0654"/>
    <w:rsid w:val="00EE68AC"/>
    <w:rsid w:val="00EE6D69"/>
    <w:rsid w:val="00F06F81"/>
    <w:rsid w:val="00F11055"/>
    <w:rsid w:val="00F22759"/>
    <w:rsid w:val="00F33EDB"/>
    <w:rsid w:val="00F729A7"/>
    <w:rsid w:val="00F82C26"/>
    <w:rsid w:val="00F8692D"/>
    <w:rsid w:val="00FA6222"/>
    <w:rsid w:val="00FB1D91"/>
    <w:rsid w:val="00FB4C63"/>
    <w:rsid w:val="00FB7F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styleId="ListParagraph">
    <w:name w:val="List Paragraph"/>
    <w:basedOn w:val="Normal"/>
    <w:uiPriority w:val="34"/>
    <w:qFormat/>
    <w:rsid w:val="00C17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77CC-335B-4FC1-8669-068A4F97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6</TotalTime>
  <Pages>6</Pages>
  <Words>1948</Words>
  <Characters>11696</Characters>
  <Application>Microsoft Office Word</Application>
  <DocSecurity>0</DocSecurity>
  <Lines>417</Lines>
  <Paragraphs>267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13377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Norton Viard, Emma</cp:lastModifiedBy>
  <cp:revision>4</cp:revision>
  <cp:lastPrinted>2012-03-08T10:50:00Z</cp:lastPrinted>
  <dcterms:created xsi:type="dcterms:W3CDTF">2012-03-08T12:25:00Z</dcterms:created>
  <dcterms:modified xsi:type="dcterms:W3CDTF">2012-03-08T13:16:00Z</dcterms:modified>
</cp:coreProperties>
</file>