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B2FDC">
        <w:t>2 de marzo de 2012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AB2FD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AB2FDC">
              <w:rPr>
                <w:b/>
              </w:rPr>
              <w:t>260</w:t>
            </w:r>
          </w:p>
          <w:p w:rsidR="00C34772" w:rsidRDefault="00C34772" w:rsidP="00AB2FD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AB2FDC">
              <w:t>13/TK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B2FDC">
              <w:t xml:space="preserve"> 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9126AE" w:rsidP="00AB2FD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AB2FDC" w:rsidRPr="002D327A">
                <w:rPr>
                  <w:rStyle w:val="Hyperlink"/>
                </w:rPr>
                <w:t>tsbsg13@itu.int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AB2FDC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AB2FDC">
              <w:t>13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C34772" w:rsidP="00196431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AB2FDC">
              <w:rPr>
                <w:b/>
              </w:rPr>
              <w:t>13</w:t>
            </w:r>
            <w:r>
              <w:rPr>
                <w:b/>
              </w:rPr>
              <w:t xml:space="preserve"> para la aprobación del proyecto de nueva Recomendación UIT-T </w:t>
            </w:r>
            <w:r w:rsidR="00AB2FDC">
              <w:rPr>
                <w:b/>
              </w:rPr>
              <w:t>Y.2770</w:t>
            </w:r>
            <w:r w:rsidRPr="00335367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de conformidad con las disposiciones de la Resolución 1, Sección 9, de la AMNT (Johannesburgo, 2008)</w:t>
            </w:r>
            <w:r w:rsidR="00196431">
              <w:rPr>
                <w:b/>
              </w:rPr>
              <w:t xml:space="preserve"> </w:t>
            </w:r>
            <w:r>
              <w:rPr>
                <w:b/>
              </w:rPr>
              <w:t xml:space="preserve">Ginebra, </w:t>
            </w:r>
            <w:r w:rsidR="00AB2FDC">
              <w:rPr>
                <w:b/>
              </w:rPr>
              <w:t>4-15 de junio de 2012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Señora mía/Muy Señor mío:</w:t>
      </w:r>
    </w:p>
    <w:p w:rsidR="00C34772" w:rsidRDefault="00C34772" w:rsidP="00871191">
      <w:r>
        <w:rPr>
          <w:bCs/>
        </w:rPr>
        <w:t>1</w:t>
      </w:r>
      <w:r>
        <w:tab/>
        <w:t xml:space="preserve">A petición del Presidente de la Comisión de Estudio </w:t>
      </w:r>
      <w:r w:rsidR="00AB2FDC">
        <w:t>13</w:t>
      </w:r>
      <w:r>
        <w:t xml:space="preserve">, </w:t>
      </w:r>
      <w:r w:rsidR="00AB2FDC" w:rsidRPr="00AB2FDC">
        <w:rPr>
          <w:i/>
        </w:rPr>
        <w:t>Redes futuras incluidas las redes móviles y las de la próxima generación (NGN)</w:t>
      </w:r>
      <w:r>
        <w:t xml:space="preserve">, tengo el honor de informarle que esta Comisión de Estudio, que se reunirá del </w:t>
      </w:r>
      <w:r w:rsidR="00AB2FDC">
        <w:t xml:space="preserve">4 </w:t>
      </w:r>
      <w:r>
        <w:t xml:space="preserve">al </w:t>
      </w:r>
      <w:r w:rsidR="00AB2FDC">
        <w:t>15 de junio de 2012</w:t>
      </w:r>
      <w:r>
        <w:t xml:space="preserve">, se propone aplicar el procedimiento descrito en la Resolución 1, Sección 9, de la AMNT (Johannesburgo, 2008) para la aprobación del proyecto de </w:t>
      </w:r>
      <w:r w:rsidR="00AB2FDC">
        <w:t xml:space="preserve">nueva </w:t>
      </w:r>
      <w:r>
        <w:t>Recomendación</w:t>
      </w:r>
      <w:r w:rsidR="00AB2FDC">
        <w:t xml:space="preserve"> </w:t>
      </w:r>
      <w:r>
        <w:t>mencionado</w:t>
      </w:r>
      <w:r w:rsidR="00871191">
        <w:t xml:space="preserve"> </w:t>
      </w:r>
      <w:r>
        <w:t>arriba.</w:t>
      </w:r>
    </w:p>
    <w:p w:rsidR="00C34772" w:rsidRDefault="00C34772" w:rsidP="00F57AFF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 título y el resumen del proyecto</w:t>
      </w:r>
      <w:r w:rsidR="00AB2FDC">
        <w:t xml:space="preserve"> </w:t>
      </w:r>
      <w:r>
        <w:t>de nueva</w:t>
      </w:r>
      <w:r w:rsidR="00AB2FDC">
        <w:t xml:space="preserve"> Recomendación</w:t>
      </w:r>
      <w:r>
        <w:t xml:space="preserve"> UIT-T</w:t>
      </w:r>
      <w:r w:rsidR="00AB2FDC">
        <w:t xml:space="preserve"> que se </w:t>
      </w:r>
      <w:r w:rsidR="00B22E7D">
        <w:t>propone</w:t>
      </w:r>
      <w:r w:rsidR="00AB2FDC">
        <w:t xml:space="preserve"> para aprobación</w:t>
      </w:r>
      <w:r>
        <w:t>, con indicación de</w:t>
      </w:r>
      <w:r w:rsidR="00AB2FDC">
        <w:t>l</w:t>
      </w:r>
      <w:r>
        <w:t xml:space="preserve"> documento en que figura.</w:t>
      </w:r>
    </w:p>
    <w:p w:rsidR="00C34772" w:rsidRDefault="00C34772" w:rsidP="00F57AFF">
      <w:r>
        <w:rPr>
          <w:bCs/>
        </w:rPr>
        <w:t>3</w:t>
      </w:r>
      <w:r>
        <w:tab/>
        <w:t>Todo Estado Miembro, Miembro de Sector, Asociado o Institución Académica de la UIT consciente de la titularidad de una patente propia o ajena que pueda cubrir total o parcialmente los elementos del proyecto de Recomendación propuesto para aprobación debe poner esa información en conocimiento de la TSB, de conformidad con la política sobre patentes del UIT</w:t>
      </w:r>
      <w:r>
        <w:noBreakHyphen/>
        <w:t>T/UIT</w:t>
      </w:r>
      <w:r w:rsidR="00F57AFF">
        <w:noBreakHyphen/>
      </w:r>
      <w:r>
        <w:t>R/ISO/CEI.</w:t>
      </w:r>
    </w:p>
    <w:p w:rsidR="00C34772" w:rsidRDefault="00C34772" w:rsidP="00F57AFF">
      <w:r>
        <w:t xml:space="preserve">Puede accederse en línea a la información disponible sobre patentes a través del sitio </w:t>
      </w:r>
      <w:r w:rsidR="00F57AFF">
        <w:t>w</w:t>
      </w:r>
      <w:r>
        <w:t>eb del UIT</w:t>
      </w:r>
      <w:r>
        <w:noBreakHyphen/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C34772" w:rsidRDefault="00C34772" w:rsidP="00303D62"/>
    <w:p w:rsidR="00C34772" w:rsidRDefault="00C34772" w:rsidP="00AB2FDC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AB2FDC">
        <w:rPr>
          <w:b/>
        </w:rPr>
        <w:t xml:space="preserve">23 de </w:t>
      </w:r>
      <w:r w:rsidR="00B22E7D">
        <w:rPr>
          <w:b/>
        </w:rPr>
        <w:t>mayo</w:t>
      </w:r>
      <w:r w:rsidR="00AB2FDC">
        <w:rPr>
          <w:b/>
        </w:rPr>
        <w:t xml:space="preserve"> de 2012 </w:t>
      </w:r>
      <w:r>
        <w:t xml:space="preserve">si su Administración otorga a la Comisión de Estudio </w:t>
      </w:r>
      <w:r w:rsidR="00AB2FDC">
        <w:t xml:space="preserve">13 </w:t>
      </w:r>
      <w:r>
        <w:t xml:space="preserve">la autoridad necesaria para que durante su reunión puedan considerar la aprobación de este proyecto de </w:t>
      </w:r>
      <w:r w:rsidR="00AB2FDC">
        <w:t xml:space="preserve">nueva </w:t>
      </w:r>
      <w:r>
        <w:t>Recomendación.</w:t>
      </w:r>
    </w:p>
    <w:p w:rsidR="00C34772" w:rsidRDefault="00C34772" w:rsidP="00F57AFF">
      <w:r>
        <w:t>Si algunos Estados Miembros opinan que no puede procederse a considerar la aprobación, deben indicar sus razones de desaprobación así como los posibles cambios que facilitarían el nuevo examen y la aprobación del proyecto de Recomendación revisada o nueva.</w:t>
      </w:r>
    </w:p>
    <w:p w:rsidR="00C34772" w:rsidRDefault="00C34772" w:rsidP="00F57AFF">
      <w:r>
        <w:rPr>
          <w:bCs/>
        </w:rPr>
        <w:t>5</w:t>
      </w:r>
      <w:r>
        <w:tab/>
        <w:t xml:space="preserve">Si el 70% como mínimo de las respuestas de los Estados Miembros están a favor de que se considere la aprobación de este proyecto de Recomendación revisada o nueva en la reunión de la Comisión de Estudio, </w:t>
      </w:r>
      <w:r>
        <w:rPr>
          <w:b/>
        </w:rPr>
        <w:t xml:space="preserve">el </w:t>
      </w:r>
      <w:r w:rsidR="00AB2FDC">
        <w:rPr>
          <w:b/>
        </w:rPr>
        <w:t>15 de junio de 2012</w:t>
      </w:r>
      <w:r>
        <w:rPr>
          <w:b/>
        </w:rPr>
        <w:t xml:space="preserve"> </w:t>
      </w:r>
      <w:r>
        <w:t xml:space="preserve">se dedicará una </w:t>
      </w:r>
      <w:r w:rsidR="00D54642">
        <w:t>Sesión Plenaria</w:t>
      </w:r>
      <w:r>
        <w:t xml:space="preserve"> a la aplicación del procedimiento de aprobación.</w:t>
      </w:r>
    </w:p>
    <w:p w:rsidR="00C34772" w:rsidRDefault="00C34772" w:rsidP="00F57AFF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</w:t>
      </w:r>
      <w:r w:rsidR="00F57AFF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>
        <w:t>A</w:t>
      </w:r>
      <w:r>
        <w:t>rtículo 19, número 239, del Convenio de la UIT.</w:t>
      </w:r>
    </w:p>
    <w:p w:rsidR="00C34772" w:rsidRDefault="00C34772" w:rsidP="00F57AFF">
      <w:r>
        <w:rPr>
          <w:bCs/>
        </w:rPr>
        <w:t>6</w:t>
      </w:r>
      <w:r>
        <w:tab/>
        <w:t>El orden del día y toda la información pertinente sobre la reunión de la Comisión de Estudio</w:t>
      </w:r>
      <w:r w:rsidR="00AB2FDC">
        <w:t xml:space="preserve"> 13 </w:t>
      </w:r>
      <w:r>
        <w:t xml:space="preserve">figurarán en la Carta </w:t>
      </w:r>
      <w:r w:rsidR="00F57AFF">
        <w:t>C</w:t>
      </w:r>
      <w:r>
        <w:t xml:space="preserve">olectiva </w:t>
      </w:r>
      <w:r w:rsidR="00AB2FDC">
        <w:t>12</w:t>
      </w:r>
      <w:r>
        <w:t>/</w:t>
      </w:r>
      <w:r w:rsidR="00AB2FDC">
        <w:t>13.</w:t>
      </w:r>
    </w:p>
    <w:p w:rsidR="00C34772" w:rsidRDefault="00C34772" w:rsidP="00F57AFF">
      <w:r>
        <w:rPr>
          <w:bCs/>
        </w:rPr>
        <w:t>7</w:t>
      </w:r>
      <w:r>
        <w:tab/>
        <w:t xml:space="preserve">Después de la reunión, el Director de la TSB notificará por </w:t>
      </w:r>
      <w:r w:rsidR="00F57AFF">
        <w:t>C</w:t>
      </w:r>
      <w:r>
        <w:t>ircular la decisión tomada sobre esta</w:t>
      </w:r>
      <w:r w:rsidR="00AB2FDC">
        <w:t xml:space="preserve"> </w:t>
      </w:r>
      <w:r>
        <w:t>Recomendación. Esta información se publicará también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5B0E07" w:rsidRDefault="005B0E07" w:rsidP="00303D62">
      <w:pPr>
        <w:spacing w:before="400"/>
        <w:ind w:right="91"/>
      </w:pPr>
    </w:p>
    <w:p w:rsidR="005B0E07" w:rsidRDefault="005B0E07" w:rsidP="00303D62">
      <w:pPr>
        <w:spacing w:before="400"/>
        <w:ind w:right="91"/>
      </w:pPr>
    </w:p>
    <w:p w:rsidR="00C34772" w:rsidRPr="005B0E07" w:rsidRDefault="00C34772" w:rsidP="00303D62">
      <w:pPr>
        <w:rPr>
          <w:bCs/>
        </w:rPr>
      </w:pPr>
      <w:r>
        <w:rPr>
          <w:b/>
        </w:rPr>
        <w:t>Anexo</w:t>
      </w:r>
      <w:r w:rsidRPr="005B0E07">
        <w:rPr>
          <w:bCs/>
        </w:rPr>
        <w:t xml:space="preserve">: </w:t>
      </w:r>
      <w:r w:rsidR="00AB2FDC" w:rsidRPr="005B0E07">
        <w:rPr>
          <w:bCs/>
        </w:rPr>
        <w:t>1</w:t>
      </w:r>
    </w:p>
    <w:p w:rsidR="00BE7F82" w:rsidRPr="005B0E07" w:rsidRDefault="00BE7F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5B0E07">
        <w:br w:type="page"/>
      </w:r>
    </w:p>
    <w:p w:rsidR="00BE7F82" w:rsidRPr="00BE7F82" w:rsidRDefault="00BE7F82" w:rsidP="00BE7F82">
      <w:pPr>
        <w:keepNext/>
        <w:keepLines/>
        <w:jc w:val="center"/>
        <w:rPr>
          <w:lang w:val="es-ES"/>
        </w:rPr>
      </w:pPr>
      <w:r w:rsidRPr="005B0E07">
        <w:rPr>
          <w:sz w:val="28"/>
          <w:szCs w:val="28"/>
          <w:lang w:val="es-ES"/>
        </w:rPr>
        <w:lastRenderedPageBreak/>
        <w:t>ANEXO 1</w:t>
      </w:r>
      <w:r w:rsidRPr="005B0E07">
        <w:rPr>
          <w:sz w:val="28"/>
          <w:szCs w:val="28"/>
          <w:lang w:val="es-ES"/>
        </w:rPr>
        <w:br/>
      </w:r>
      <w:r w:rsidRPr="00BE7F82">
        <w:rPr>
          <w:lang w:val="es-ES"/>
        </w:rPr>
        <w:t xml:space="preserve">(a la Circular TSB </w:t>
      </w:r>
      <w:r>
        <w:rPr>
          <w:lang w:val="es-ES"/>
        </w:rPr>
        <w:t>260</w:t>
      </w:r>
      <w:r w:rsidRPr="00BE7F82">
        <w:rPr>
          <w:lang w:val="es-ES"/>
        </w:rPr>
        <w:t>)</w:t>
      </w:r>
    </w:p>
    <w:p w:rsidR="00BE7F82" w:rsidRDefault="00BE7F82" w:rsidP="00BE7F82">
      <w:pPr>
        <w:spacing w:before="240"/>
        <w:jc w:val="center"/>
        <w:rPr>
          <w:b/>
          <w:bCs/>
          <w:sz w:val="28"/>
          <w:szCs w:val="28"/>
          <w:lang w:val="es-ES"/>
        </w:rPr>
      </w:pPr>
      <w:r w:rsidRPr="00BE7F82">
        <w:rPr>
          <w:b/>
          <w:bCs/>
          <w:sz w:val="28"/>
          <w:szCs w:val="28"/>
          <w:lang w:val="es-ES"/>
        </w:rPr>
        <w:t>Resumen y ubicación de</w:t>
      </w:r>
      <w:r>
        <w:rPr>
          <w:b/>
          <w:bCs/>
          <w:sz w:val="28"/>
          <w:szCs w:val="28"/>
          <w:lang w:val="es-ES"/>
        </w:rPr>
        <w:t>l</w:t>
      </w:r>
      <w:r w:rsidRPr="00BE7F82">
        <w:rPr>
          <w:b/>
          <w:bCs/>
          <w:sz w:val="28"/>
          <w:szCs w:val="28"/>
          <w:lang w:val="es-ES"/>
        </w:rPr>
        <w:t xml:space="preserve"> texto</w:t>
      </w:r>
    </w:p>
    <w:p w:rsidR="005B0E07" w:rsidRPr="00BE7F82" w:rsidRDefault="005B0E07" w:rsidP="005B0E07">
      <w:pPr>
        <w:rPr>
          <w:lang w:val="es-ES"/>
        </w:rPr>
      </w:pPr>
    </w:p>
    <w:p w:rsidR="00BE7F82" w:rsidRPr="00BE7F82" w:rsidRDefault="00BE7F82" w:rsidP="005B0E07">
      <w:pPr>
        <w:pStyle w:val="RecNo"/>
        <w:rPr>
          <w:lang w:val="es-ES"/>
        </w:rPr>
      </w:pPr>
      <w:r w:rsidRPr="00BE7F82">
        <w:rPr>
          <w:lang w:val="es-ES"/>
        </w:rPr>
        <w:t>Proyecto de nueva Recomendación UIT -T Y.27</w:t>
      </w:r>
      <w:r>
        <w:rPr>
          <w:lang w:val="es-ES"/>
        </w:rPr>
        <w:t>7</w:t>
      </w:r>
      <w:r w:rsidRPr="00BE7F82">
        <w:rPr>
          <w:lang w:val="es-ES"/>
        </w:rPr>
        <w:t>0</w:t>
      </w:r>
      <w:r w:rsidR="005B0E07">
        <w:rPr>
          <w:lang w:val="es-ES"/>
        </w:rPr>
        <w:t xml:space="preserve"> </w:t>
      </w:r>
      <w:r w:rsidRPr="00BE7F82">
        <w:rPr>
          <w:lang w:val="es-ES"/>
        </w:rPr>
        <w:t xml:space="preserve">(COM 13-R </w:t>
      </w:r>
      <w:r>
        <w:rPr>
          <w:lang w:val="es-ES"/>
        </w:rPr>
        <w:t>44</w:t>
      </w:r>
      <w:r w:rsidRPr="00BE7F82">
        <w:rPr>
          <w:lang w:val="es-ES"/>
        </w:rPr>
        <w:t xml:space="preserve">) </w:t>
      </w:r>
    </w:p>
    <w:p w:rsidR="00BE7F82" w:rsidRPr="00BE7F82" w:rsidRDefault="00BE7F82" w:rsidP="005B0E07">
      <w:pPr>
        <w:pStyle w:val="Rectitle0"/>
        <w:rPr>
          <w:lang w:val="es-ES"/>
        </w:rPr>
      </w:pPr>
      <w:r w:rsidRPr="00BE7F82">
        <w:rPr>
          <w:lang w:val="es-ES"/>
        </w:rPr>
        <w:t>Requisitos para la inspección detallada de paquetes</w:t>
      </w:r>
      <w:r w:rsidR="005B0E07">
        <w:rPr>
          <w:lang w:val="es-ES"/>
        </w:rPr>
        <w:br/>
      </w:r>
      <w:r w:rsidRPr="00BE7F82">
        <w:rPr>
          <w:lang w:val="es-ES"/>
        </w:rPr>
        <w:t>en las redes de la próxima generación</w:t>
      </w:r>
    </w:p>
    <w:p w:rsidR="00BE7F82" w:rsidRPr="00BE7F82" w:rsidRDefault="00BE7F82" w:rsidP="00BE7F82">
      <w:pPr>
        <w:keepNext/>
        <w:spacing w:before="160"/>
        <w:rPr>
          <w:b/>
          <w:lang w:val="es-ES"/>
        </w:rPr>
      </w:pPr>
      <w:r w:rsidRPr="00BE7F82">
        <w:rPr>
          <w:b/>
          <w:lang w:val="es-ES"/>
        </w:rPr>
        <w:t>Resumen</w:t>
      </w:r>
    </w:p>
    <w:p w:rsidR="00BE7F82" w:rsidRPr="00BE7F82" w:rsidRDefault="00BE7F82" w:rsidP="001529B3">
      <w:pPr>
        <w:suppressAutoHyphens/>
        <w:autoSpaceDN/>
        <w:adjustRightInd/>
        <w:rPr>
          <w:lang w:val="es-ES" w:eastAsia="zh-CN"/>
        </w:rPr>
      </w:pPr>
      <w:r w:rsidRPr="00BE7F82">
        <w:rPr>
          <w:lang w:val="es-ES" w:eastAsia="ar-SA"/>
        </w:rPr>
        <w:t xml:space="preserve">En esta Recomendación se </w:t>
      </w:r>
      <w:r>
        <w:rPr>
          <w:lang w:val="es-ES" w:eastAsia="ar-SA"/>
        </w:rPr>
        <w:t xml:space="preserve">especifican los requisitos </w:t>
      </w:r>
      <w:r w:rsidRPr="00BE7F82">
        <w:rPr>
          <w:lang w:val="es-ES" w:eastAsia="ar-SA"/>
        </w:rPr>
        <w:t>para la inspección detallada de paquetes en las redes de la próxima generación</w:t>
      </w:r>
      <w:r>
        <w:rPr>
          <w:lang w:val="es-ES" w:eastAsia="ar-SA"/>
        </w:rPr>
        <w:t xml:space="preserve"> (NGN). En ella se definen los requisitos para las entidades encargadas de la </w:t>
      </w:r>
      <w:r w:rsidRPr="00BE7F82">
        <w:rPr>
          <w:lang w:val="es-ES" w:eastAsia="ar-SA"/>
        </w:rPr>
        <w:t>inspección detallada de paquetes</w:t>
      </w:r>
      <w:r>
        <w:rPr>
          <w:lang w:val="es-ES" w:eastAsia="ar-SA"/>
        </w:rPr>
        <w:t xml:space="preserve"> (IDE) en las NGN, abordando en particular aspectos como la </w:t>
      </w:r>
      <w:r w:rsidRPr="00BE7F82">
        <w:rPr>
          <w:lang w:val="es-ES" w:eastAsia="ar-SA"/>
        </w:rPr>
        <w:t>identificación de aplicación</w:t>
      </w:r>
      <w:r>
        <w:rPr>
          <w:lang w:val="es-ES" w:eastAsia="ar-SA"/>
        </w:rPr>
        <w:t>, la identificación de flujo</w:t>
      </w:r>
      <w:r w:rsidR="001529B3">
        <w:rPr>
          <w:lang w:val="es-ES" w:eastAsia="ar-SA"/>
        </w:rPr>
        <w:t>, tipos de tráfico inspeccionado, la gestión de firmas, la presentación de informes al sistema de gestión de red (NMS) y la interacción con la entidad funcional de decisión política. Aunque orientados a las NGN, los requisitos pueden ser aplicables a otros tipos de redes. Esta Recomendación también incluye apéndices con información sobre casos y otras informaciones adicionales</w:t>
      </w:r>
      <w:r w:rsidRPr="00BE7F82">
        <w:rPr>
          <w:lang w:val="es-ES" w:eastAsia="ar-SA"/>
        </w:rPr>
        <w:t>.</w:t>
      </w:r>
      <w:r w:rsidR="00871191">
        <w:rPr>
          <w:lang w:val="es-ES" w:eastAsia="ar-SA"/>
        </w:rPr>
        <w:t xml:space="preserve"> </w:t>
      </w:r>
    </w:p>
    <w:p w:rsidR="00401C20" w:rsidRDefault="00401C20" w:rsidP="00C34772"/>
    <w:p w:rsidR="005B0E07" w:rsidRPr="00871191" w:rsidRDefault="005B0E07" w:rsidP="0032202E">
      <w:pPr>
        <w:pStyle w:val="Reasons"/>
        <w:rPr>
          <w:lang w:val="es-ES_tradnl"/>
        </w:rPr>
      </w:pPr>
    </w:p>
    <w:p w:rsidR="005B0E07" w:rsidRDefault="005B0E07">
      <w:pPr>
        <w:jc w:val="center"/>
      </w:pPr>
      <w:r>
        <w:t>______________</w:t>
      </w:r>
    </w:p>
    <w:p w:rsidR="005B0E07" w:rsidRPr="005B0E07" w:rsidRDefault="005B0E07" w:rsidP="00C34772"/>
    <w:sectPr w:rsidR="005B0E07" w:rsidRPr="005B0E07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82" w:rsidRDefault="00BE7F82">
      <w:r>
        <w:separator/>
      </w:r>
    </w:p>
  </w:endnote>
  <w:endnote w:type="continuationSeparator" w:id="0">
    <w:p w:rsidR="00BE7F82" w:rsidRDefault="00BE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82" w:rsidRPr="00D63EF7" w:rsidRDefault="00D63EF7" w:rsidP="00D63EF7">
    <w:pPr>
      <w:pStyle w:val="Footer"/>
      <w:rPr>
        <w:lang w:val="fr-CH"/>
      </w:rPr>
    </w:pPr>
    <w:r w:rsidRPr="00801170">
      <w:rPr>
        <w:sz w:val="16"/>
        <w:lang w:val="fr-CH"/>
      </w:rPr>
      <w:t>ITU-T\BUREAU\CIRC\</w:t>
    </w:r>
    <w:r>
      <w:rPr>
        <w:sz w:val="16"/>
        <w:lang w:val="fr-CH"/>
      </w:rPr>
      <w:t>260s</w:t>
    </w:r>
    <w:r w:rsidRPr="00801170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BE7F82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7F82" w:rsidRDefault="00BE7F8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7F82" w:rsidRDefault="00BE7F82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7F82" w:rsidRDefault="00BE7F8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7F82" w:rsidRDefault="00BE7F82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BE7F82">
      <w:tc>
        <w:tcPr>
          <w:tcW w:w="1985" w:type="dxa"/>
        </w:tcPr>
        <w:p w:rsidR="00BE7F82" w:rsidRDefault="00BE7F8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E7F82" w:rsidRDefault="00BE7F8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E7F82" w:rsidRDefault="00BE7F8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E7F82" w:rsidRDefault="00BE7F82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BE7F82">
      <w:tc>
        <w:tcPr>
          <w:tcW w:w="1985" w:type="dxa"/>
        </w:tcPr>
        <w:p w:rsidR="00BE7F82" w:rsidRDefault="00BE7F8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E7F82" w:rsidRDefault="00BE7F8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E7F82" w:rsidRDefault="00BE7F8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BE7F82" w:rsidRDefault="00BE7F82">
          <w:pPr>
            <w:pStyle w:val="FirstFooter"/>
            <w:rPr>
              <w:rFonts w:ascii="Futura Lt BT" w:hAnsi="Futura Lt BT"/>
            </w:rPr>
          </w:pPr>
        </w:p>
      </w:tc>
    </w:tr>
  </w:tbl>
  <w:p w:rsidR="00BE7F82" w:rsidRDefault="00BE7F82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82" w:rsidRDefault="00BE7F82">
      <w:r>
        <w:t>____________________</w:t>
      </w:r>
    </w:p>
  </w:footnote>
  <w:footnote w:type="continuationSeparator" w:id="0">
    <w:p w:rsidR="00BE7F82" w:rsidRDefault="00BE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59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E2A0E" w:rsidRPr="00DE2A0E" w:rsidRDefault="00DE2A0E">
        <w:pPr>
          <w:pStyle w:val="Header"/>
          <w:rPr>
            <w:sz w:val="18"/>
            <w:szCs w:val="18"/>
          </w:rPr>
        </w:pPr>
        <w:r w:rsidRPr="00DE2A0E">
          <w:rPr>
            <w:sz w:val="18"/>
            <w:szCs w:val="18"/>
          </w:rPr>
          <w:fldChar w:fldCharType="begin"/>
        </w:r>
        <w:r w:rsidRPr="00DE2A0E">
          <w:rPr>
            <w:sz w:val="18"/>
            <w:szCs w:val="18"/>
          </w:rPr>
          <w:instrText xml:space="preserve"> PAGE   \* MERGEFORMAT </w:instrText>
        </w:r>
        <w:r w:rsidRPr="00DE2A0E">
          <w:rPr>
            <w:sz w:val="18"/>
            <w:szCs w:val="18"/>
          </w:rPr>
          <w:fldChar w:fldCharType="separate"/>
        </w:r>
        <w:r w:rsidR="009126AE">
          <w:rPr>
            <w:noProof/>
            <w:sz w:val="18"/>
            <w:szCs w:val="18"/>
          </w:rPr>
          <w:t>3</w:t>
        </w:r>
        <w:r w:rsidRPr="00DE2A0E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529B3"/>
    <w:rsid w:val="00196431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B0E07"/>
    <w:rsid w:val="0065362A"/>
    <w:rsid w:val="006969B4"/>
    <w:rsid w:val="00781E2A"/>
    <w:rsid w:val="008258C2"/>
    <w:rsid w:val="008505BD"/>
    <w:rsid w:val="00850C78"/>
    <w:rsid w:val="00871191"/>
    <w:rsid w:val="008C17AD"/>
    <w:rsid w:val="008D02CD"/>
    <w:rsid w:val="009126AE"/>
    <w:rsid w:val="0095172A"/>
    <w:rsid w:val="009A0BA0"/>
    <w:rsid w:val="00A54E47"/>
    <w:rsid w:val="00AB2FDC"/>
    <w:rsid w:val="00AE7093"/>
    <w:rsid w:val="00B22E7D"/>
    <w:rsid w:val="00B422BC"/>
    <w:rsid w:val="00B43F77"/>
    <w:rsid w:val="00B55A3E"/>
    <w:rsid w:val="00B95F0A"/>
    <w:rsid w:val="00B96180"/>
    <w:rsid w:val="00BE7F82"/>
    <w:rsid w:val="00C17AC0"/>
    <w:rsid w:val="00C34772"/>
    <w:rsid w:val="00C5465A"/>
    <w:rsid w:val="00D54642"/>
    <w:rsid w:val="00D63EF7"/>
    <w:rsid w:val="00DD77C9"/>
    <w:rsid w:val="00DE2A0E"/>
    <w:rsid w:val="00E05265"/>
    <w:rsid w:val="00E839B0"/>
    <w:rsid w:val="00E92C09"/>
    <w:rsid w:val="00F57AFF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5362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62A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5B0E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5362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62A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5B0E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EA06-84D3-4204-B3BC-6FD1386A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774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4864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2012-03-09T14:05:00Z</cp:lastPrinted>
  <dcterms:created xsi:type="dcterms:W3CDTF">2012-03-09T15:22:00Z</dcterms:created>
  <dcterms:modified xsi:type="dcterms:W3CDTF">2012-03-09T15:22:00Z</dcterms:modified>
</cp:coreProperties>
</file>