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ED6A7A" w:rsidTr="00ED6A7A">
        <w:trPr>
          <w:cantSplit/>
        </w:trPr>
        <w:tc>
          <w:tcPr>
            <w:tcW w:w="6426" w:type="dxa"/>
            <w:vAlign w:val="center"/>
          </w:tcPr>
          <w:p w:rsidR="00ED6A7A" w:rsidRPr="00E329A5" w:rsidRDefault="00ED6A7A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ED6A7A" w:rsidRPr="00F50108" w:rsidRDefault="001026FD" w:rsidP="00A5280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0D74AB08" wp14:editId="4FD21438">
                  <wp:extent cx="1781175" cy="695325"/>
                  <wp:effectExtent l="0" t="0" r="9525" b="9525"/>
                  <wp:docPr id="4" name="Picture 4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A7A" w:rsidRPr="00F50108" w:rsidTr="00ED6A7A">
        <w:trPr>
          <w:cantSplit/>
        </w:trPr>
        <w:tc>
          <w:tcPr>
            <w:tcW w:w="6426" w:type="dxa"/>
            <w:vAlign w:val="center"/>
          </w:tcPr>
          <w:p w:rsidR="00ED6A7A" w:rsidRPr="00F50108" w:rsidRDefault="00ED6A7A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ED6A7A" w:rsidRPr="006A675E" w:rsidRDefault="00ED6A7A" w:rsidP="00A5280F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D6A7A" w:rsidRDefault="00ED6A7A" w:rsidP="00F07E5D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Genève, le </w:t>
      </w:r>
      <w:r w:rsidR="00F07E5D">
        <w:t>31</w:t>
      </w:r>
      <w:r w:rsidR="00B6714D">
        <w:t xml:space="preserve"> janvier 2012</w:t>
      </w:r>
    </w:p>
    <w:p w:rsidR="00ED6A7A" w:rsidRDefault="00ED6A7A" w:rsidP="00A5280F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329"/>
      </w:tblGrid>
      <w:tr w:rsidR="00ED6A7A" w:rsidTr="00ED6A7A">
        <w:trPr>
          <w:cantSplit/>
        </w:trPr>
        <w:tc>
          <w:tcPr>
            <w:tcW w:w="822" w:type="dxa"/>
          </w:tcPr>
          <w:p w:rsidR="00ED6A7A" w:rsidRDefault="00ED6A7A" w:rsidP="00A5280F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Réf.:</w:t>
            </w:r>
          </w:p>
        </w:tc>
        <w:tc>
          <w:tcPr>
            <w:tcW w:w="4055" w:type="dxa"/>
          </w:tcPr>
          <w:p w:rsidR="00ED6A7A" w:rsidRDefault="00ED6A7A" w:rsidP="00DF5EE5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Circulaire TSB </w:t>
            </w:r>
            <w:r w:rsidR="00F07E5D">
              <w:rPr>
                <w:b/>
              </w:rPr>
              <w:t>25</w:t>
            </w:r>
            <w:r w:rsidR="00DF5EE5">
              <w:rPr>
                <w:b/>
              </w:rPr>
              <w:t>7</w:t>
            </w:r>
          </w:p>
          <w:p w:rsidR="00ED6A7A" w:rsidRDefault="00B6714D" w:rsidP="00A5280F">
            <w:pPr>
              <w:tabs>
                <w:tab w:val="left" w:pos="4111"/>
              </w:tabs>
              <w:spacing w:before="0"/>
            </w:pPr>
            <w:r>
              <w:t>COM 15</w:t>
            </w:r>
            <w:r w:rsidR="00ED6A7A">
              <w:t>/</w:t>
            </w:r>
            <w:r>
              <w:t>GJ</w:t>
            </w:r>
          </w:p>
        </w:tc>
        <w:tc>
          <w:tcPr>
            <w:tcW w:w="5329" w:type="dxa"/>
          </w:tcPr>
          <w:p w:rsidR="00930518" w:rsidRDefault="00ED6A7A" w:rsidP="00930518">
            <w:pPr>
              <w:numPr>
                <w:ilvl w:val="0"/>
                <w:numId w:val="3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</w:pPr>
            <w:r>
              <w:t>Aux administrations des Etats Membres de l</w:t>
            </w:r>
            <w:r w:rsidR="00167472">
              <w:t>'</w:t>
            </w:r>
            <w:r>
              <w:t>Union</w:t>
            </w:r>
          </w:p>
          <w:p w:rsidR="00DF5EE5" w:rsidRDefault="00DF5EE5" w:rsidP="00DF5EE5">
            <w:pPr>
              <w:numPr>
                <w:ilvl w:val="0"/>
                <w:numId w:val="3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</w:pPr>
            <w:r>
              <w:t>Aux Membres du Secteur UIT-T;</w:t>
            </w:r>
          </w:p>
          <w:p w:rsidR="00DF5EE5" w:rsidRDefault="00DF5EE5" w:rsidP="00E91FD4">
            <w:pPr>
              <w:numPr>
                <w:ilvl w:val="0"/>
                <w:numId w:val="3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81"/>
              </w:tabs>
              <w:spacing w:before="0"/>
              <w:ind w:left="309" w:hanging="252"/>
            </w:pPr>
            <w:r>
              <w:t>Aux Associés de l'</w:t>
            </w:r>
            <w:r w:rsidR="003A1AA6">
              <w:t>UIT-T de la Commission d'études</w:t>
            </w:r>
            <w:r w:rsidR="00E91FD4">
              <w:t> </w:t>
            </w:r>
            <w:r>
              <w:t>15 de l'UIT-T;</w:t>
            </w:r>
          </w:p>
          <w:p w:rsidR="00F07E5D" w:rsidRDefault="00DF5EE5" w:rsidP="00DF5EE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57"/>
            </w:pPr>
            <w:r>
              <w:t>-</w:t>
            </w:r>
            <w:r>
              <w:tab/>
              <w:t xml:space="preserve">Aux établissements universitaires participant aux </w:t>
            </w:r>
            <w:r>
              <w:tab/>
              <w:t>travaux de l'UIT-T;</w:t>
            </w:r>
          </w:p>
          <w:p w:rsidR="00ED6A7A" w:rsidRPr="00E91FD4" w:rsidRDefault="00ED6A7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57"/>
              <w:rPr>
                <w:lang w:val="fr-CH"/>
              </w:rPr>
            </w:pPr>
          </w:p>
        </w:tc>
      </w:tr>
      <w:tr w:rsidR="00ED6A7A" w:rsidTr="00ED6A7A">
        <w:trPr>
          <w:cantSplit/>
        </w:trPr>
        <w:tc>
          <w:tcPr>
            <w:tcW w:w="822" w:type="dxa"/>
          </w:tcPr>
          <w:p w:rsidR="00ED6A7A" w:rsidRDefault="00ED6A7A" w:rsidP="00A5280F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ED6A7A" w:rsidRDefault="00ED6A7A" w:rsidP="00A5280F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sz w:val="24"/>
              </w:rPr>
            </w:pPr>
            <w:r>
              <w:rPr>
                <w:sz w:val="24"/>
              </w:rPr>
              <w:t>Tél.:</w:t>
            </w:r>
            <w:r>
              <w:rPr>
                <w:sz w:val="24"/>
              </w:rPr>
              <w:br/>
              <w:t>Fax:</w:t>
            </w:r>
            <w:r>
              <w:rPr>
                <w:sz w:val="24"/>
              </w:rPr>
              <w:br/>
              <w:t>E-mail:</w:t>
            </w:r>
          </w:p>
        </w:tc>
        <w:tc>
          <w:tcPr>
            <w:tcW w:w="4055" w:type="dxa"/>
          </w:tcPr>
          <w:p w:rsidR="00ED6A7A" w:rsidRDefault="00ED6A7A" w:rsidP="00A5280F">
            <w:pPr>
              <w:tabs>
                <w:tab w:val="left" w:pos="4111"/>
              </w:tabs>
              <w:spacing w:before="0"/>
            </w:pPr>
          </w:p>
          <w:p w:rsidR="00ED6A7A" w:rsidRDefault="00ED6A7A" w:rsidP="00B6714D">
            <w:pPr>
              <w:pStyle w:val="Index1"/>
              <w:tabs>
                <w:tab w:val="left" w:pos="4111"/>
              </w:tabs>
              <w:spacing w:before="0"/>
            </w:pPr>
            <w:r>
              <w:t>+41 22 730</w:t>
            </w:r>
            <w:r w:rsidR="00B6714D">
              <w:t xml:space="preserve"> 5515</w:t>
            </w:r>
            <w:r>
              <w:br/>
              <w:t>+41 22 730 5853</w:t>
            </w:r>
            <w:r>
              <w:br/>
            </w:r>
            <w:hyperlink r:id="rId10" w:history="1">
              <w:r w:rsidR="00B6714D" w:rsidRPr="00176CEA">
                <w:rPr>
                  <w:rStyle w:val="Hyperlink"/>
                </w:rPr>
                <w:t>tsbsg15@itu.int</w:t>
              </w:r>
            </w:hyperlink>
            <w:r>
              <w:t xml:space="preserve"> </w:t>
            </w:r>
          </w:p>
        </w:tc>
        <w:tc>
          <w:tcPr>
            <w:tcW w:w="5329" w:type="dxa"/>
          </w:tcPr>
          <w:p w:rsidR="00ED6A7A" w:rsidRDefault="00ED6A7A" w:rsidP="00A5280F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F0498B" w:rsidRDefault="00F0498B" w:rsidP="00707FF7">
            <w:pPr>
              <w:tabs>
                <w:tab w:val="clear" w:pos="794"/>
                <w:tab w:val="left" w:pos="360"/>
                <w:tab w:val="left" w:pos="4111"/>
              </w:tabs>
              <w:spacing w:before="0"/>
            </w:pPr>
          </w:p>
          <w:p w:rsidR="00ED6A7A" w:rsidRDefault="00930518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="00ED6A7A">
              <w:t xml:space="preserve">Aux Président et Vice-Présidents de la </w:t>
            </w:r>
            <w:r w:rsidR="00ED6A7A">
              <w:br/>
              <w:t>Commission d</w:t>
            </w:r>
            <w:r w:rsidR="00167472">
              <w:t>'</w:t>
            </w:r>
            <w:r w:rsidR="00B6714D">
              <w:t>études 15</w:t>
            </w:r>
            <w:r w:rsidR="00ED6A7A">
              <w:t>;</w:t>
            </w:r>
          </w:p>
          <w:p w:rsidR="00ED6A7A" w:rsidRDefault="00ED6A7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ED6A7A" w:rsidRDefault="00ED6A7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</w:pPr>
            <w:r>
              <w:t>-</w:t>
            </w:r>
            <w:r>
              <w:tab/>
              <w:t>Au Directeur du Bureau des Radiocommunications</w:t>
            </w:r>
          </w:p>
        </w:tc>
      </w:tr>
      <w:tr w:rsidR="00707FF7" w:rsidTr="00ED6A7A">
        <w:trPr>
          <w:cantSplit/>
        </w:trPr>
        <w:tc>
          <w:tcPr>
            <w:tcW w:w="822" w:type="dxa"/>
          </w:tcPr>
          <w:p w:rsidR="00707FF7" w:rsidRDefault="00707FF7" w:rsidP="00A5280F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</w:tc>
        <w:tc>
          <w:tcPr>
            <w:tcW w:w="4055" w:type="dxa"/>
          </w:tcPr>
          <w:p w:rsidR="00707FF7" w:rsidRDefault="00707FF7" w:rsidP="00A5280F">
            <w:pPr>
              <w:tabs>
                <w:tab w:val="left" w:pos="4111"/>
              </w:tabs>
              <w:spacing w:before="0"/>
            </w:pPr>
          </w:p>
        </w:tc>
        <w:tc>
          <w:tcPr>
            <w:tcW w:w="5329" w:type="dxa"/>
          </w:tcPr>
          <w:p w:rsidR="00707FF7" w:rsidRDefault="00707FF7" w:rsidP="00A5280F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</w:tbl>
    <w:p w:rsidR="00ED6A7A" w:rsidRDefault="00ED6A7A" w:rsidP="00A5280F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8101"/>
      </w:tblGrid>
      <w:tr w:rsidR="00ED6A7A" w:rsidTr="003A1AA6">
        <w:trPr>
          <w:cantSplit/>
          <w:trHeight w:val="417"/>
        </w:trPr>
        <w:tc>
          <w:tcPr>
            <w:tcW w:w="822" w:type="dxa"/>
          </w:tcPr>
          <w:p w:rsidR="00ED6A7A" w:rsidRDefault="00ED6A7A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8101" w:type="dxa"/>
          </w:tcPr>
          <w:p w:rsidR="00ED6A7A" w:rsidRDefault="00F07E5D" w:rsidP="00CE7106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Non-a</w:t>
            </w:r>
            <w:r w:rsidR="00ED6A7A">
              <w:rPr>
                <w:b/>
              </w:rPr>
              <w:t>pprobation</w:t>
            </w:r>
            <w:r w:rsidR="00B6714D">
              <w:rPr>
                <w:b/>
              </w:rPr>
              <w:t xml:space="preserve"> de</w:t>
            </w:r>
            <w:r w:rsidR="00793BE0">
              <w:rPr>
                <w:b/>
              </w:rPr>
              <w:t xml:space="preserve"> la</w:t>
            </w:r>
            <w:r w:rsidR="00ED6A7A">
              <w:rPr>
                <w:b/>
              </w:rPr>
              <w:t xml:space="preserve"> </w:t>
            </w:r>
            <w:r w:rsidR="00B6714D">
              <w:rPr>
                <w:b/>
              </w:rPr>
              <w:t>nouvelle</w:t>
            </w:r>
            <w:r w:rsidR="00ED6A7A">
              <w:rPr>
                <w:b/>
              </w:rPr>
              <w:t xml:space="preserve"> </w:t>
            </w:r>
            <w:r w:rsidR="00B6714D">
              <w:rPr>
                <w:b/>
              </w:rPr>
              <w:t>Recommandation</w:t>
            </w:r>
            <w:r w:rsidR="00ED6A7A">
              <w:rPr>
                <w:b/>
              </w:rPr>
              <w:t xml:space="preserve"> UIT-T </w:t>
            </w:r>
            <w:r w:rsidR="00B6714D">
              <w:rPr>
                <w:b/>
              </w:rPr>
              <w:t>G.</w:t>
            </w:r>
            <w:r>
              <w:rPr>
                <w:b/>
              </w:rPr>
              <w:t>8113.</w:t>
            </w:r>
            <w:r w:rsidR="00DF5EE5">
              <w:rPr>
                <w:b/>
              </w:rPr>
              <w:t>2</w:t>
            </w:r>
            <w:r>
              <w:rPr>
                <w:b/>
              </w:rPr>
              <w:t>/Y.1372.</w:t>
            </w:r>
            <w:r w:rsidR="00DF5EE5">
              <w:rPr>
                <w:b/>
              </w:rPr>
              <w:t>2</w:t>
            </w:r>
            <w:r w:rsidR="002F5A81">
              <w:rPr>
                <w:b/>
              </w:rPr>
              <w:t xml:space="preserve"> </w:t>
            </w:r>
          </w:p>
        </w:tc>
      </w:tr>
    </w:tbl>
    <w:p w:rsidR="00ED6A7A" w:rsidRDefault="00ED6A7A" w:rsidP="00A5280F"/>
    <w:p w:rsidR="00ED6A7A" w:rsidRDefault="00ED6A7A" w:rsidP="00A5280F">
      <w:r>
        <w:t>Madame, Monsieur,</w:t>
      </w:r>
    </w:p>
    <w:p w:rsidR="00793BE0" w:rsidRDefault="00ED6A7A" w:rsidP="00B34FB7">
      <w:pPr>
        <w:pStyle w:val="Normalaftertitle"/>
        <w:spacing w:before="120"/>
        <w:rPr>
          <w:bCs/>
        </w:rPr>
      </w:pPr>
      <w:r>
        <w:rPr>
          <w:bCs/>
        </w:rPr>
        <w:t>1</w:t>
      </w:r>
      <w:r>
        <w:tab/>
      </w:r>
      <w:r w:rsidR="002209D7" w:rsidRPr="002209D7">
        <w:t>Suite à l</w:t>
      </w:r>
      <w:r w:rsidR="00DF5EE5">
        <w:t>'Annonce TSB AAP-71</w:t>
      </w:r>
      <w:r w:rsidR="002F5A81">
        <w:t xml:space="preserve"> du </w:t>
      </w:r>
      <w:r w:rsidR="00793BE0">
        <w:t>16 novembre</w:t>
      </w:r>
      <w:r w:rsidR="002209D7">
        <w:t xml:space="preserve"> 2011</w:t>
      </w:r>
      <w:r w:rsidR="002209D7" w:rsidRPr="002209D7">
        <w:t xml:space="preserve"> </w:t>
      </w:r>
      <w:r w:rsidR="00793BE0" w:rsidRPr="00793BE0">
        <w:t>et en application du § 6.2 de la Recommandation A.8 (</w:t>
      </w:r>
      <w:r w:rsidR="00793BE0">
        <w:t>Johannesburg, 2008</w:t>
      </w:r>
      <w:r w:rsidR="00793BE0" w:rsidRPr="00793BE0">
        <w:t>), j</w:t>
      </w:r>
      <w:r w:rsidR="00A24D9F">
        <w:rPr>
          <w:lang w:val="fr-CH"/>
        </w:rPr>
        <w:t>'</w:t>
      </w:r>
      <w:r w:rsidR="00793BE0" w:rsidRPr="00793BE0">
        <w:t>ai l</w:t>
      </w:r>
      <w:r w:rsidR="00A24D9F">
        <w:t>'</w:t>
      </w:r>
      <w:r w:rsidR="00793BE0" w:rsidRPr="00793BE0">
        <w:t xml:space="preserve">honneur de vous informer que durant la séance plénière du </w:t>
      </w:r>
      <w:r w:rsidR="00793BE0">
        <w:t>16 décembre 2011</w:t>
      </w:r>
      <w:r w:rsidR="00793BE0" w:rsidRPr="00793BE0">
        <w:t>, la Commission d</w:t>
      </w:r>
      <w:r w:rsidR="00A24D9F">
        <w:t>'</w:t>
      </w:r>
      <w:r w:rsidR="00793BE0" w:rsidRPr="00793BE0">
        <w:t xml:space="preserve">études 15 </w:t>
      </w:r>
      <w:r w:rsidR="00793BE0" w:rsidRPr="00793BE0">
        <w:rPr>
          <w:b/>
          <w:bCs/>
        </w:rPr>
        <w:t>n'a pas approuvé</w:t>
      </w:r>
      <w:r w:rsidR="00793BE0">
        <w:rPr>
          <w:bCs/>
        </w:rPr>
        <w:t xml:space="preserve"> le projet de nouvelle Recommandation </w:t>
      </w:r>
      <w:r w:rsidR="00793BE0" w:rsidRPr="00793BE0">
        <w:rPr>
          <w:bCs/>
        </w:rPr>
        <w:t>UIT-T G.8113.2/Y.1372.2</w:t>
      </w:r>
      <w:r w:rsidR="00793BE0">
        <w:rPr>
          <w:bCs/>
        </w:rPr>
        <w:t>. En revanche, il a été décidé de remplacer la procédure d'approbation de ce projet de Recommandation par la procédure d'approbation traditionnelle et de reporter l'examen pour détermination comme décrit dans la section</w:t>
      </w:r>
      <w:r w:rsidR="00E77262">
        <w:rPr>
          <w:bCs/>
        </w:rPr>
        <w:t xml:space="preserve"> 4.4.3 du rapport COM15-R27 de la Commission d'études 15: </w:t>
      </w:r>
      <w:hyperlink r:id="rId11" w:history="1">
        <w:r w:rsidR="00E77262" w:rsidRPr="00033F89">
          <w:rPr>
            <w:rStyle w:val="Hyperlink"/>
            <w:bCs/>
          </w:rPr>
          <w:t>www.itu.int/md/meetingdoc.asp?lang=en&amp;parent=T09-SG15-R-0027</w:t>
        </w:r>
      </w:hyperlink>
      <w:r w:rsidR="00A24D9F" w:rsidRPr="00A24D9F">
        <w:t>.</w:t>
      </w:r>
    </w:p>
    <w:p w:rsidR="001D539C" w:rsidRDefault="00793BE0" w:rsidP="00B34FB7">
      <w:pPr>
        <w:pStyle w:val="Normalaftertitle"/>
        <w:spacing w:before="120"/>
      </w:pPr>
      <w:r>
        <w:rPr>
          <w:bCs/>
        </w:rPr>
        <w:t>2</w:t>
      </w:r>
      <w:r w:rsidR="00ED6A7A">
        <w:tab/>
        <w:t xml:space="preserve">Le titre </w:t>
      </w:r>
      <w:r w:rsidR="00447E5B">
        <w:t>de</w:t>
      </w:r>
      <w:r w:rsidR="00E77262">
        <w:t xml:space="preserve"> la</w:t>
      </w:r>
      <w:r w:rsidR="00793FE3">
        <w:t xml:space="preserve"> </w:t>
      </w:r>
      <w:r w:rsidR="00447E5B">
        <w:t>nouvelle Recommandation</w:t>
      </w:r>
      <w:r w:rsidR="00793FE3">
        <w:t xml:space="preserve"> qui </w:t>
      </w:r>
      <w:r w:rsidR="00447E5B">
        <w:t>n'</w:t>
      </w:r>
      <w:r w:rsidR="00E77262">
        <w:t>a</w:t>
      </w:r>
      <w:r w:rsidR="00447E5B">
        <w:t xml:space="preserve"> pas</w:t>
      </w:r>
      <w:r w:rsidR="00793FE3">
        <w:t xml:space="preserve"> été approuvé</w:t>
      </w:r>
      <w:r w:rsidR="006A1A15">
        <w:t>e</w:t>
      </w:r>
      <w:r w:rsidR="00793FE3">
        <w:t xml:space="preserve"> </w:t>
      </w:r>
      <w:r w:rsidR="00E77262">
        <w:t>est</w:t>
      </w:r>
      <w:r w:rsidR="00ED6A7A">
        <w:t xml:space="preserve"> </w:t>
      </w:r>
      <w:r w:rsidR="003471E1">
        <w:t>le suivant</w:t>
      </w:r>
      <w:r w:rsidR="008C465A">
        <w:t>:</w:t>
      </w:r>
    </w:p>
    <w:p w:rsidR="00E77262" w:rsidRPr="009011FE" w:rsidRDefault="008F2884" w:rsidP="008F2884">
      <w:pPr>
        <w:pStyle w:val="enumlev1"/>
      </w:pPr>
      <w:r>
        <w:t>–</w:t>
      </w:r>
      <w:r>
        <w:tab/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>-T G.</w:t>
      </w:r>
      <w:r w:rsidR="003471E1" w:rsidRPr="003471E1">
        <w:rPr>
          <w:bCs/>
        </w:rPr>
        <w:t xml:space="preserve"> </w:t>
      </w:r>
      <w:r w:rsidR="003471E1" w:rsidRPr="002209D7">
        <w:rPr>
          <w:bCs/>
        </w:rPr>
        <w:t>G.8113.</w:t>
      </w:r>
      <w:r w:rsidR="00E77262">
        <w:rPr>
          <w:bCs/>
        </w:rPr>
        <w:t>2/Y.1372.2</w:t>
      </w:r>
      <w:r w:rsidR="00793FE3" w:rsidRPr="00BA7087">
        <w:t>,</w:t>
      </w:r>
      <w:r w:rsidR="003471E1">
        <w:t xml:space="preserve"> </w:t>
      </w:r>
      <w:r w:rsidR="00E77262" w:rsidRPr="00E91FD4">
        <w:rPr>
          <w:i/>
          <w:iCs/>
          <w:lang w:val="fr-CH"/>
        </w:rPr>
        <w:t>Mécanisme d'exploitation, d'administration et de maintenance pour les réseaux MPLS-TP utilisant les outils définis pour la MPLS</w:t>
      </w:r>
      <w:r w:rsidR="00E77262">
        <w:rPr>
          <w:lang w:val="fr-CH"/>
        </w:rPr>
        <w:t>.</w:t>
      </w:r>
    </w:p>
    <w:p w:rsidR="00793FE3" w:rsidRDefault="003471E1" w:rsidP="00B34FB7">
      <w:pPr>
        <w:ind w:right="-142"/>
      </w:pPr>
      <w:r w:rsidRPr="002179AF">
        <w:t>Veuillez agréer, Madame, Monsieur, l</w:t>
      </w:r>
      <w:r>
        <w:t>'</w:t>
      </w:r>
      <w:r w:rsidRPr="002179AF">
        <w:t>assurance de ma considération distinguée.</w:t>
      </w:r>
    </w:p>
    <w:p w:rsidR="003471E1" w:rsidRDefault="003471E1" w:rsidP="00E74779">
      <w:pPr>
        <w:ind w:right="-143"/>
      </w:pPr>
    </w:p>
    <w:p w:rsidR="003A1AA6" w:rsidRDefault="003A1AA6" w:rsidP="00E74779">
      <w:pPr>
        <w:ind w:right="-143"/>
      </w:pPr>
    </w:p>
    <w:p w:rsidR="00B34FB7" w:rsidRDefault="00B34FB7" w:rsidP="00E74779">
      <w:pPr>
        <w:ind w:right="-143"/>
      </w:pPr>
    </w:p>
    <w:p w:rsidR="00A5280F" w:rsidRPr="007474B5" w:rsidRDefault="00ED6A7A" w:rsidP="00E74779">
      <w:pPr>
        <w:ind w:right="-143"/>
        <w:rPr>
          <w:lang w:val="fr-CH"/>
        </w:rPr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sectPr w:rsidR="00A5280F" w:rsidRPr="007474B5" w:rsidSect="00E747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727" w:code="9"/>
      <w:pgMar w:top="1134" w:right="1089" w:bottom="1134" w:left="1089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43" w:rsidRDefault="008F7A43">
      <w:r>
        <w:separator/>
      </w:r>
    </w:p>
  </w:endnote>
  <w:endnote w:type="continuationSeparator" w:id="0">
    <w:p w:rsidR="008F7A43" w:rsidRDefault="008F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D4" w:rsidRDefault="00E91F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6A1A15" w:rsidRPr="00E91FD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6A1A15" w:rsidRDefault="006A1A15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6A1A15" w:rsidRDefault="006A1A15">
          <w:pPr>
            <w:pStyle w:val="itu"/>
          </w:pPr>
          <w:r>
            <w:t xml:space="preserve">Téléphone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6A1A15" w:rsidRDefault="006A1A15">
          <w:pPr>
            <w:pStyle w:val="itu"/>
          </w:pPr>
          <w:r>
            <w:t>Télex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6A1A15" w:rsidRDefault="006A1A15">
          <w:pPr>
            <w:pStyle w:val="itu"/>
          </w:pPr>
          <w:r>
            <w:t>E-mail:</w:t>
          </w:r>
          <w:r>
            <w:tab/>
          </w:r>
          <w:r w:rsidRPr="00E91FD4">
            <w:rPr>
              <w:rStyle w:val="Hyperlink"/>
            </w:rPr>
            <w:t>itumail@itu.int</w:t>
          </w:r>
        </w:p>
      </w:tc>
    </w:tr>
    <w:tr w:rsidR="006A1A15">
      <w:trPr>
        <w:cantSplit/>
      </w:trPr>
      <w:tc>
        <w:tcPr>
          <w:tcW w:w="1062" w:type="pct"/>
        </w:tcPr>
        <w:p w:rsidR="006A1A15" w:rsidRDefault="006A1A15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6A1A15" w:rsidRDefault="006A1A15">
          <w:pPr>
            <w:pStyle w:val="itu"/>
          </w:pPr>
          <w:r>
            <w:t>Téléfax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6A1A15" w:rsidRDefault="006A1A15">
          <w:pPr>
            <w:pStyle w:val="itu"/>
          </w:pPr>
          <w:r>
            <w:t>Télégramme ITU GENEVE</w:t>
          </w:r>
        </w:p>
      </w:tc>
      <w:tc>
        <w:tcPr>
          <w:tcW w:w="1131" w:type="pct"/>
        </w:tcPr>
        <w:p w:rsidR="006A1A15" w:rsidRPr="00E91FD4" w:rsidRDefault="006A1A15">
          <w:pPr>
            <w:pStyle w:val="itu"/>
            <w:rPr>
              <w:rStyle w:val="Hyperlink"/>
            </w:rPr>
          </w:pPr>
          <w:r>
            <w:tab/>
          </w:r>
          <w:bookmarkStart w:id="0" w:name="_GoBack"/>
          <w:r w:rsidRPr="00E91FD4">
            <w:rPr>
              <w:rStyle w:val="Hyperlink"/>
            </w:rPr>
            <w:t>www.itu.int</w:t>
          </w:r>
          <w:bookmarkEnd w:id="0"/>
        </w:p>
      </w:tc>
    </w:tr>
    <w:tr w:rsidR="006A1A15">
      <w:trPr>
        <w:cantSplit/>
      </w:trPr>
      <w:tc>
        <w:tcPr>
          <w:tcW w:w="1062" w:type="pct"/>
        </w:tcPr>
        <w:p w:rsidR="006A1A15" w:rsidRDefault="006A1A15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6A1A15" w:rsidRDefault="006A1A15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6A1A15" w:rsidRDefault="006A1A15">
          <w:pPr>
            <w:pStyle w:val="itu"/>
          </w:pPr>
        </w:p>
      </w:tc>
      <w:tc>
        <w:tcPr>
          <w:tcW w:w="1131" w:type="pct"/>
        </w:tcPr>
        <w:p w:rsidR="006A1A15" w:rsidRDefault="006A1A15">
          <w:pPr>
            <w:pStyle w:val="itu"/>
          </w:pPr>
        </w:p>
      </w:tc>
    </w:tr>
  </w:tbl>
  <w:p w:rsidR="006A1A15" w:rsidRDefault="006A1A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15" w:rsidRPr="009F1E23" w:rsidRDefault="006A1A15" w:rsidP="009F1E23">
    <w:pPr>
      <w:pStyle w:val="Footer"/>
      <w:rPr>
        <w:sz w:val="16"/>
        <w:szCs w:val="16"/>
        <w:lang w:val="fr-CH"/>
      </w:rPr>
    </w:pPr>
    <w:r w:rsidRPr="00644741">
      <w:rPr>
        <w:sz w:val="16"/>
        <w:szCs w:val="16"/>
      </w:rPr>
      <w:fldChar w:fldCharType="begin"/>
    </w:r>
    <w:r w:rsidRPr="00644741">
      <w:rPr>
        <w:sz w:val="16"/>
        <w:szCs w:val="16"/>
        <w:lang w:val="fr-CH"/>
      </w:rPr>
      <w:instrText xml:space="preserve"> FILENAME \p \* MERGEFORMAT </w:instrText>
    </w:r>
    <w:r w:rsidRPr="00644741">
      <w:rPr>
        <w:sz w:val="16"/>
        <w:szCs w:val="16"/>
      </w:rPr>
      <w:fldChar w:fldCharType="separate"/>
    </w:r>
    <w:r w:rsidR="001D1348">
      <w:rPr>
        <w:noProof/>
        <w:sz w:val="16"/>
        <w:szCs w:val="16"/>
        <w:lang w:val="fr-CH"/>
      </w:rPr>
      <w:t>C:\Users\sternj\Documents\320914.docx</w:t>
    </w:r>
    <w:r w:rsidRPr="00644741">
      <w:rPr>
        <w:sz w:val="16"/>
        <w:szCs w:val="16"/>
      </w:rPr>
      <w:fldChar w:fldCharType="end"/>
    </w:r>
    <w:r>
      <w:rPr>
        <w:sz w:val="16"/>
        <w:szCs w:val="16"/>
      </w:rPr>
      <w:t xml:space="preserve"> (305381)</w:t>
    </w:r>
    <w:r w:rsidRPr="00644741">
      <w:rPr>
        <w:sz w:val="16"/>
        <w:szCs w:val="16"/>
        <w:lang w:val="fr-CH"/>
      </w:rPr>
      <w:tab/>
    </w:r>
    <w:r w:rsidRPr="00644741">
      <w:rPr>
        <w:sz w:val="16"/>
        <w:szCs w:val="16"/>
      </w:rPr>
      <w:fldChar w:fldCharType="begin"/>
    </w:r>
    <w:r w:rsidRPr="00644741">
      <w:rPr>
        <w:sz w:val="16"/>
        <w:szCs w:val="16"/>
      </w:rPr>
      <w:instrText xml:space="preserve"> savedate \@ dd.MM.yy </w:instrText>
    </w:r>
    <w:r w:rsidRPr="00644741">
      <w:rPr>
        <w:sz w:val="16"/>
        <w:szCs w:val="16"/>
      </w:rPr>
      <w:fldChar w:fldCharType="separate"/>
    </w:r>
    <w:r w:rsidR="00E91FD4">
      <w:rPr>
        <w:noProof/>
        <w:sz w:val="16"/>
        <w:szCs w:val="16"/>
      </w:rPr>
      <w:t>02.02.12</w:t>
    </w:r>
    <w:r w:rsidRPr="00644741">
      <w:rPr>
        <w:sz w:val="16"/>
        <w:szCs w:val="16"/>
      </w:rPr>
      <w:fldChar w:fldCharType="end"/>
    </w:r>
    <w:r w:rsidRPr="00644741">
      <w:rPr>
        <w:sz w:val="16"/>
        <w:szCs w:val="16"/>
        <w:lang w:val="fr-CH"/>
      </w:rPr>
      <w:tab/>
    </w:r>
    <w:r w:rsidRPr="00644741">
      <w:rPr>
        <w:sz w:val="16"/>
        <w:szCs w:val="16"/>
      </w:rPr>
      <w:fldChar w:fldCharType="begin"/>
    </w:r>
    <w:r w:rsidRPr="00644741">
      <w:rPr>
        <w:sz w:val="16"/>
        <w:szCs w:val="16"/>
      </w:rPr>
      <w:instrText xml:space="preserve"> printdate \@ dd.MM.yy </w:instrText>
    </w:r>
    <w:r w:rsidRPr="00644741">
      <w:rPr>
        <w:sz w:val="16"/>
        <w:szCs w:val="16"/>
      </w:rPr>
      <w:fldChar w:fldCharType="separate"/>
    </w:r>
    <w:r w:rsidR="001D1348">
      <w:rPr>
        <w:noProof/>
        <w:sz w:val="16"/>
        <w:szCs w:val="16"/>
      </w:rPr>
      <w:t>02.02.12</w:t>
    </w:r>
    <w:r w:rsidRPr="006447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43" w:rsidRDefault="008F7A43">
      <w:r>
        <w:t>____________________</w:t>
      </w:r>
    </w:p>
  </w:footnote>
  <w:footnote w:type="continuationSeparator" w:id="0">
    <w:p w:rsidR="008F7A43" w:rsidRDefault="008F7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D4" w:rsidRDefault="00E91F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D4" w:rsidRDefault="00E91F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D4" w:rsidRDefault="00E91F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397E692E"/>
    <w:multiLevelType w:val="hybridMultilevel"/>
    <w:tmpl w:val="C0BEC39C"/>
    <w:lvl w:ilvl="0" w:tplc="EDA8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2E"/>
    <w:rsid w:val="000039EE"/>
    <w:rsid w:val="00005622"/>
    <w:rsid w:val="00024BC1"/>
    <w:rsid w:val="0002519E"/>
    <w:rsid w:val="00035B43"/>
    <w:rsid w:val="000758B3"/>
    <w:rsid w:val="0008135A"/>
    <w:rsid w:val="000B0D96"/>
    <w:rsid w:val="000B59D8"/>
    <w:rsid w:val="000C56BE"/>
    <w:rsid w:val="001026FD"/>
    <w:rsid w:val="00115DD7"/>
    <w:rsid w:val="001316AD"/>
    <w:rsid w:val="00167472"/>
    <w:rsid w:val="00167F92"/>
    <w:rsid w:val="00173738"/>
    <w:rsid w:val="001907DD"/>
    <w:rsid w:val="001B79A3"/>
    <w:rsid w:val="001D1348"/>
    <w:rsid w:val="001D539C"/>
    <w:rsid w:val="001E21BE"/>
    <w:rsid w:val="002152A3"/>
    <w:rsid w:val="002209D7"/>
    <w:rsid w:val="00274ED4"/>
    <w:rsid w:val="002A215C"/>
    <w:rsid w:val="002F5A81"/>
    <w:rsid w:val="00333A80"/>
    <w:rsid w:val="003471E1"/>
    <w:rsid w:val="00364E95"/>
    <w:rsid w:val="00372875"/>
    <w:rsid w:val="003A1AA6"/>
    <w:rsid w:val="003B1E80"/>
    <w:rsid w:val="003B66E8"/>
    <w:rsid w:val="003E3DF2"/>
    <w:rsid w:val="004033F1"/>
    <w:rsid w:val="00414B0C"/>
    <w:rsid w:val="004257AC"/>
    <w:rsid w:val="0043711B"/>
    <w:rsid w:val="00447E5B"/>
    <w:rsid w:val="004B732E"/>
    <w:rsid w:val="004C321F"/>
    <w:rsid w:val="004D51F4"/>
    <w:rsid w:val="004D64E0"/>
    <w:rsid w:val="004D6F3D"/>
    <w:rsid w:val="0051210D"/>
    <w:rsid w:val="005136D2"/>
    <w:rsid w:val="00517A03"/>
    <w:rsid w:val="005A1072"/>
    <w:rsid w:val="005A3DD9"/>
    <w:rsid w:val="005B1DFC"/>
    <w:rsid w:val="005C0FCF"/>
    <w:rsid w:val="005C74FC"/>
    <w:rsid w:val="00601682"/>
    <w:rsid w:val="006333F7"/>
    <w:rsid w:val="00644741"/>
    <w:rsid w:val="0067343C"/>
    <w:rsid w:val="006A1A15"/>
    <w:rsid w:val="006A6FFE"/>
    <w:rsid w:val="006B1908"/>
    <w:rsid w:val="006C5A91"/>
    <w:rsid w:val="00707FF7"/>
    <w:rsid w:val="00716BBC"/>
    <w:rsid w:val="007321BC"/>
    <w:rsid w:val="007474B5"/>
    <w:rsid w:val="00760063"/>
    <w:rsid w:val="00775E4B"/>
    <w:rsid w:val="00793BE0"/>
    <w:rsid w:val="00793FE3"/>
    <w:rsid w:val="0079553B"/>
    <w:rsid w:val="007A40FE"/>
    <w:rsid w:val="007E1D07"/>
    <w:rsid w:val="00810105"/>
    <w:rsid w:val="008157E0"/>
    <w:rsid w:val="00854E1D"/>
    <w:rsid w:val="00887FA6"/>
    <w:rsid w:val="00895ACE"/>
    <w:rsid w:val="008C4397"/>
    <w:rsid w:val="008C465A"/>
    <w:rsid w:val="008E2965"/>
    <w:rsid w:val="008F2884"/>
    <w:rsid w:val="008F2C9B"/>
    <w:rsid w:val="008F7A43"/>
    <w:rsid w:val="009011FE"/>
    <w:rsid w:val="00923CD6"/>
    <w:rsid w:val="00930518"/>
    <w:rsid w:val="00935AA8"/>
    <w:rsid w:val="00954070"/>
    <w:rsid w:val="00957350"/>
    <w:rsid w:val="00971C9A"/>
    <w:rsid w:val="009D51FA"/>
    <w:rsid w:val="009F1E23"/>
    <w:rsid w:val="00A24D9F"/>
    <w:rsid w:val="00A33DFA"/>
    <w:rsid w:val="00A51537"/>
    <w:rsid w:val="00A5280F"/>
    <w:rsid w:val="00A60FC1"/>
    <w:rsid w:val="00A97C37"/>
    <w:rsid w:val="00AC37B5"/>
    <w:rsid w:val="00AD752F"/>
    <w:rsid w:val="00B27B41"/>
    <w:rsid w:val="00B34FB7"/>
    <w:rsid w:val="00B57809"/>
    <w:rsid w:val="00B6714D"/>
    <w:rsid w:val="00B8573E"/>
    <w:rsid w:val="00BB24C0"/>
    <w:rsid w:val="00C26F2E"/>
    <w:rsid w:val="00C45376"/>
    <w:rsid w:val="00C9028F"/>
    <w:rsid w:val="00CA0416"/>
    <w:rsid w:val="00CB1125"/>
    <w:rsid w:val="00CD042E"/>
    <w:rsid w:val="00CE7106"/>
    <w:rsid w:val="00CF2560"/>
    <w:rsid w:val="00CF5B46"/>
    <w:rsid w:val="00D46B68"/>
    <w:rsid w:val="00D51740"/>
    <w:rsid w:val="00D51950"/>
    <w:rsid w:val="00D542A5"/>
    <w:rsid w:val="00DC3D47"/>
    <w:rsid w:val="00DD77DA"/>
    <w:rsid w:val="00DF5EE5"/>
    <w:rsid w:val="00E06C61"/>
    <w:rsid w:val="00E07E73"/>
    <w:rsid w:val="00E13DB3"/>
    <w:rsid w:val="00E2408B"/>
    <w:rsid w:val="00E30DFA"/>
    <w:rsid w:val="00E72AE1"/>
    <w:rsid w:val="00E74779"/>
    <w:rsid w:val="00E77262"/>
    <w:rsid w:val="00E91FD4"/>
    <w:rsid w:val="00EC7A8C"/>
    <w:rsid w:val="00ED6A7A"/>
    <w:rsid w:val="00F0498B"/>
    <w:rsid w:val="00F07E5D"/>
    <w:rsid w:val="00F346CE"/>
    <w:rsid w:val="00F34F98"/>
    <w:rsid w:val="00F40540"/>
    <w:rsid w:val="00F451D8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B57809"/>
    <w:pPr>
      <w:ind w:left="720"/>
      <w:contextualSpacing/>
    </w:pPr>
  </w:style>
  <w:style w:type="character" w:styleId="FollowedHyperlink">
    <w:name w:val="FollowedHyperlink"/>
    <w:basedOn w:val="DefaultParagraphFont"/>
    <w:rsid w:val="00447E5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91F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1FD4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B57809"/>
    <w:pPr>
      <w:ind w:left="720"/>
      <w:contextualSpacing/>
    </w:pPr>
  </w:style>
  <w:style w:type="character" w:styleId="FollowedHyperlink">
    <w:name w:val="FollowedHyperlink"/>
    <w:basedOn w:val="DefaultParagraphFont"/>
    <w:rsid w:val="00447E5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91F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1FD4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meetingdoc.asp?lang=en&amp;parent=T09-SG15-R-0027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bsg15@itu.i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7795-6860-4C8E-A4A2-E5647579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1890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schiffer</dc:creator>
  <cp:lastModifiedBy>Barbier, Marie-Claire</cp:lastModifiedBy>
  <cp:revision>11</cp:revision>
  <cp:lastPrinted>2012-02-02T11:08:00Z</cp:lastPrinted>
  <dcterms:created xsi:type="dcterms:W3CDTF">2012-02-02T12:58:00Z</dcterms:created>
  <dcterms:modified xsi:type="dcterms:W3CDTF">2012-02-02T14:23:00Z</dcterms:modified>
</cp:coreProperties>
</file>