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D672EF" w:rsidTr="00303D62">
        <w:trPr>
          <w:cantSplit/>
        </w:trPr>
        <w:tc>
          <w:tcPr>
            <w:tcW w:w="6426" w:type="dxa"/>
            <w:vAlign w:val="center"/>
          </w:tcPr>
          <w:p w:rsidR="00C34772" w:rsidRPr="00D672EF" w:rsidRDefault="00C34772" w:rsidP="00303D62">
            <w:pPr>
              <w:tabs>
                <w:tab w:val="right" w:pos="8732"/>
              </w:tabs>
              <w:spacing w:before="0"/>
              <w:rPr>
                <w:rFonts w:ascii="Verdana" w:hAnsi="Verdana"/>
                <w:b/>
                <w:bCs/>
                <w:color w:val="FFFFFF"/>
                <w:sz w:val="26"/>
                <w:szCs w:val="26"/>
              </w:rPr>
            </w:pPr>
            <w:bookmarkStart w:id="0" w:name="_GoBack"/>
            <w:bookmarkEnd w:id="0"/>
            <w:r w:rsidRPr="00D672EF">
              <w:rPr>
                <w:rFonts w:ascii="Verdana" w:hAnsi="Verdana"/>
                <w:b/>
                <w:bCs/>
                <w:sz w:val="26"/>
                <w:szCs w:val="26"/>
              </w:rPr>
              <w:t>Oficina de Normalización</w:t>
            </w:r>
            <w:r w:rsidRPr="00D672EF">
              <w:rPr>
                <w:rFonts w:ascii="Verdana" w:hAnsi="Verdana"/>
                <w:b/>
                <w:bCs/>
                <w:sz w:val="26"/>
                <w:szCs w:val="26"/>
              </w:rPr>
              <w:br/>
              <w:t>de las Telecomunicaciones</w:t>
            </w:r>
          </w:p>
        </w:tc>
        <w:tc>
          <w:tcPr>
            <w:tcW w:w="3355" w:type="dxa"/>
            <w:vAlign w:val="center"/>
          </w:tcPr>
          <w:p w:rsidR="00C34772" w:rsidRPr="00D672EF" w:rsidRDefault="00C34772" w:rsidP="00303D62">
            <w:pPr>
              <w:spacing w:before="0"/>
              <w:jc w:val="right"/>
              <w:rPr>
                <w:rFonts w:ascii="Verdana" w:hAnsi="Verdana"/>
                <w:color w:val="FFFFFF"/>
                <w:sz w:val="26"/>
                <w:szCs w:val="26"/>
              </w:rPr>
            </w:pPr>
            <w:r w:rsidRPr="00D672EF">
              <w:rPr>
                <w:rFonts w:ascii="Verdana" w:hAnsi="Verdana"/>
                <w:b/>
                <w:bCs/>
                <w:noProof/>
                <w:color w:val="FFFFFF"/>
                <w:sz w:val="26"/>
                <w:szCs w:val="24"/>
                <w:lang w:val="en-US" w:eastAsia="zh-CN"/>
              </w:rPr>
              <w:drawing>
                <wp:inline distT="0" distB="0" distL="0" distR="0" wp14:anchorId="12872F6E" wp14:editId="673352FE">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D672EF" w:rsidTr="00303D62">
        <w:trPr>
          <w:cantSplit/>
        </w:trPr>
        <w:tc>
          <w:tcPr>
            <w:tcW w:w="6426" w:type="dxa"/>
            <w:vAlign w:val="center"/>
          </w:tcPr>
          <w:p w:rsidR="00C34772" w:rsidRPr="00D672EF" w:rsidRDefault="00C34772" w:rsidP="00303D62">
            <w:pPr>
              <w:tabs>
                <w:tab w:val="right" w:pos="8732"/>
              </w:tabs>
              <w:spacing w:before="0"/>
              <w:rPr>
                <w:rFonts w:ascii="Verdana" w:hAnsi="Verdana"/>
                <w:b/>
                <w:bCs/>
                <w:iCs/>
                <w:sz w:val="18"/>
                <w:szCs w:val="18"/>
              </w:rPr>
            </w:pPr>
          </w:p>
        </w:tc>
        <w:tc>
          <w:tcPr>
            <w:tcW w:w="3355" w:type="dxa"/>
            <w:vAlign w:val="center"/>
          </w:tcPr>
          <w:p w:rsidR="00C34772" w:rsidRPr="00D672EF" w:rsidRDefault="00C34772" w:rsidP="00303D62">
            <w:pPr>
              <w:spacing w:before="0"/>
              <w:ind w:left="993" w:hanging="993"/>
              <w:jc w:val="right"/>
              <w:rPr>
                <w:rFonts w:ascii="Verdana" w:hAnsi="Verdana"/>
                <w:sz w:val="18"/>
                <w:szCs w:val="18"/>
              </w:rPr>
            </w:pPr>
          </w:p>
        </w:tc>
      </w:tr>
    </w:tbl>
    <w:p w:rsidR="00C34772" w:rsidRPr="00D672EF" w:rsidRDefault="00C34772" w:rsidP="00B5346E">
      <w:pPr>
        <w:tabs>
          <w:tab w:val="clear" w:pos="794"/>
          <w:tab w:val="clear" w:pos="1191"/>
          <w:tab w:val="clear" w:pos="1588"/>
          <w:tab w:val="clear" w:pos="1985"/>
          <w:tab w:val="left" w:pos="4962"/>
        </w:tabs>
        <w:spacing w:before="80"/>
      </w:pPr>
    </w:p>
    <w:p w:rsidR="00C34772" w:rsidRPr="00D672EF" w:rsidRDefault="00C34772" w:rsidP="001E5E88">
      <w:pPr>
        <w:ind w:firstLine="4395"/>
      </w:pPr>
      <w:r w:rsidRPr="00D672EF">
        <w:tab/>
        <w:t xml:space="preserve">Ginebra, </w:t>
      </w:r>
      <w:r w:rsidR="005D359E" w:rsidRPr="00D672EF">
        <w:t>30</w:t>
      </w:r>
      <w:r w:rsidR="0090741C" w:rsidRPr="00D672EF">
        <w:t xml:space="preserve"> de </w:t>
      </w:r>
      <w:r w:rsidR="005D359E" w:rsidRPr="00D672EF">
        <w:t>enero</w:t>
      </w:r>
      <w:r w:rsidR="0090741C" w:rsidRPr="00D672EF">
        <w:t xml:space="preserve"> de 201</w:t>
      </w:r>
      <w:r w:rsidR="005D359E" w:rsidRPr="00D672EF">
        <w:t>2</w:t>
      </w:r>
    </w:p>
    <w:p w:rsidR="00C34772" w:rsidRPr="00D672EF"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C34772" w:rsidRPr="00D672EF" w:rsidTr="00303D62">
        <w:trPr>
          <w:cantSplit/>
          <w:trHeight w:val="340"/>
        </w:trPr>
        <w:tc>
          <w:tcPr>
            <w:tcW w:w="993" w:type="dxa"/>
          </w:tcPr>
          <w:p w:rsidR="00C34772" w:rsidRPr="00D672EF" w:rsidRDefault="00C34772" w:rsidP="00303D62">
            <w:pPr>
              <w:tabs>
                <w:tab w:val="left" w:pos="4111"/>
              </w:tabs>
              <w:spacing w:before="10"/>
              <w:ind w:left="57"/>
              <w:rPr>
                <w:sz w:val="22"/>
              </w:rPr>
            </w:pPr>
            <w:r w:rsidRPr="00D672EF">
              <w:rPr>
                <w:sz w:val="22"/>
              </w:rPr>
              <w:t>Ref.:</w:t>
            </w:r>
          </w:p>
          <w:p w:rsidR="00C34772" w:rsidRPr="00D672EF" w:rsidRDefault="00C34772" w:rsidP="00303D62">
            <w:pPr>
              <w:tabs>
                <w:tab w:val="left" w:pos="4111"/>
              </w:tabs>
              <w:spacing w:before="10"/>
              <w:ind w:left="57"/>
              <w:rPr>
                <w:sz w:val="22"/>
              </w:rPr>
            </w:pPr>
          </w:p>
          <w:p w:rsidR="00C34772" w:rsidRPr="00D672EF" w:rsidRDefault="00C34772" w:rsidP="00303D62">
            <w:pPr>
              <w:tabs>
                <w:tab w:val="left" w:pos="4111"/>
              </w:tabs>
              <w:spacing w:before="10"/>
              <w:ind w:left="57"/>
              <w:rPr>
                <w:sz w:val="22"/>
              </w:rPr>
            </w:pPr>
          </w:p>
          <w:p w:rsidR="00B03FB6" w:rsidRPr="00D672EF" w:rsidRDefault="00B03FB6" w:rsidP="00303D62">
            <w:pPr>
              <w:tabs>
                <w:tab w:val="left" w:pos="4111"/>
              </w:tabs>
              <w:spacing w:before="10"/>
              <w:ind w:left="57"/>
              <w:rPr>
                <w:sz w:val="22"/>
              </w:rPr>
            </w:pPr>
            <w:r w:rsidRPr="00D672EF">
              <w:rPr>
                <w:sz w:val="22"/>
              </w:rPr>
              <w:t>Tel.:</w:t>
            </w:r>
            <w:r w:rsidRPr="00D672EF">
              <w:rPr>
                <w:sz w:val="22"/>
              </w:rPr>
              <w:br/>
              <w:t>Fax:</w:t>
            </w:r>
          </w:p>
          <w:p w:rsidR="00C34772" w:rsidRPr="00D672EF" w:rsidRDefault="00C34772" w:rsidP="002F0711">
            <w:pPr>
              <w:tabs>
                <w:tab w:val="left" w:pos="4111"/>
              </w:tabs>
              <w:spacing w:before="80"/>
              <w:ind w:left="57"/>
              <w:rPr>
                <w:sz w:val="22"/>
              </w:rPr>
            </w:pPr>
          </w:p>
        </w:tc>
        <w:tc>
          <w:tcPr>
            <w:tcW w:w="3884" w:type="dxa"/>
          </w:tcPr>
          <w:p w:rsidR="00C34772" w:rsidRPr="00D672EF" w:rsidRDefault="00C34772" w:rsidP="005D359E">
            <w:pPr>
              <w:tabs>
                <w:tab w:val="left" w:pos="4111"/>
              </w:tabs>
              <w:spacing w:before="0"/>
              <w:ind w:left="57"/>
              <w:rPr>
                <w:b/>
              </w:rPr>
            </w:pPr>
            <w:r w:rsidRPr="00D672EF">
              <w:rPr>
                <w:b/>
              </w:rPr>
              <w:t xml:space="preserve">Circular TSB </w:t>
            </w:r>
            <w:r w:rsidR="005D359E" w:rsidRPr="00D672EF">
              <w:rPr>
                <w:b/>
              </w:rPr>
              <w:t>255</w:t>
            </w:r>
          </w:p>
          <w:p w:rsidR="00C34772" w:rsidRPr="00D672EF" w:rsidRDefault="00C34772" w:rsidP="00303D62">
            <w:pPr>
              <w:tabs>
                <w:tab w:val="left" w:pos="4111"/>
              </w:tabs>
              <w:spacing w:before="0"/>
              <w:ind w:left="57"/>
            </w:pPr>
          </w:p>
          <w:p w:rsidR="00B03FB6" w:rsidRPr="00D672EF" w:rsidRDefault="00B03FB6" w:rsidP="00303D62">
            <w:pPr>
              <w:tabs>
                <w:tab w:val="left" w:pos="4111"/>
              </w:tabs>
              <w:spacing w:before="0"/>
              <w:ind w:left="57"/>
            </w:pPr>
          </w:p>
          <w:p w:rsidR="00B03FB6" w:rsidRPr="00D672EF" w:rsidRDefault="00B03FB6" w:rsidP="005D359E">
            <w:pPr>
              <w:tabs>
                <w:tab w:val="left" w:pos="4111"/>
              </w:tabs>
              <w:spacing w:before="0"/>
              <w:ind w:left="57"/>
            </w:pPr>
            <w:r w:rsidRPr="00D672EF">
              <w:t xml:space="preserve">+41 22 730 </w:t>
            </w:r>
            <w:r w:rsidR="005D359E" w:rsidRPr="00D672EF">
              <w:t>6828</w:t>
            </w:r>
            <w:r w:rsidRPr="00D672EF">
              <w:br/>
              <w:t>+41 22 730 5853</w:t>
            </w:r>
          </w:p>
          <w:p w:rsidR="00C34772" w:rsidRPr="00D672EF" w:rsidRDefault="00C34772" w:rsidP="0090741C">
            <w:pPr>
              <w:tabs>
                <w:tab w:val="left" w:pos="4111"/>
              </w:tabs>
              <w:spacing w:before="0"/>
              <w:ind w:left="57"/>
            </w:pPr>
          </w:p>
        </w:tc>
        <w:tc>
          <w:tcPr>
            <w:tcW w:w="5329" w:type="dxa"/>
          </w:tcPr>
          <w:p w:rsidR="00DC10CC" w:rsidRPr="00D672EF" w:rsidRDefault="00C34772" w:rsidP="001E5E88">
            <w:pPr>
              <w:pStyle w:val="NormalBefore0pt"/>
              <w:rPr>
                <w:lang w:val="es-ES_tradnl"/>
              </w:rPr>
            </w:pPr>
            <w:bookmarkStart w:id="1" w:name="Addressee_S"/>
            <w:bookmarkEnd w:id="1"/>
            <w:r w:rsidRPr="00D672EF">
              <w:rPr>
                <w:lang w:val="es-ES_tradnl"/>
              </w:rPr>
              <w:t>-</w:t>
            </w:r>
            <w:r w:rsidRPr="00D672EF">
              <w:rPr>
                <w:lang w:val="es-ES_tradnl"/>
              </w:rPr>
              <w:tab/>
            </w:r>
            <w:r w:rsidR="0090741C" w:rsidRPr="00D672EF">
              <w:rPr>
                <w:lang w:val="es-ES_tradnl"/>
              </w:rPr>
              <w:t xml:space="preserve">A las Administraciones de los Estados Miembros </w:t>
            </w:r>
            <w:r w:rsidR="00C04CE4">
              <w:rPr>
                <w:lang w:val="es-ES_tradnl"/>
              </w:rPr>
              <w:br/>
            </w:r>
            <w:r w:rsidR="0090741C" w:rsidRPr="00D672EF">
              <w:rPr>
                <w:lang w:val="es-ES_tradnl"/>
              </w:rPr>
              <w:t>de la Unión</w:t>
            </w:r>
            <w:r w:rsidR="00B03FB6" w:rsidRPr="00D672EF">
              <w:rPr>
                <w:lang w:val="es-ES_tradnl"/>
              </w:rPr>
              <w:t>;</w:t>
            </w:r>
          </w:p>
          <w:p w:rsidR="0081715C" w:rsidRPr="00D672EF" w:rsidRDefault="001E5E88" w:rsidP="0081715C">
            <w:pPr>
              <w:tabs>
                <w:tab w:val="clear" w:pos="794"/>
                <w:tab w:val="clear" w:pos="1191"/>
                <w:tab w:val="clear" w:pos="1588"/>
                <w:tab w:val="clear" w:pos="1985"/>
                <w:tab w:val="left" w:pos="284"/>
              </w:tabs>
              <w:spacing w:before="0"/>
              <w:ind w:left="284" w:hanging="284"/>
            </w:pPr>
            <w:r w:rsidRPr="00D672EF">
              <w:t>-</w:t>
            </w:r>
            <w:r w:rsidR="0081715C" w:rsidRPr="00D672EF">
              <w:tab/>
              <w:t>A los Miembros del Sector UIT-T;</w:t>
            </w:r>
          </w:p>
          <w:p w:rsidR="0081715C" w:rsidRPr="00D672EF" w:rsidRDefault="001E5E88" w:rsidP="001E5E88">
            <w:pPr>
              <w:tabs>
                <w:tab w:val="clear" w:pos="794"/>
                <w:tab w:val="clear" w:pos="1191"/>
                <w:tab w:val="clear" w:pos="1588"/>
                <w:tab w:val="clear" w:pos="1985"/>
                <w:tab w:val="left" w:pos="284"/>
              </w:tabs>
              <w:spacing w:before="0"/>
              <w:ind w:left="284" w:hanging="491"/>
            </w:pPr>
            <w:r w:rsidRPr="00D672EF">
              <w:t>-</w:t>
            </w:r>
            <w:r w:rsidR="0081715C" w:rsidRPr="00D672EF">
              <w:tab/>
              <w:t>A los Asociados del UIT-T;</w:t>
            </w:r>
          </w:p>
          <w:p w:rsidR="0081715C" w:rsidRPr="00D672EF" w:rsidRDefault="001E5E88" w:rsidP="0081715C">
            <w:pPr>
              <w:tabs>
                <w:tab w:val="clear" w:pos="794"/>
                <w:tab w:val="clear" w:pos="1191"/>
                <w:tab w:val="clear" w:pos="1588"/>
                <w:tab w:val="clear" w:pos="1985"/>
                <w:tab w:val="left" w:pos="284"/>
              </w:tabs>
              <w:spacing w:before="0"/>
              <w:ind w:left="284" w:hanging="284"/>
            </w:pPr>
            <w:r w:rsidRPr="00D672EF">
              <w:t>-</w:t>
            </w:r>
            <w:r w:rsidR="0081715C" w:rsidRPr="00D672EF">
              <w:tab/>
              <w:t>A las Ins</w:t>
            </w:r>
            <w:r w:rsidR="008066A3">
              <w:t>tituciones Académicas del UIT</w:t>
            </w:r>
            <w:r w:rsidR="008066A3">
              <w:noBreakHyphen/>
              <w:t>T.</w:t>
            </w:r>
          </w:p>
          <w:p w:rsidR="0081715C" w:rsidRPr="00D672EF" w:rsidRDefault="0081715C" w:rsidP="0090741C">
            <w:pPr>
              <w:tabs>
                <w:tab w:val="clear" w:pos="794"/>
                <w:tab w:val="clear" w:pos="1191"/>
                <w:tab w:val="clear" w:pos="1588"/>
                <w:tab w:val="clear" w:pos="1985"/>
                <w:tab w:val="left" w:pos="284"/>
              </w:tabs>
              <w:spacing w:before="0"/>
              <w:ind w:left="284" w:hanging="284"/>
            </w:pPr>
          </w:p>
        </w:tc>
      </w:tr>
      <w:tr w:rsidR="00C34772" w:rsidRPr="00D672EF" w:rsidTr="00303D62">
        <w:trPr>
          <w:cantSplit/>
        </w:trPr>
        <w:tc>
          <w:tcPr>
            <w:tcW w:w="993" w:type="dxa"/>
          </w:tcPr>
          <w:p w:rsidR="00C34772" w:rsidRPr="00D672EF" w:rsidRDefault="0090741C" w:rsidP="00303D62">
            <w:pPr>
              <w:tabs>
                <w:tab w:val="left" w:pos="4111"/>
              </w:tabs>
              <w:spacing w:before="10"/>
              <w:ind w:left="57"/>
              <w:rPr>
                <w:sz w:val="22"/>
              </w:rPr>
            </w:pPr>
            <w:r w:rsidRPr="00D672EF">
              <w:rPr>
                <w:sz w:val="22"/>
              </w:rPr>
              <w:br/>
              <w:t>Correo-e:</w:t>
            </w:r>
          </w:p>
        </w:tc>
        <w:tc>
          <w:tcPr>
            <w:tcW w:w="3884" w:type="dxa"/>
          </w:tcPr>
          <w:p w:rsidR="00C34772" w:rsidRPr="00D672EF" w:rsidRDefault="0090741C" w:rsidP="00B03FB6">
            <w:pPr>
              <w:tabs>
                <w:tab w:val="left" w:pos="4111"/>
              </w:tabs>
              <w:spacing w:before="0"/>
              <w:ind w:left="57"/>
            </w:pPr>
            <w:r w:rsidRPr="00D672EF">
              <w:br/>
            </w:r>
            <w:hyperlink r:id="rId10" w:history="1">
              <w:r w:rsidR="0081715C" w:rsidRPr="00D672EF">
                <w:rPr>
                  <w:rStyle w:val="Hyperlink"/>
                </w:rPr>
                <w:t>tsbdir@itu.int</w:t>
              </w:r>
            </w:hyperlink>
          </w:p>
        </w:tc>
        <w:tc>
          <w:tcPr>
            <w:tcW w:w="5329" w:type="dxa"/>
          </w:tcPr>
          <w:p w:rsidR="00C34772" w:rsidRPr="00D672EF" w:rsidRDefault="00C34772" w:rsidP="00B5346E">
            <w:pPr>
              <w:tabs>
                <w:tab w:val="left" w:pos="4111"/>
              </w:tabs>
              <w:rPr>
                <w:b/>
                <w:bCs/>
              </w:rPr>
            </w:pPr>
            <w:r w:rsidRPr="00D672EF">
              <w:rPr>
                <w:b/>
                <w:bCs/>
              </w:rPr>
              <w:t>Copia:</w:t>
            </w:r>
          </w:p>
          <w:p w:rsidR="0090741C" w:rsidRPr="00D672EF" w:rsidRDefault="001E5E88" w:rsidP="0081715C">
            <w:pPr>
              <w:tabs>
                <w:tab w:val="clear" w:pos="794"/>
                <w:tab w:val="clear" w:pos="1191"/>
                <w:tab w:val="clear" w:pos="1588"/>
                <w:tab w:val="clear" w:pos="1985"/>
                <w:tab w:val="left" w:pos="284"/>
              </w:tabs>
              <w:spacing w:before="0"/>
              <w:ind w:left="284" w:hanging="284"/>
            </w:pPr>
            <w:r w:rsidRPr="00D672EF">
              <w:t>-</w:t>
            </w:r>
            <w:r w:rsidR="0090741C" w:rsidRPr="00D672EF">
              <w:tab/>
              <w:t>A</w:t>
            </w:r>
            <w:r w:rsidR="0081715C" w:rsidRPr="00D672EF">
              <w:t xml:space="preserve"> </w:t>
            </w:r>
            <w:r w:rsidR="0090741C" w:rsidRPr="00D672EF">
              <w:t>l</w:t>
            </w:r>
            <w:r w:rsidR="0081715C" w:rsidRPr="00D672EF">
              <w:t>os</w:t>
            </w:r>
            <w:r w:rsidR="0090741C" w:rsidRPr="00D672EF">
              <w:t xml:space="preserve"> Presidente</w:t>
            </w:r>
            <w:r w:rsidR="0081715C" w:rsidRPr="00D672EF">
              <w:t>s</w:t>
            </w:r>
            <w:r w:rsidR="0090741C" w:rsidRPr="00D672EF">
              <w:t xml:space="preserve"> y Vicepresidentes de la</w:t>
            </w:r>
            <w:r w:rsidR="0081715C" w:rsidRPr="00D672EF">
              <w:t>s</w:t>
            </w:r>
            <w:r w:rsidR="0090741C" w:rsidRPr="00D672EF">
              <w:t xml:space="preserve"> Comisi</w:t>
            </w:r>
            <w:r w:rsidR="0081715C" w:rsidRPr="00D672EF">
              <w:t>o</w:t>
            </w:r>
            <w:r w:rsidR="0090741C" w:rsidRPr="00D672EF">
              <w:t>n</w:t>
            </w:r>
            <w:r w:rsidR="0081715C" w:rsidRPr="00D672EF">
              <w:t>es</w:t>
            </w:r>
            <w:r w:rsidR="0090741C" w:rsidRPr="00D672EF">
              <w:t xml:space="preserve"> de Estudio </w:t>
            </w:r>
            <w:r w:rsidR="0081715C" w:rsidRPr="00D672EF">
              <w:t>del UIT-T</w:t>
            </w:r>
            <w:r w:rsidR="0090741C" w:rsidRPr="00D672EF">
              <w:t>;</w:t>
            </w:r>
          </w:p>
          <w:p w:rsidR="0081715C" w:rsidRPr="00D672EF" w:rsidRDefault="001E5E88" w:rsidP="0081715C">
            <w:pPr>
              <w:tabs>
                <w:tab w:val="clear" w:pos="794"/>
                <w:tab w:val="clear" w:pos="1191"/>
                <w:tab w:val="clear" w:pos="1588"/>
                <w:tab w:val="clear" w:pos="1985"/>
                <w:tab w:val="left" w:pos="284"/>
              </w:tabs>
              <w:spacing w:before="0"/>
              <w:ind w:left="284" w:hanging="284"/>
            </w:pPr>
            <w:r w:rsidRPr="00D672EF">
              <w:t>-</w:t>
            </w:r>
            <w:r w:rsidR="0081715C" w:rsidRPr="00D672EF">
              <w:tab/>
              <w:t>A los Presidentes y Vicepresidentes de los Grupos de Trabajo 5A y 5D del UIT-R;</w:t>
            </w:r>
          </w:p>
          <w:p w:rsidR="0090741C" w:rsidRPr="00D672EF" w:rsidRDefault="001E5E88" w:rsidP="0090741C">
            <w:pPr>
              <w:tabs>
                <w:tab w:val="clear" w:pos="794"/>
                <w:tab w:val="clear" w:pos="1191"/>
                <w:tab w:val="clear" w:pos="1588"/>
                <w:tab w:val="clear" w:pos="1985"/>
                <w:tab w:val="left" w:pos="284"/>
              </w:tabs>
              <w:spacing w:before="0"/>
              <w:ind w:left="284" w:hanging="284"/>
            </w:pPr>
            <w:r w:rsidRPr="00D672EF">
              <w:t>-</w:t>
            </w:r>
            <w:r w:rsidR="0090741C" w:rsidRPr="00D672EF">
              <w:tab/>
            </w:r>
            <w:r w:rsidR="0081715C" w:rsidRPr="00D672EF">
              <w:t>Al Director de la Oficina de Radiocomunicaciones</w:t>
            </w:r>
            <w:r w:rsidR="0090741C" w:rsidRPr="00D672EF">
              <w:t>;</w:t>
            </w:r>
          </w:p>
          <w:p w:rsidR="00C34772" w:rsidRPr="00D672EF" w:rsidRDefault="001E5E88" w:rsidP="00B70121">
            <w:pPr>
              <w:tabs>
                <w:tab w:val="clear" w:pos="794"/>
                <w:tab w:val="clear" w:pos="1191"/>
                <w:tab w:val="clear" w:pos="1588"/>
                <w:tab w:val="clear" w:pos="1985"/>
                <w:tab w:val="left" w:pos="284"/>
              </w:tabs>
              <w:spacing w:before="0"/>
              <w:ind w:left="284" w:hanging="284"/>
            </w:pPr>
            <w:r w:rsidRPr="00D672EF">
              <w:t>-</w:t>
            </w:r>
            <w:r w:rsidR="0090741C" w:rsidRPr="00D672EF">
              <w:tab/>
            </w:r>
            <w:r w:rsidR="008066A3">
              <w:t xml:space="preserve">A </w:t>
            </w:r>
            <w:r w:rsidR="0081715C" w:rsidRPr="00D672EF">
              <w:t>ISO TC 204, ISO TC 22, ARIB, ATIS, CCSA, ETSI, IEEE, ISACC, SAE, TIA, TTC, TTA</w:t>
            </w:r>
            <w:r w:rsidR="00B03FB6" w:rsidRPr="00D672EF">
              <w:t>.</w:t>
            </w:r>
          </w:p>
        </w:tc>
      </w:tr>
    </w:tbl>
    <w:p w:rsidR="00C34772" w:rsidRPr="00D672EF" w:rsidRDefault="00C34772" w:rsidP="00B5346E">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7116"/>
      </w:tblGrid>
      <w:tr w:rsidR="00C34772" w:rsidRPr="00D672EF" w:rsidTr="00303D62">
        <w:trPr>
          <w:cantSplit/>
        </w:trPr>
        <w:tc>
          <w:tcPr>
            <w:tcW w:w="822" w:type="dxa"/>
          </w:tcPr>
          <w:p w:rsidR="00C34772" w:rsidRPr="00D672EF" w:rsidRDefault="00C34772" w:rsidP="00303D62">
            <w:pPr>
              <w:tabs>
                <w:tab w:val="left" w:pos="4111"/>
              </w:tabs>
              <w:spacing w:before="10"/>
              <w:ind w:left="57"/>
              <w:rPr>
                <w:sz w:val="22"/>
              </w:rPr>
            </w:pPr>
            <w:r w:rsidRPr="00D672EF">
              <w:rPr>
                <w:sz w:val="22"/>
              </w:rPr>
              <w:t>Asunto:</w:t>
            </w:r>
          </w:p>
        </w:tc>
        <w:tc>
          <w:tcPr>
            <w:tcW w:w="7116" w:type="dxa"/>
          </w:tcPr>
          <w:p w:rsidR="00C34772" w:rsidRPr="00D672EF" w:rsidRDefault="00AC53AD" w:rsidP="00A66517">
            <w:pPr>
              <w:tabs>
                <w:tab w:val="clear" w:pos="794"/>
                <w:tab w:val="clear" w:pos="1191"/>
                <w:tab w:val="left" w:pos="304"/>
                <w:tab w:val="left" w:pos="4111"/>
              </w:tabs>
              <w:spacing w:before="0"/>
              <w:ind w:left="304" w:hanging="304"/>
              <w:rPr>
                <w:b/>
              </w:rPr>
            </w:pPr>
            <w:r w:rsidRPr="00D672EF">
              <w:rPr>
                <w:b/>
              </w:rPr>
              <w:tab/>
            </w:r>
            <w:r w:rsidR="0081715C" w:rsidRPr="00D672EF">
              <w:rPr>
                <w:b/>
              </w:rPr>
              <w:t>Reunión sobre Cooperación en materia de normas de comunicación en los STI</w:t>
            </w:r>
            <w:r w:rsidR="00A66517">
              <w:rPr>
                <w:b/>
              </w:rPr>
              <w:t xml:space="preserve"> </w:t>
            </w:r>
            <w:r w:rsidR="00A66517">
              <w:rPr>
                <w:b/>
              </w:rPr>
              <w:br/>
            </w:r>
            <w:r w:rsidR="005D359E" w:rsidRPr="00D672EF">
              <w:rPr>
                <w:b/>
              </w:rPr>
              <w:t>Troy, Michigan (Estados Unidos de América), 3 de abril de 2012</w:t>
            </w:r>
            <w:r w:rsidR="0081715C" w:rsidRPr="00D672EF">
              <w:rPr>
                <w:b/>
              </w:rPr>
              <w:t xml:space="preserve"> </w:t>
            </w:r>
          </w:p>
        </w:tc>
      </w:tr>
    </w:tbl>
    <w:p w:rsidR="00C34772" w:rsidRPr="00D672EF" w:rsidRDefault="00C34772" w:rsidP="00533EF5">
      <w:pPr>
        <w:pStyle w:val="Normalaftertitle"/>
      </w:pPr>
      <w:r w:rsidRPr="00D672EF">
        <w:t>Muy Señora mía/Muy Señor mío:</w:t>
      </w:r>
    </w:p>
    <w:p w:rsidR="00DC10CC" w:rsidRPr="00D672EF" w:rsidRDefault="00327398" w:rsidP="00533EF5">
      <w:r w:rsidRPr="00D672EF">
        <w:t xml:space="preserve">Me complace invitarle a </w:t>
      </w:r>
      <w:r w:rsidR="009F6058" w:rsidRPr="00D672EF">
        <w:t>la segunda</w:t>
      </w:r>
      <w:r w:rsidRPr="00D672EF">
        <w:t xml:space="preserve"> reunión sobre Cooperación en materia de normas de comunicación en los STI (Sistemas de Transporte Inteligentes), que tendrá lugar el </w:t>
      </w:r>
      <w:r w:rsidR="005D359E" w:rsidRPr="00D672EF">
        <w:t>martes</w:t>
      </w:r>
      <w:r w:rsidRPr="00D672EF">
        <w:t xml:space="preserve"> </w:t>
      </w:r>
      <w:r w:rsidR="005D359E" w:rsidRPr="00D672EF">
        <w:t>3</w:t>
      </w:r>
      <w:r w:rsidR="00B03FB6" w:rsidRPr="00D672EF">
        <w:t> </w:t>
      </w:r>
      <w:r w:rsidRPr="00D672EF">
        <w:t>de</w:t>
      </w:r>
      <w:r w:rsidR="00B03FB6" w:rsidRPr="00D672EF">
        <w:t> </w:t>
      </w:r>
      <w:r w:rsidR="005D359E" w:rsidRPr="00D672EF">
        <w:t>abril</w:t>
      </w:r>
      <w:r w:rsidRPr="00D672EF">
        <w:t xml:space="preserve"> de</w:t>
      </w:r>
      <w:r w:rsidR="008D4458" w:rsidRPr="00D672EF">
        <w:t> </w:t>
      </w:r>
      <w:r w:rsidRPr="00D672EF">
        <w:t>201</w:t>
      </w:r>
      <w:r w:rsidR="005D359E" w:rsidRPr="00D672EF">
        <w:t>2</w:t>
      </w:r>
      <w:r w:rsidRPr="00D672EF">
        <w:t xml:space="preserve"> en la</w:t>
      </w:r>
      <w:r w:rsidR="005D359E" w:rsidRPr="00D672EF">
        <w:t xml:space="preserve">s instalaciones de SAE </w:t>
      </w:r>
      <w:proofErr w:type="spellStart"/>
      <w:r w:rsidR="005D359E" w:rsidRPr="00D672EF">
        <w:t>Automotive</w:t>
      </w:r>
      <w:proofErr w:type="spellEnd"/>
      <w:r w:rsidR="005D359E" w:rsidRPr="00D672EF">
        <w:t xml:space="preserve"> de Troy, Michigan (Estados Unidos), por amable invitación de SAE International. Esta reunión se celebrará de manera coordinada con la cuarta reunión del Grupo Temático sobre distracción del conductor (4-5 de abril de 2012)</w:t>
      </w:r>
      <w:r w:rsidRPr="00D672EF">
        <w:t>.</w:t>
      </w:r>
    </w:p>
    <w:p w:rsidR="0090741C" w:rsidRPr="00D672EF" w:rsidRDefault="00327398" w:rsidP="00533EF5">
      <w:r w:rsidRPr="00D672EF">
        <w:t xml:space="preserve">El objetivo de esta Cooperación es </w:t>
      </w:r>
      <w:r w:rsidR="005D359E" w:rsidRPr="00D672EF">
        <w:t>facilitar</w:t>
      </w:r>
      <w:r w:rsidRPr="00D672EF">
        <w:t xml:space="preserve"> un foro </w:t>
      </w:r>
      <w:r w:rsidR="009F6058" w:rsidRPr="00D672EF">
        <w:t xml:space="preserve">reconocido a escala </w:t>
      </w:r>
      <w:r w:rsidR="005D359E" w:rsidRPr="00D672EF">
        <w:t xml:space="preserve">mundial </w:t>
      </w:r>
      <w:r w:rsidRPr="00D672EF">
        <w:t xml:space="preserve">para </w:t>
      </w:r>
      <w:r w:rsidR="005D359E" w:rsidRPr="00D672EF">
        <w:t xml:space="preserve">la </w:t>
      </w:r>
      <w:r w:rsidR="009F6058" w:rsidRPr="00D672EF">
        <w:t>preparación</w:t>
      </w:r>
      <w:r w:rsidRPr="00D672EF">
        <w:t xml:space="preserve">, </w:t>
      </w:r>
      <w:r w:rsidR="00B30734" w:rsidRPr="00D672EF">
        <w:t>lo antes</w:t>
      </w:r>
      <w:r w:rsidRPr="00D672EF">
        <w:t xml:space="preserve"> posible, </w:t>
      </w:r>
      <w:r w:rsidR="005D359E" w:rsidRPr="00D672EF">
        <w:t xml:space="preserve">de </w:t>
      </w:r>
      <w:r w:rsidRPr="00D672EF">
        <w:t>un conjunto de normas de comunicación en los STI</w:t>
      </w:r>
      <w:r w:rsidR="005D359E" w:rsidRPr="00D672EF">
        <w:t>,</w:t>
      </w:r>
      <w:r w:rsidRPr="00D672EF">
        <w:t xml:space="preserve"> de la máxima calidad</w:t>
      </w:r>
      <w:r w:rsidR="005D359E" w:rsidRPr="00D672EF">
        <w:t>,</w:t>
      </w:r>
      <w:r w:rsidRPr="00D672EF">
        <w:t xml:space="preserve"> </w:t>
      </w:r>
      <w:proofErr w:type="gramStart"/>
      <w:r w:rsidRPr="00D672EF">
        <w:t>aceptadas</w:t>
      </w:r>
      <w:proofErr w:type="gramEnd"/>
      <w:r w:rsidRPr="00D672EF">
        <w:t xml:space="preserve"> </w:t>
      </w:r>
      <w:r w:rsidR="005D359E" w:rsidRPr="00D672EF">
        <w:t xml:space="preserve">en el plano internacional </w:t>
      </w:r>
      <w:r w:rsidRPr="00D672EF">
        <w:t xml:space="preserve">y armonizadas a escala </w:t>
      </w:r>
      <w:r w:rsidR="00B30734" w:rsidRPr="00D672EF">
        <w:t>global</w:t>
      </w:r>
      <w:r w:rsidR="005D359E" w:rsidRPr="00D672EF">
        <w:t>, a fin de permitir la implantación rápida en el mercado mundial de productos y servicios de comunicación en los STI que sean plenamente compatibles</w:t>
      </w:r>
      <w:r w:rsidRPr="00D672EF">
        <w:t>.</w:t>
      </w:r>
    </w:p>
    <w:p w:rsidR="00327398" w:rsidRPr="00D672EF" w:rsidRDefault="00327398" w:rsidP="005D359E">
      <w:r w:rsidRPr="00D672EF">
        <w:t xml:space="preserve">La </w:t>
      </w:r>
      <w:r w:rsidR="005D359E" w:rsidRPr="00D672EF">
        <w:t xml:space="preserve">participación en la Cooperación </w:t>
      </w:r>
      <w:r w:rsidRPr="00D672EF">
        <w:t>está abierta a:</w:t>
      </w:r>
    </w:p>
    <w:p w:rsidR="00327398" w:rsidRPr="00D672EF" w:rsidRDefault="00327398" w:rsidP="00B30734">
      <w:pPr>
        <w:pStyle w:val="enumlev1"/>
      </w:pPr>
      <w:r w:rsidRPr="00D672EF">
        <w:t>–</w:t>
      </w:r>
      <w:r w:rsidRPr="00D672EF">
        <w:tab/>
        <w:t xml:space="preserve">representantes de </w:t>
      </w:r>
      <w:r w:rsidR="00B30734" w:rsidRPr="00D672EF">
        <w:t xml:space="preserve">los </w:t>
      </w:r>
      <w:r w:rsidRPr="00D672EF">
        <w:t xml:space="preserve">Estados Miembros de la UIT, </w:t>
      </w:r>
      <w:r w:rsidR="00B30734" w:rsidRPr="00D672EF">
        <w:t xml:space="preserve">de los </w:t>
      </w:r>
      <w:r w:rsidRPr="00D672EF">
        <w:t xml:space="preserve">Miembros de Sector, Asociados </w:t>
      </w:r>
      <w:r w:rsidR="00B30734" w:rsidRPr="00D672EF">
        <w:t>e</w:t>
      </w:r>
      <w:r w:rsidRPr="00D672EF">
        <w:t xml:space="preserve"> Instituciones Académicas, así como a cualquier persona procedente de un país que sea Miembro de la UIT y desee participar en esta labor;</w:t>
      </w:r>
    </w:p>
    <w:p w:rsidR="00327398" w:rsidRPr="00D672EF" w:rsidRDefault="00327398" w:rsidP="00B30734">
      <w:pPr>
        <w:pStyle w:val="enumlev1"/>
      </w:pPr>
      <w:r w:rsidRPr="00D672EF">
        <w:t>–</w:t>
      </w:r>
      <w:r w:rsidRPr="00D672EF">
        <w:tab/>
        <w:t xml:space="preserve">a cualquier persona perteneciente a </w:t>
      </w:r>
      <w:r w:rsidR="00855348" w:rsidRPr="00D672EF">
        <w:t xml:space="preserve">una organización de normalización </w:t>
      </w:r>
      <w:r w:rsidRPr="00D672EF">
        <w:t xml:space="preserve">nacional, regional o internacional que desee </w:t>
      </w:r>
      <w:r w:rsidR="00B30734" w:rsidRPr="00D672EF">
        <w:t>contribuir a</w:t>
      </w:r>
      <w:r w:rsidRPr="00D672EF">
        <w:t xml:space="preserve"> esta labor.</w:t>
      </w:r>
    </w:p>
    <w:p w:rsidR="00327398" w:rsidRPr="00D672EF" w:rsidRDefault="00327398" w:rsidP="0031749D">
      <w:r w:rsidRPr="00D672EF">
        <w:t xml:space="preserve">En particular, se </w:t>
      </w:r>
      <w:r w:rsidR="005D359E" w:rsidRPr="00D672EF">
        <w:t xml:space="preserve">alienta </w:t>
      </w:r>
      <w:r w:rsidRPr="00D672EF">
        <w:t xml:space="preserve">a las </w:t>
      </w:r>
      <w:r w:rsidR="00855348" w:rsidRPr="00D672EF">
        <w:t xml:space="preserve">organizaciones de normalización </w:t>
      </w:r>
      <w:r w:rsidR="005D359E" w:rsidRPr="00D672EF">
        <w:t xml:space="preserve">nacionales, regionales e internacionales </w:t>
      </w:r>
      <w:r w:rsidR="00B30734" w:rsidRPr="00D672EF">
        <w:t xml:space="preserve">a participar </w:t>
      </w:r>
      <w:r w:rsidR="005D359E" w:rsidRPr="00D672EF">
        <w:t>y solicit</w:t>
      </w:r>
      <w:r w:rsidR="00B30734" w:rsidRPr="00D672EF">
        <w:t>ar su incorporación</w:t>
      </w:r>
      <w:r w:rsidR="005D359E" w:rsidRPr="00D672EF">
        <w:t xml:space="preserve"> </w:t>
      </w:r>
      <w:r w:rsidRPr="00D672EF">
        <w:t xml:space="preserve">al Comité de Dirección </w:t>
      </w:r>
      <w:r w:rsidR="005D359E" w:rsidRPr="00D672EF">
        <w:t>de la</w:t>
      </w:r>
      <w:r w:rsidRPr="00D672EF">
        <w:t xml:space="preserve"> Cooperación.</w:t>
      </w:r>
    </w:p>
    <w:p w:rsidR="00327398" w:rsidRPr="00D672EF" w:rsidRDefault="005D359E" w:rsidP="00B30734">
      <w:r w:rsidRPr="00D672EF">
        <w:rPr>
          <w:rFonts w:asciiTheme="majorBidi" w:hAnsiTheme="majorBidi" w:cstheme="majorBidi"/>
          <w:szCs w:val="24"/>
        </w:rPr>
        <w:t>El</w:t>
      </w:r>
      <w:r w:rsidR="00327398" w:rsidRPr="00D672EF">
        <w:rPr>
          <w:rFonts w:asciiTheme="majorBidi" w:hAnsiTheme="majorBidi" w:cstheme="majorBidi"/>
          <w:szCs w:val="24"/>
        </w:rPr>
        <w:t xml:space="preserve"> Mandato</w:t>
      </w:r>
      <w:r w:rsidRPr="00D672EF">
        <w:rPr>
          <w:rFonts w:asciiTheme="majorBidi" w:hAnsiTheme="majorBidi" w:cstheme="majorBidi"/>
          <w:szCs w:val="24"/>
        </w:rPr>
        <w:t xml:space="preserve"> de la Cooperación se reproduce en la direcció</w:t>
      </w:r>
      <w:r w:rsidR="00C17004" w:rsidRPr="00D672EF">
        <w:rPr>
          <w:rFonts w:asciiTheme="majorBidi" w:hAnsiTheme="majorBidi" w:cstheme="majorBidi"/>
          <w:szCs w:val="24"/>
        </w:rPr>
        <w:t xml:space="preserve">n </w:t>
      </w:r>
      <w:hyperlink r:id="rId11" w:history="1">
        <w:r w:rsidR="00C17004" w:rsidRPr="00D672EF">
          <w:rPr>
            <w:rStyle w:val="Hyperlink"/>
            <w:rFonts w:asciiTheme="majorBidi" w:hAnsiTheme="majorBidi" w:cstheme="majorBidi"/>
            <w:szCs w:val="24"/>
          </w:rPr>
          <w:t>http://itu.int/en/ITU-T/extcoop/cits/</w:t>
        </w:r>
      </w:hyperlink>
      <w:r w:rsidRPr="00D672EF">
        <w:rPr>
          <w:rFonts w:asciiTheme="majorBidi" w:hAnsiTheme="majorBidi" w:cstheme="majorBidi"/>
          <w:szCs w:val="24"/>
        </w:rPr>
        <w:t xml:space="preserve">. La reunión tratará los temas de trabajo que figuran en el </w:t>
      </w:r>
      <w:r w:rsidRPr="00D672EF">
        <w:rPr>
          <w:rFonts w:asciiTheme="majorBidi" w:hAnsiTheme="majorBidi" w:cstheme="majorBidi"/>
          <w:b/>
          <w:bCs/>
          <w:szCs w:val="24"/>
        </w:rPr>
        <w:t>Anexo 1</w:t>
      </w:r>
      <w:r w:rsidRPr="00D672EF">
        <w:rPr>
          <w:rFonts w:asciiTheme="majorBidi" w:hAnsiTheme="majorBidi" w:cstheme="majorBidi"/>
          <w:szCs w:val="24"/>
        </w:rPr>
        <w:t xml:space="preserve">. </w:t>
      </w:r>
    </w:p>
    <w:p w:rsidR="00C17004" w:rsidRPr="00D672EF" w:rsidRDefault="00327398" w:rsidP="008610EE">
      <w:pPr>
        <w:rPr>
          <w:rFonts w:eastAsia="Malgun Gothic"/>
        </w:rPr>
      </w:pPr>
      <w:r w:rsidRPr="00D672EF">
        <w:rPr>
          <w:rFonts w:eastAsia="Malgun Gothic"/>
        </w:rPr>
        <w:lastRenderedPageBreak/>
        <w:t xml:space="preserve">La reunión sobre Cooperación dará comienzo el </w:t>
      </w:r>
      <w:r w:rsidR="00C17004" w:rsidRPr="00D672EF">
        <w:rPr>
          <w:rFonts w:eastAsia="Malgun Gothic"/>
        </w:rPr>
        <w:t>3</w:t>
      </w:r>
      <w:r w:rsidRPr="00D672EF">
        <w:rPr>
          <w:rFonts w:eastAsia="Malgun Gothic"/>
        </w:rPr>
        <w:t xml:space="preserve"> de </w:t>
      </w:r>
      <w:r w:rsidR="00C17004" w:rsidRPr="00D672EF">
        <w:rPr>
          <w:rFonts w:eastAsia="Malgun Gothic"/>
        </w:rPr>
        <w:t>abril</w:t>
      </w:r>
      <w:r w:rsidRPr="00D672EF">
        <w:rPr>
          <w:rFonts w:eastAsia="Malgun Gothic"/>
        </w:rPr>
        <w:t xml:space="preserve"> de 201</w:t>
      </w:r>
      <w:r w:rsidR="00C17004" w:rsidRPr="00D672EF">
        <w:rPr>
          <w:rFonts w:eastAsia="Malgun Gothic"/>
        </w:rPr>
        <w:t>2</w:t>
      </w:r>
      <w:r w:rsidRPr="00D672EF">
        <w:rPr>
          <w:rFonts w:eastAsia="Malgun Gothic"/>
        </w:rPr>
        <w:t xml:space="preserve"> a las </w:t>
      </w:r>
      <w:r w:rsidR="002F07C3" w:rsidRPr="00D672EF">
        <w:rPr>
          <w:rFonts w:eastAsia="Malgun Gothic"/>
        </w:rPr>
        <w:t>0</w:t>
      </w:r>
      <w:r w:rsidRPr="00D672EF">
        <w:rPr>
          <w:rFonts w:eastAsia="Malgun Gothic"/>
        </w:rPr>
        <w:t>9.</w:t>
      </w:r>
      <w:r w:rsidR="00C17004" w:rsidRPr="00D672EF">
        <w:rPr>
          <w:rFonts w:eastAsia="Malgun Gothic"/>
        </w:rPr>
        <w:t>0</w:t>
      </w:r>
      <w:r w:rsidRPr="00D672EF">
        <w:rPr>
          <w:rFonts w:eastAsia="Malgun Gothic"/>
        </w:rPr>
        <w:t xml:space="preserve">0 horas. </w:t>
      </w:r>
      <w:r w:rsidR="00C17004" w:rsidRPr="00D672EF">
        <w:rPr>
          <w:rFonts w:eastAsia="Malgun Gothic"/>
        </w:rPr>
        <w:t>No se requiere ninguna tasa de inscripción para participar en esta reunión.</w:t>
      </w:r>
    </w:p>
    <w:p w:rsidR="00B30734" w:rsidRPr="00D672EF" w:rsidRDefault="00B30734" w:rsidP="008D0C63">
      <w:pPr>
        <w:rPr>
          <w:rFonts w:eastAsia="Malgun Gothic"/>
        </w:rPr>
      </w:pPr>
      <w:r w:rsidRPr="00D672EF">
        <w:rPr>
          <w:rFonts w:eastAsia="Malgun Gothic"/>
        </w:rPr>
        <w:t>Las discusiones sólo se celebrarán en inglés.</w:t>
      </w:r>
    </w:p>
    <w:p w:rsidR="00C17004" w:rsidRPr="00D672EF" w:rsidRDefault="00C17004" w:rsidP="00C17004">
      <w:pPr>
        <w:rPr>
          <w:b/>
          <w:bCs/>
          <w:lang w:eastAsia="ja-JP"/>
        </w:rPr>
      </w:pPr>
      <w:r w:rsidRPr="00D672EF">
        <w:rPr>
          <w:b/>
          <w:bCs/>
          <w:lang w:eastAsia="ja-JP"/>
        </w:rPr>
        <w:t>Inscripción</w:t>
      </w:r>
      <w:r w:rsidRPr="00D672EF">
        <w:rPr>
          <w:lang w:eastAsia="ja-JP"/>
        </w:rPr>
        <w:t xml:space="preserve">: Para que la </w:t>
      </w:r>
      <w:r w:rsidRPr="00D672EF">
        <w:rPr>
          <w:rFonts w:eastAsia="Malgun Gothic"/>
        </w:rPr>
        <w:t xml:space="preserve">TSB pueda tomar las medidas necesarias relativas a la organización de la reunión, rogamos se inscriba para la </w:t>
      </w:r>
      <w:r w:rsidRPr="00D672EF">
        <w:rPr>
          <w:rFonts w:eastAsia="Malgun Gothic"/>
          <w:b/>
          <w:bCs/>
        </w:rPr>
        <w:t>reunión sobre Cooperación en materia de normas de comunicación en los STI (3 de abril de 2012)</w:t>
      </w:r>
      <w:r w:rsidRPr="00D672EF">
        <w:rPr>
          <w:rFonts w:eastAsia="Malgun Gothic"/>
        </w:rPr>
        <w:t xml:space="preserve"> utilizando el formulario en línea que puede encontrar en</w:t>
      </w:r>
      <w:r w:rsidRPr="00D672EF">
        <w:rPr>
          <w:lang w:eastAsia="ja-JP"/>
        </w:rPr>
        <w:t xml:space="preserve">: </w:t>
      </w:r>
      <w:hyperlink r:id="rId12" w:history="1">
        <w:r w:rsidRPr="00D672EF">
          <w:rPr>
            <w:rStyle w:val="Hyperlink"/>
          </w:rPr>
          <w:t>http://www.itu.int/reg/tmisc/3000355</w:t>
        </w:r>
      </w:hyperlink>
      <w:r w:rsidRPr="00D672EF">
        <w:rPr>
          <w:rFonts w:eastAsia="Malgun Gothic"/>
        </w:rPr>
        <w:t>.</w:t>
      </w:r>
    </w:p>
    <w:p w:rsidR="00C17004" w:rsidRPr="00D672EF" w:rsidRDefault="00C17004" w:rsidP="005367FD">
      <w:pPr>
        <w:rPr>
          <w:rFonts w:eastAsia="Malgun Gothic"/>
        </w:rPr>
      </w:pPr>
      <w:r w:rsidRPr="00D672EF">
        <w:rPr>
          <w:rFonts w:eastAsia="Malgun Gothic"/>
          <w:b/>
          <w:bCs/>
        </w:rPr>
        <w:t>Docume</w:t>
      </w:r>
      <w:r w:rsidR="001D587A" w:rsidRPr="00D672EF">
        <w:rPr>
          <w:rFonts w:eastAsia="Malgun Gothic"/>
          <w:b/>
          <w:bCs/>
        </w:rPr>
        <w:t>n</w:t>
      </w:r>
      <w:r w:rsidRPr="00D672EF">
        <w:rPr>
          <w:rFonts w:eastAsia="Malgun Gothic"/>
          <w:b/>
          <w:bCs/>
        </w:rPr>
        <w:t>tos para la reunión</w:t>
      </w:r>
      <w:r w:rsidRPr="00D672EF">
        <w:rPr>
          <w:rFonts w:eastAsia="Malgun Gothic"/>
        </w:rPr>
        <w:t xml:space="preserve">: Los participantes que quieran presentar un documento para debatirlo en la reunión deberán enviar dicho documento, utilizando la plantilla disponible en la dirección </w:t>
      </w:r>
      <w:hyperlink r:id="rId13" w:history="1">
        <w:r w:rsidRPr="00D672EF">
          <w:rPr>
            <w:rStyle w:val="Hyperlink"/>
            <w:rFonts w:asciiTheme="majorBidi" w:hAnsiTheme="majorBidi" w:cstheme="majorBidi"/>
            <w:szCs w:val="24"/>
          </w:rPr>
          <w:t>http://itu.int/en/ITU-T/extcoop/cits/</w:t>
        </w:r>
      </w:hyperlink>
      <w:r w:rsidR="005367FD">
        <w:rPr>
          <w:rStyle w:val="Hyperlink"/>
          <w:rFonts w:asciiTheme="majorBidi" w:hAnsiTheme="majorBidi" w:cstheme="majorBidi"/>
          <w:szCs w:val="24"/>
          <w:u w:val="none"/>
        </w:rPr>
        <w:t>,</w:t>
      </w:r>
      <w:r w:rsidRPr="00D672EF">
        <w:rPr>
          <w:rFonts w:eastAsia="Malgun Gothic"/>
        </w:rPr>
        <w:t xml:space="preserve"> a la dirección </w:t>
      </w:r>
      <w:hyperlink r:id="rId14" w:history="1">
        <w:r w:rsidRPr="00D672EF">
          <w:rPr>
            <w:rStyle w:val="Hyperlink"/>
            <w:szCs w:val="24"/>
          </w:rPr>
          <w:t>tsbcits@itu.int</w:t>
        </w:r>
      </w:hyperlink>
      <w:r w:rsidRPr="00D672EF">
        <w:rPr>
          <w:rFonts w:eastAsia="Malgun Gothic"/>
        </w:rPr>
        <w:t xml:space="preserve"> antes del </w:t>
      </w:r>
      <w:r w:rsidRPr="00D672EF">
        <w:rPr>
          <w:rFonts w:eastAsia="Malgun Gothic"/>
          <w:b/>
          <w:bCs/>
        </w:rPr>
        <w:t>27 de marzo de 2012</w:t>
      </w:r>
      <w:r w:rsidRPr="00C04CE4">
        <w:rPr>
          <w:rFonts w:eastAsia="Malgun Gothic"/>
        </w:rPr>
        <w:t xml:space="preserve">. </w:t>
      </w:r>
      <w:r w:rsidR="00B30734" w:rsidRPr="00D672EF">
        <w:rPr>
          <w:rFonts w:eastAsia="Malgun Gothic"/>
        </w:rPr>
        <w:t xml:space="preserve">Los </w:t>
      </w:r>
      <w:r w:rsidRPr="00D672EF">
        <w:rPr>
          <w:rFonts w:eastAsia="Malgun Gothic"/>
        </w:rPr>
        <w:t xml:space="preserve">documentos </w:t>
      </w:r>
      <w:r w:rsidR="005367FD">
        <w:rPr>
          <w:rFonts w:eastAsia="Malgun Gothic"/>
        </w:rPr>
        <w:t>"</w:t>
      </w:r>
      <w:r w:rsidRPr="00D672EF">
        <w:rPr>
          <w:rFonts w:eastAsia="Malgun Gothic"/>
        </w:rPr>
        <w:t>tardíos o no anunciados</w:t>
      </w:r>
      <w:r w:rsidR="005367FD">
        <w:rPr>
          <w:rFonts w:eastAsia="Malgun Gothic"/>
        </w:rPr>
        <w:t>"</w:t>
      </w:r>
      <w:r w:rsidRPr="00D672EF">
        <w:rPr>
          <w:rFonts w:eastAsia="Malgun Gothic"/>
        </w:rPr>
        <w:t xml:space="preserve"> </w:t>
      </w:r>
      <w:r w:rsidR="00B30734" w:rsidRPr="00D672EF">
        <w:rPr>
          <w:rFonts w:eastAsia="Malgun Gothic"/>
        </w:rPr>
        <w:t>sólo se aceptarán previo</w:t>
      </w:r>
      <w:r w:rsidRPr="00D672EF">
        <w:rPr>
          <w:rFonts w:eastAsia="Malgun Gothic"/>
        </w:rPr>
        <w:t xml:space="preserve"> consenso de los participantes en la reunión, </w:t>
      </w:r>
      <w:r w:rsidR="00B30734" w:rsidRPr="00D672EF">
        <w:rPr>
          <w:rFonts w:eastAsia="Malgun Gothic"/>
        </w:rPr>
        <w:t>y</w:t>
      </w:r>
      <w:r w:rsidRPr="00D672EF">
        <w:rPr>
          <w:rFonts w:eastAsia="Malgun Gothic"/>
        </w:rPr>
        <w:t xml:space="preserve"> en otro caso serán remitidos a una reunión ulterior.</w:t>
      </w:r>
    </w:p>
    <w:p w:rsidR="00327398" w:rsidRPr="00D672EF" w:rsidRDefault="00327398" w:rsidP="001D587A">
      <w:pPr>
        <w:rPr>
          <w:rFonts w:asciiTheme="majorBidi" w:hAnsiTheme="majorBidi" w:cstheme="majorBidi"/>
          <w:color w:val="000000"/>
          <w:szCs w:val="24"/>
        </w:rPr>
      </w:pPr>
      <w:r w:rsidRPr="00D672EF">
        <w:rPr>
          <w:rFonts w:asciiTheme="majorBidi" w:hAnsiTheme="majorBidi" w:cstheme="majorBidi"/>
          <w:b/>
          <w:bCs/>
          <w:color w:val="000000"/>
          <w:szCs w:val="24"/>
        </w:rPr>
        <w:t>Participación a distancia</w:t>
      </w:r>
      <w:r w:rsidRPr="00D672EF">
        <w:rPr>
          <w:rFonts w:asciiTheme="majorBidi" w:hAnsiTheme="majorBidi" w:cstheme="majorBidi"/>
          <w:color w:val="000000"/>
          <w:szCs w:val="24"/>
        </w:rPr>
        <w:t>: Puede participar a distancia en la reunión sobre Cooperación</w:t>
      </w:r>
      <w:r w:rsidRPr="00D672EF">
        <w:rPr>
          <w:rFonts w:asciiTheme="majorBidi" w:hAnsiTheme="majorBidi" w:cstheme="majorBidi"/>
          <w:b/>
          <w:bCs/>
          <w:color w:val="000000"/>
          <w:szCs w:val="24"/>
        </w:rPr>
        <w:t xml:space="preserve"> </w:t>
      </w:r>
      <w:r w:rsidRPr="00D672EF">
        <w:rPr>
          <w:rFonts w:asciiTheme="majorBidi" w:hAnsiTheme="majorBidi" w:cstheme="majorBidi"/>
          <w:color w:val="000000"/>
          <w:szCs w:val="24"/>
        </w:rPr>
        <w:t xml:space="preserve">en materia de normas de comunicación en los STI. Como delegado a distancia, podrá escuchar los debates, ver documentos y presentaciones e interactuar con el servidor central de la reunión a distancia. Si desea participar como delegado a distancia, </w:t>
      </w:r>
      <w:r w:rsidR="001D587A" w:rsidRPr="00D672EF">
        <w:rPr>
          <w:rFonts w:asciiTheme="majorBidi" w:hAnsiTheme="majorBidi" w:cstheme="majorBidi"/>
          <w:color w:val="000000"/>
          <w:szCs w:val="24"/>
        </w:rPr>
        <w:t xml:space="preserve">debe inscribirse anticipadamente en la dirección </w:t>
      </w:r>
      <w:hyperlink r:id="rId15" w:history="1">
        <w:r w:rsidR="001D587A" w:rsidRPr="00D672EF">
          <w:rPr>
            <w:rStyle w:val="Hyperlink"/>
            <w:rFonts w:asciiTheme="majorBidi" w:hAnsiTheme="majorBidi" w:cstheme="majorBidi"/>
            <w:szCs w:val="24"/>
          </w:rPr>
          <w:t>http://itu.int/en/ITU-T/extcoop/cits/</w:t>
        </w:r>
      </w:hyperlink>
      <w:r w:rsidRPr="00D672EF">
        <w:rPr>
          <w:rFonts w:asciiTheme="majorBidi" w:hAnsiTheme="majorBidi" w:cstheme="majorBidi"/>
          <w:color w:val="000000"/>
          <w:szCs w:val="24"/>
        </w:rPr>
        <w:t xml:space="preserve">. </w:t>
      </w:r>
      <w:r w:rsidR="001D587A" w:rsidRPr="00D672EF">
        <w:rPr>
          <w:rFonts w:asciiTheme="majorBidi" w:hAnsiTheme="majorBidi" w:cstheme="majorBidi"/>
          <w:color w:val="000000"/>
          <w:szCs w:val="24"/>
        </w:rPr>
        <w:t>Las instrucciones para participar a distancia se pondrán a disposición en el mismo sitio web.</w:t>
      </w:r>
    </w:p>
    <w:p w:rsidR="00327398" w:rsidRPr="00D672EF" w:rsidRDefault="00327398" w:rsidP="00C04CE4">
      <w:r w:rsidRPr="00D672EF">
        <w:t xml:space="preserve">Para su comodidad, en el </w:t>
      </w:r>
      <w:r w:rsidR="00C04CE4">
        <w:rPr>
          <w:b/>
          <w:bCs/>
        </w:rPr>
        <w:t>A</w:t>
      </w:r>
      <w:r w:rsidRPr="00D672EF">
        <w:rPr>
          <w:b/>
          <w:bCs/>
        </w:rPr>
        <w:t>nexo 2</w:t>
      </w:r>
      <w:r w:rsidRPr="00D672EF">
        <w:t xml:space="preserve"> se adjunta </w:t>
      </w:r>
      <w:r w:rsidR="001D587A" w:rsidRPr="00D672EF">
        <w:t>información práctica acerca del lugar de celebración de la reunión y la manera de llegar al mismo</w:t>
      </w:r>
      <w:r w:rsidRPr="00D672EF">
        <w:t>.</w:t>
      </w:r>
    </w:p>
    <w:p w:rsidR="00327398" w:rsidRPr="00D672EF" w:rsidRDefault="001D587A" w:rsidP="001D587A">
      <w:pPr>
        <w:rPr>
          <w:lang w:eastAsia="ja-JP"/>
        </w:rPr>
      </w:pPr>
      <w:r w:rsidRPr="00D672EF">
        <w:rPr>
          <w:b/>
          <w:bCs/>
        </w:rPr>
        <w:t>Visado</w:t>
      </w:r>
      <w:r w:rsidRPr="00D672EF">
        <w:t xml:space="preserve">: </w:t>
      </w:r>
      <w:r w:rsidR="00327398" w:rsidRPr="00D672EF">
        <w:t xml:space="preserve">Le recordamos que los ciudadanos procedentes de ciertos países necesitan un visado para entrar y permanecer en </w:t>
      </w:r>
      <w:r w:rsidRPr="00D672EF">
        <w:t>los Estados Unidos</w:t>
      </w:r>
      <w:r w:rsidR="00327398" w:rsidRPr="00D672EF">
        <w:t>. Ese visado debe solicitarse</w:t>
      </w:r>
      <w:r w:rsidR="00327398" w:rsidRPr="00D672EF">
        <w:rPr>
          <w:b/>
          <w:bCs/>
        </w:rPr>
        <w:t xml:space="preserve"> </w:t>
      </w:r>
      <w:r w:rsidR="00327398" w:rsidRPr="00D672EF">
        <w:t xml:space="preserve">en la oficina (embajada o consulado) que representa a </w:t>
      </w:r>
      <w:r w:rsidRPr="00D672EF">
        <w:t>los Estados Unidos</w:t>
      </w:r>
      <w:r w:rsidR="00327398" w:rsidRPr="00D672EF">
        <w:t xml:space="preserve"> en su país o, en su defecto, en la más próxima a su país de partida. </w:t>
      </w:r>
      <w:r w:rsidRPr="00D672EF">
        <w:t xml:space="preserve">Rogamos tenga presente que la aprobación del visado puede tomar </w:t>
      </w:r>
      <w:r w:rsidR="00B30734" w:rsidRPr="00D672EF">
        <w:t xml:space="preserve">algún </w:t>
      </w:r>
      <w:r w:rsidRPr="00D672EF">
        <w:t xml:space="preserve">tiempo, por lo que rogamos formule su solicitud de visado lo antes posible. </w:t>
      </w:r>
    </w:p>
    <w:p w:rsidR="00C34772" w:rsidRPr="00D672EF" w:rsidRDefault="00C34772" w:rsidP="00C04CE4">
      <w:pPr>
        <w:ind w:right="91"/>
      </w:pPr>
      <w:r w:rsidRPr="00D672EF">
        <w:t>Le saluda muy atentamente</w:t>
      </w:r>
      <w:r w:rsidR="00C04CE4">
        <w:t>,</w:t>
      </w:r>
    </w:p>
    <w:p w:rsidR="00C34772" w:rsidRPr="00D672EF" w:rsidRDefault="00C34772" w:rsidP="002F07C3">
      <w:pPr>
        <w:spacing w:before="1080"/>
        <w:ind w:right="91"/>
      </w:pPr>
      <w:r w:rsidRPr="00D672EF">
        <w:t>Malcolm Johnson</w:t>
      </w:r>
      <w:r w:rsidRPr="00D672EF">
        <w:br/>
        <w:t>Director de la Oficina de</w:t>
      </w:r>
      <w:r w:rsidRPr="00D672EF">
        <w:br/>
        <w:t>Normalización de las Telecomunicaciones</w:t>
      </w:r>
    </w:p>
    <w:p w:rsidR="00921263" w:rsidRPr="005367FD" w:rsidRDefault="0090741C" w:rsidP="00C04CE4">
      <w:pPr>
        <w:spacing w:before="1200"/>
        <w:ind w:right="91"/>
        <w:rPr>
          <w:b/>
          <w:bCs/>
          <w:lang w:val="en-US"/>
        </w:rPr>
      </w:pPr>
      <w:proofErr w:type="spellStart"/>
      <w:r w:rsidRPr="005367FD">
        <w:rPr>
          <w:b/>
          <w:bCs/>
          <w:lang w:val="en-US"/>
        </w:rPr>
        <w:t>Anexo</w:t>
      </w:r>
      <w:r w:rsidR="00327398" w:rsidRPr="005367FD">
        <w:rPr>
          <w:b/>
          <w:bCs/>
          <w:lang w:val="en-US"/>
        </w:rPr>
        <w:t>s</w:t>
      </w:r>
      <w:proofErr w:type="spellEnd"/>
      <w:r w:rsidRPr="005367FD">
        <w:rPr>
          <w:b/>
          <w:bCs/>
          <w:lang w:val="en-US"/>
        </w:rPr>
        <w:t xml:space="preserve">: </w:t>
      </w:r>
      <w:r w:rsidR="00327398" w:rsidRPr="005367FD">
        <w:rPr>
          <w:b/>
          <w:bCs/>
          <w:lang w:val="en-US"/>
        </w:rPr>
        <w:t>2</w:t>
      </w:r>
      <w:r w:rsidR="00921263" w:rsidRPr="005367FD">
        <w:rPr>
          <w:b/>
          <w:bCs/>
          <w:lang w:val="en-US"/>
        </w:rPr>
        <w:br w:type="page"/>
      </w:r>
    </w:p>
    <w:p w:rsidR="00921263" w:rsidRPr="005367FD" w:rsidRDefault="00921263" w:rsidP="00921263">
      <w:pPr>
        <w:pStyle w:val="Title4"/>
        <w:rPr>
          <w:b w:val="0"/>
          <w:bCs/>
          <w:sz w:val="24"/>
          <w:szCs w:val="24"/>
          <w:lang w:val="en-US"/>
        </w:rPr>
      </w:pPr>
      <w:r w:rsidRPr="005367FD">
        <w:rPr>
          <w:b w:val="0"/>
          <w:bCs/>
          <w:sz w:val="24"/>
          <w:szCs w:val="24"/>
          <w:lang w:val="en-US"/>
        </w:rPr>
        <w:lastRenderedPageBreak/>
        <w:t>ANNEX 1</w:t>
      </w:r>
      <w:r w:rsidRPr="005367FD">
        <w:rPr>
          <w:b w:val="0"/>
          <w:bCs/>
          <w:sz w:val="24"/>
          <w:szCs w:val="24"/>
          <w:lang w:val="en-US"/>
        </w:rPr>
        <w:br/>
        <w:t>(to TSB Circular 255)</w:t>
      </w:r>
    </w:p>
    <w:p w:rsidR="00921263" w:rsidRPr="005367FD" w:rsidRDefault="00921263" w:rsidP="00921263">
      <w:pPr>
        <w:keepNext/>
        <w:spacing w:line="240" w:lineRule="atLeast"/>
        <w:jc w:val="center"/>
        <w:rPr>
          <w:b/>
          <w:bCs/>
          <w:szCs w:val="24"/>
          <w:lang w:val="en-US"/>
        </w:rPr>
      </w:pPr>
    </w:p>
    <w:p w:rsidR="00921263" w:rsidRPr="005367FD" w:rsidRDefault="00921263" w:rsidP="00921263">
      <w:pPr>
        <w:keepNext/>
        <w:spacing w:line="240" w:lineRule="atLeast"/>
        <w:jc w:val="center"/>
        <w:rPr>
          <w:b/>
          <w:bCs/>
          <w:szCs w:val="24"/>
          <w:lang w:val="en-US"/>
        </w:rPr>
      </w:pPr>
      <w:r w:rsidRPr="005367FD">
        <w:rPr>
          <w:b/>
          <w:bCs/>
          <w:szCs w:val="24"/>
          <w:lang w:val="en-US"/>
        </w:rPr>
        <w:t>Annex 1: Suggested List of Initial Work Items for the Collaboration on ITS Communication Standards</w:t>
      </w:r>
    </w:p>
    <w:p w:rsidR="00921263" w:rsidRPr="005367FD" w:rsidRDefault="00921263" w:rsidP="00921263">
      <w:pPr>
        <w:rPr>
          <w:szCs w:val="24"/>
          <w:lang w:val="en-US"/>
        </w:rPr>
      </w:pPr>
    </w:p>
    <w:p w:rsidR="00921263" w:rsidRPr="005367FD" w:rsidRDefault="00921263" w:rsidP="00B74942">
      <w:pPr>
        <w:rPr>
          <w:lang w:val="en-US"/>
        </w:rPr>
      </w:pPr>
      <w:r w:rsidRPr="005367FD">
        <w:rPr>
          <w:lang w:val="en-US"/>
        </w:rPr>
        <w:t>Possible initial Work Items include:</w:t>
      </w:r>
    </w:p>
    <w:p w:rsidR="00921263" w:rsidRPr="005367FD" w:rsidRDefault="00B74942" w:rsidP="00B74942">
      <w:pPr>
        <w:pStyle w:val="enumlev1"/>
        <w:rPr>
          <w:lang w:val="en-US"/>
        </w:rPr>
      </w:pPr>
      <w:bookmarkStart w:id="2" w:name="_Ref311725868"/>
      <w:r w:rsidRPr="005367FD">
        <w:rPr>
          <w:lang w:val="en-US"/>
        </w:rPr>
        <w:t>1</w:t>
      </w:r>
      <w:r w:rsidRPr="005367FD">
        <w:rPr>
          <w:lang w:val="en-US"/>
        </w:rPr>
        <w:tab/>
      </w:r>
      <w:r w:rsidR="00921263" w:rsidRPr="005367FD">
        <w:rPr>
          <w:lang w:val="en-US"/>
        </w:rPr>
        <w:t>Perform a study of identified ITS application requirements so that needed communication capabilities and perfor</w:t>
      </w:r>
      <w:r w:rsidR="00C65EEE" w:rsidRPr="005367FD">
        <w:rPr>
          <w:lang w:val="en-US"/>
        </w:rPr>
        <w:t xml:space="preserve">mance can be properly defined. </w:t>
      </w:r>
      <w:r w:rsidR="00921263" w:rsidRPr="005367FD">
        <w:rPr>
          <w:lang w:val="en-US"/>
        </w:rPr>
        <w:t>This study should identify and use existing sets of ITS application requirements from various global regions and supplement them to reflect recent applicati</w:t>
      </w:r>
      <w:r w:rsidR="00113C3F" w:rsidRPr="005367FD">
        <w:rPr>
          <w:lang w:val="en-US"/>
        </w:rPr>
        <w:t xml:space="preserve">on developments and direction. </w:t>
      </w:r>
      <w:r w:rsidR="00921263" w:rsidRPr="005367FD">
        <w:rPr>
          <w:lang w:val="en-US"/>
        </w:rPr>
        <w:t>Requirements of individual applications or sets of applications should be combined to create communications capability needs and performance boundaries as required to support the full</w:t>
      </w:r>
      <w:r w:rsidR="00113C3F" w:rsidRPr="005367FD">
        <w:rPr>
          <w:lang w:val="en-US"/>
        </w:rPr>
        <w:t xml:space="preserve"> set of expected applications. </w:t>
      </w:r>
      <w:r w:rsidR="00921263" w:rsidRPr="005367FD">
        <w:rPr>
          <w:lang w:val="en-US"/>
        </w:rPr>
        <w:t>All defined applications should be considered in the study, with particular attention being given to high priority applications such as:</w:t>
      </w:r>
      <w:bookmarkEnd w:id="2"/>
    </w:p>
    <w:p w:rsidR="00921263" w:rsidRPr="005367FD" w:rsidRDefault="00B74942" w:rsidP="00B74942">
      <w:pPr>
        <w:pStyle w:val="enumlev2"/>
        <w:rPr>
          <w:lang w:val="en-US"/>
        </w:rPr>
      </w:pPr>
      <w:proofErr w:type="gramStart"/>
      <w:r w:rsidRPr="005367FD">
        <w:rPr>
          <w:lang w:val="en-US"/>
        </w:rPr>
        <w:t>a</w:t>
      </w:r>
      <w:proofErr w:type="gramEnd"/>
      <w:r w:rsidRPr="005367FD">
        <w:rPr>
          <w:lang w:val="en-US"/>
        </w:rPr>
        <w:tab/>
      </w:r>
      <w:r w:rsidR="00921263" w:rsidRPr="005367FD">
        <w:rPr>
          <w:lang w:val="en-US"/>
        </w:rPr>
        <w:t>Road safety applications</w:t>
      </w:r>
    </w:p>
    <w:p w:rsidR="00921263" w:rsidRPr="005367FD" w:rsidRDefault="00B74942" w:rsidP="00B74942">
      <w:pPr>
        <w:pStyle w:val="enumlev2"/>
        <w:rPr>
          <w:lang w:val="en-US"/>
        </w:rPr>
      </w:pPr>
      <w:proofErr w:type="gramStart"/>
      <w:r w:rsidRPr="005367FD">
        <w:rPr>
          <w:lang w:val="en-US"/>
        </w:rPr>
        <w:t>b</w:t>
      </w:r>
      <w:proofErr w:type="gramEnd"/>
      <w:r w:rsidRPr="005367FD">
        <w:rPr>
          <w:lang w:val="en-US"/>
        </w:rPr>
        <w:tab/>
      </w:r>
      <w:r w:rsidR="00921263" w:rsidRPr="005367FD">
        <w:rPr>
          <w:lang w:val="en-US"/>
        </w:rPr>
        <w:t>Traffic management/mobility applications</w:t>
      </w:r>
    </w:p>
    <w:p w:rsidR="00921263" w:rsidRPr="005367FD" w:rsidRDefault="00B74942" w:rsidP="00B74942">
      <w:pPr>
        <w:pStyle w:val="enumlev2"/>
        <w:rPr>
          <w:lang w:val="en-US"/>
        </w:rPr>
      </w:pPr>
      <w:proofErr w:type="gramStart"/>
      <w:r w:rsidRPr="005367FD">
        <w:rPr>
          <w:lang w:val="en-US"/>
        </w:rPr>
        <w:t>c</w:t>
      </w:r>
      <w:proofErr w:type="gramEnd"/>
      <w:r w:rsidRPr="005367FD">
        <w:rPr>
          <w:lang w:val="en-US"/>
        </w:rPr>
        <w:tab/>
      </w:r>
      <w:r w:rsidR="00921263" w:rsidRPr="005367FD">
        <w:rPr>
          <w:lang w:val="en-US"/>
        </w:rPr>
        <w:t>The Internet of Things</w:t>
      </w:r>
    </w:p>
    <w:p w:rsidR="00921263" w:rsidRPr="005367FD" w:rsidRDefault="00B74942" w:rsidP="00B74942">
      <w:pPr>
        <w:pStyle w:val="enumlev2"/>
        <w:rPr>
          <w:lang w:val="en-US"/>
        </w:rPr>
      </w:pPr>
      <w:proofErr w:type="gramStart"/>
      <w:r w:rsidRPr="005367FD">
        <w:rPr>
          <w:lang w:val="en-US"/>
        </w:rPr>
        <w:t>d</w:t>
      </w:r>
      <w:proofErr w:type="gramEnd"/>
      <w:r w:rsidRPr="005367FD">
        <w:rPr>
          <w:lang w:val="en-US"/>
        </w:rPr>
        <w:tab/>
      </w:r>
      <w:r w:rsidR="00921263" w:rsidRPr="005367FD">
        <w:rPr>
          <w:lang w:val="en-US"/>
        </w:rPr>
        <w:t>Applications affecting environmental needs, including those servicing electric/hybrid vehicles</w:t>
      </w:r>
    </w:p>
    <w:p w:rsidR="00921263" w:rsidRPr="005367FD" w:rsidRDefault="00921263" w:rsidP="00B74942">
      <w:pPr>
        <w:pStyle w:val="enumlev2"/>
        <w:rPr>
          <w:lang w:val="en-US"/>
        </w:rPr>
      </w:pPr>
      <w:r w:rsidRPr="005367FD">
        <w:rPr>
          <w:lang w:val="en-US"/>
        </w:rPr>
        <w:t>Special attention needs to be given to the requirements of</w:t>
      </w:r>
    </w:p>
    <w:p w:rsidR="00921263" w:rsidRPr="005367FD" w:rsidRDefault="00921263" w:rsidP="00B74942">
      <w:pPr>
        <w:pStyle w:val="enumlev2"/>
        <w:rPr>
          <w:lang w:val="en-US"/>
        </w:rPr>
      </w:pPr>
      <w:proofErr w:type="gramStart"/>
      <w:r w:rsidRPr="005367FD">
        <w:rPr>
          <w:lang w:val="en-US"/>
        </w:rPr>
        <w:t>a</w:t>
      </w:r>
      <w:proofErr w:type="gramEnd"/>
      <w:r w:rsidRPr="005367FD">
        <w:rPr>
          <w:lang w:val="en-US"/>
        </w:rPr>
        <w:tab/>
        <w:t>Developing Countries</w:t>
      </w:r>
    </w:p>
    <w:p w:rsidR="00921263" w:rsidRPr="005367FD" w:rsidRDefault="00921263" w:rsidP="00B74942">
      <w:pPr>
        <w:pStyle w:val="enumlev2"/>
        <w:rPr>
          <w:lang w:val="en-US"/>
        </w:rPr>
      </w:pPr>
      <w:proofErr w:type="gramStart"/>
      <w:r w:rsidRPr="005367FD">
        <w:rPr>
          <w:lang w:val="en-US"/>
        </w:rPr>
        <w:t>b</w:t>
      </w:r>
      <w:proofErr w:type="gramEnd"/>
      <w:r w:rsidRPr="005367FD">
        <w:rPr>
          <w:lang w:val="en-US"/>
        </w:rPr>
        <w:tab/>
        <w:t>Megacities</w:t>
      </w:r>
    </w:p>
    <w:p w:rsidR="00921263" w:rsidRPr="005367FD" w:rsidRDefault="00B74942" w:rsidP="00B74942">
      <w:pPr>
        <w:pStyle w:val="enumlev1"/>
        <w:rPr>
          <w:lang w:val="en-US"/>
        </w:rPr>
      </w:pPr>
      <w:r w:rsidRPr="005367FD">
        <w:rPr>
          <w:lang w:val="en-US"/>
        </w:rPr>
        <w:t>2</w:t>
      </w:r>
      <w:r w:rsidRPr="005367FD">
        <w:rPr>
          <w:lang w:val="en-US"/>
        </w:rPr>
        <w:tab/>
      </w:r>
      <w:r w:rsidR="00921263" w:rsidRPr="005367FD">
        <w:rPr>
          <w:lang w:val="en-US"/>
        </w:rPr>
        <w:t>Perform a gap analysis and quality assessment of current ITS communications standards and create an action pla</w:t>
      </w:r>
      <w:r w:rsidR="00113C3F" w:rsidRPr="005367FD">
        <w:rPr>
          <w:lang w:val="en-US"/>
        </w:rPr>
        <w:t xml:space="preserve">n to address identified needs. </w:t>
      </w:r>
      <w:r w:rsidR="00921263" w:rsidRPr="005367FD">
        <w:rPr>
          <w:lang w:val="en-US"/>
        </w:rPr>
        <w:t>Gap analysis should compare the ITS communication standards that already exist or are in work with the standards that would be required with a ‘best practices’ comm</w:t>
      </w:r>
      <w:r w:rsidR="00113C3F" w:rsidRPr="005367FD">
        <w:rPr>
          <w:lang w:val="en-US"/>
        </w:rPr>
        <w:t xml:space="preserve">unications standards scenario. </w:t>
      </w:r>
      <w:r w:rsidR="00921263" w:rsidRPr="005367FD">
        <w:rPr>
          <w:lang w:val="en-US"/>
        </w:rPr>
        <w:t>If overlaps are found, the best elements of duplicative standards should be used in the study and the overlap should be clearly note</w:t>
      </w:r>
      <w:r w:rsidR="00113C3F" w:rsidRPr="005367FD">
        <w:rPr>
          <w:lang w:val="en-US"/>
        </w:rPr>
        <w:t xml:space="preserve">d in the outcome of the study. </w:t>
      </w:r>
      <w:r w:rsidR="00921263" w:rsidRPr="005367FD">
        <w:rPr>
          <w:lang w:val="en-US"/>
        </w:rPr>
        <w:t>The quality assessment should examine each existing standard to determine if it is clear, complete, incorporates all the necessary ingredients and is harmonized with its complementary standards to create a complete communications solution based on the requirements of Item </w:t>
      </w:r>
      <w:r w:rsidR="00921263" w:rsidRPr="00D672EF">
        <w:fldChar w:fldCharType="begin"/>
      </w:r>
      <w:r w:rsidR="00921263" w:rsidRPr="005367FD">
        <w:rPr>
          <w:lang w:val="en-US"/>
        </w:rPr>
        <w:instrText xml:space="preserve"> REF _Ref311725868 \r \h  \* MERGEFORMAT </w:instrText>
      </w:r>
      <w:r w:rsidR="00921263" w:rsidRPr="00D672EF">
        <w:fldChar w:fldCharType="separate"/>
      </w:r>
      <w:r w:rsidR="008066A3" w:rsidRPr="008066A3">
        <w:rPr>
          <w:cs/>
        </w:rPr>
        <w:t>‎</w:t>
      </w:r>
      <w:r w:rsidR="008066A3">
        <w:rPr>
          <w:lang w:val="en-US"/>
        </w:rPr>
        <w:t>0</w:t>
      </w:r>
      <w:r w:rsidR="00921263" w:rsidRPr="00D672EF">
        <w:fldChar w:fldCharType="end"/>
      </w:r>
      <w:r w:rsidR="00113C3F" w:rsidRPr="005367FD">
        <w:rPr>
          <w:lang w:val="en-US"/>
        </w:rPr>
        <w:t xml:space="preserve">. </w:t>
      </w:r>
      <w:r w:rsidR="00921263" w:rsidRPr="005367FD">
        <w:rPr>
          <w:lang w:val="en-US"/>
        </w:rPr>
        <w:t>Throughout this study, the use of IPv6 should be assumed in all situations where it is viable.</w:t>
      </w:r>
    </w:p>
    <w:p w:rsidR="00921263" w:rsidRPr="005367FD" w:rsidRDefault="00B74942" w:rsidP="00B74942">
      <w:pPr>
        <w:pStyle w:val="enumlev1"/>
        <w:rPr>
          <w:lang w:val="en-US"/>
        </w:rPr>
      </w:pPr>
      <w:r w:rsidRPr="005367FD">
        <w:rPr>
          <w:lang w:val="en-US"/>
        </w:rPr>
        <w:t>3</w:t>
      </w:r>
      <w:r w:rsidRPr="005367FD">
        <w:rPr>
          <w:lang w:val="en-US"/>
        </w:rPr>
        <w:tab/>
      </w:r>
      <w:r w:rsidR="00921263" w:rsidRPr="005367FD">
        <w:rPr>
          <w:lang w:val="en-US"/>
        </w:rPr>
        <w:t>Converge, harmonize, and incorporate appropriate published and emerging ITS communication standards (regardless of their SDO source) into proper ITU Recommendations.</w:t>
      </w:r>
    </w:p>
    <w:p w:rsidR="00921263" w:rsidRPr="005367FD" w:rsidRDefault="00B74942" w:rsidP="00B74942">
      <w:pPr>
        <w:pStyle w:val="enumlev1"/>
        <w:rPr>
          <w:lang w:val="en-US"/>
        </w:rPr>
      </w:pPr>
      <w:r w:rsidRPr="005367FD">
        <w:rPr>
          <w:lang w:val="en-US"/>
        </w:rPr>
        <w:t>4</w:t>
      </w:r>
      <w:r w:rsidRPr="005367FD">
        <w:rPr>
          <w:lang w:val="en-US"/>
        </w:rPr>
        <w:tab/>
      </w:r>
      <w:r w:rsidR="00921263" w:rsidRPr="005367FD">
        <w:rPr>
          <w:lang w:val="en-US"/>
        </w:rPr>
        <w:t xml:space="preserve">Create a complete, coherent and effective package of security frameworks and standards for </w:t>
      </w:r>
      <w:r w:rsidR="00113C3F" w:rsidRPr="005367FD">
        <w:rPr>
          <w:lang w:val="en-US"/>
        </w:rPr>
        <w:t xml:space="preserve">use within ITS communications. </w:t>
      </w:r>
      <w:r w:rsidR="00921263" w:rsidRPr="005367FD">
        <w:rPr>
          <w:lang w:val="en-US"/>
        </w:rPr>
        <w:t>This task should identify all existing and ongoing work in this area, leverage it to the greatest possible degree, and assure that modern communication security practices are embedded in the final product.</w:t>
      </w:r>
    </w:p>
    <w:p w:rsidR="00921263" w:rsidRPr="005367FD" w:rsidRDefault="00B74942" w:rsidP="00B74942">
      <w:pPr>
        <w:pStyle w:val="enumlev1"/>
        <w:rPr>
          <w:lang w:val="en-US"/>
        </w:rPr>
      </w:pPr>
      <w:r w:rsidRPr="005367FD">
        <w:rPr>
          <w:lang w:val="en-US"/>
        </w:rPr>
        <w:t>5</w:t>
      </w:r>
      <w:r w:rsidRPr="005367FD">
        <w:rPr>
          <w:lang w:val="en-US"/>
        </w:rPr>
        <w:tab/>
      </w:r>
      <w:r w:rsidR="00921263" w:rsidRPr="005367FD">
        <w:rPr>
          <w:lang w:val="en-US"/>
        </w:rPr>
        <w:t>Develop standards to govern the interaction of drivers with communication devices brought into ve</w:t>
      </w:r>
      <w:r w:rsidR="00113C3F" w:rsidRPr="005367FD">
        <w:rPr>
          <w:lang w:val="en-US"/>
        </w:rPr>
        <w:t xml:space="preserve">hicles (such as smart phones). </w:t>
      </w:r>
      <w:r w:rsidR="00921263" w:rsidRPr="005367FD">
        <w:rPr>
          <w:lang w:val="en-US"/>
        </w:rPr>
        <w:t>The standards should require carry</w:t>
      </w:r>
      <w:r w:rsidR="00921263" w:rsidRPr="005367FD">
        <w:rPr>
          <w:lang w:val="en-US"/>
        </w:rPr>
        <w:noBreakHyphen/>
        <w:t>in devices to deter</w:t>
      </w:r>
      <w:r w:rsidR="00113C3F" w:rsidRPr="005367FD">
        <w:rPr>
          <w:lang w:val="en-US"/>
        </w:rPr>
        <w:t xml:space="preserve">mine if they are in a vehicle. </w:t>
      </w:r>
      <w:r w:rsidR="00921263" w:rsidRPr="005367FD">
        <w:rPr>
          <w:lang w:val="en-US"/>
        </w:rPr>
        <w:t>If the carry</w:t>
      </w:r>
      <w:r w:rsidR="00921263" w:rsidRPr="005367FD">
        <w:rPr>
          <w:lang w:val="en-US"/>
        </w:rPr>
        <w:noBreakHyphen/>
        <w:t>in device interacts with equipment in the vehicle, the standards should require the carry</w:t>
      </w:r>
      <w:r w:rsidR="00921263" w:rsidRPr="005367FD">
        <w:rPr>
          <w:lang w:val="en-US"/>
        </w:rPr>
        <w:noBreakHyphen/>
        <w:t>in device to follow vehic</w:t>
      </w:r>
      <w:r w:rsidR="00113C3F" w:rsidRPr="005367FD">
        <w:rPr>
          <w:lang w:val="en-US"/>
        </w:rPr>
        <w:t xml:space="preserve">le driver distraction rules. </w:t>
      </w:r>
      <w:r w:rsidR="00921263" w:rsidRPr="005367FD">
        <w:rPr>
          <w:lang w:val="en-US"/>
        </w:rPr>
        <w:t>If the carry</w:t>
      </w:r>
      <w:r w:rsidR="00921263" w:rsidRPr="005367FD">
        <w:rPr>
          <w:lang w:val="en-US"/>
        </w:rPr>
        <w:noBreakHyphen/>
        <w:t>in does not interact with equipment in the vehicle, the standards should require the carry</w:t>
      </w:r>
      <w:r w:rsidR="00921263" w:rsidRPr="005367FD">
        <w:rPr>
          <w:lang w:val="en-US"/>
        </w:rPr>
        <w:noBreakHyphen/>
        <w:t>in device to not allow use of the carry</w:t>
      </w:r>
      <w:r w:rsidR="00921263" w:rsidRPr="005367FD">
        <w:rPr>
          <w:lang w:val="en-US"/>
        </w:rPr>
        <w:noBreakHyphen/>
        <w:t>in device by the driver while the vehicle is moving.</w:t>
      </w:r>
    </w:p>
    <w:p w:rsidR="00921263" w:rsidRPr="005367FD" w:rsidRDefault="00B74942" w:rsidP="00B74942">
      <w:pPr>
        <w:pStyle w:val="enumlev1"/>
        <w:rPr>
          <w:lang w:val="en-US"/>
        </w:rPr>
      </w:pPr>
      <w:r w:rsidRPr="005367FD">
        <w:rPr>
          <w:lang w:val="en-US"/>
        </w:rPr>
        <w:lastRenderedPageBreak/>
        <w:t>6</w:t>
      </w:r>
      <w:r w:rsidRPr="005367FD">
        <w:rPr>
          <w:lang w:val="en-US"/>
        </w:rPr>
        <w:tab/>
      </w:r>
      <w:r w:rsidR="00921263" w:rsidRPr="005367FD">
        <w:rPr>
          <w:lang w:val="en-US"/>
        </w:rPr>
        <w:t>Investigate regulatory actions necessary to facilitate the deployment of ITS communication products and services based on the ITS communication standards being developed</w:t>
      </w:r>
    </w:p>
    <w:p w:rsidR="00921263" w:rsidRPr="005367FD" w:rsidRDefault="00B74942" w:rsidP="00B74942">
      <w:pPr>
        <w:pStyle w:val="enumlev1"/>
        <w:rPr>
          <w:lang w:val="en-US"/>
        </w:rPr>
      </w:pPr>
      <w:r w:rsidRPr="005367FD">
        <w:rPr>
          <w:lang w:val="en-US"/>
        </w:rPr>
        <w:t>7</w:t>
      </w:r>
      <w:r w:rsidRPr="005367FD">
        <w:rPr>
          <w:lang w:val="en-US"/>
        </w:rPr>
        <w:tab/>
      </w:r>
      <w:r w:rsidR="00921263" w:rsidRPr="005367FD">
        <w:rPr>
          <w:lang w:val="en-US"/>
        </w:rPr>
        <w:t>Review mobility network services and ITS communications for their application as a ‘last resort’ supplement to other communication systems for emergency and disaster handling.</w:t>
      </w:r>
    </w:p>
    <w:p w:rsidR="00921263" w:rsidRPr="005367FD" w:rsidRDefault="00921263" w:rsidP="00921263">
      <w:pPr>
        <w:tabs>
          <w:tab w:val="clear" w:pos="794"/>
          <w:tab w:val="clear" w:pos="1191"/>
          <w:tab w:val="clear" w:pos="1588"/>
          <w:tab w:val="clear" w:pos="1985"/>
        </w:tabs>
        <w:spacing w:before="0"/>
        <w:rPr>
          <w:b/>
          <w:szCs w:val="24"/>
          <w:lang w:val="en-US"/>
        </w:rPr>
      </w:pPr>
      <w:r w:rsidRPr="005367FD">
        <w:rPr>
          <w:szCs w:val="24"/>
          <w:lang w:val="en-US"/>
        </w:rPr>
        <w:br w:type="page"/>
      </w:r>
    </w:p>
    <w:p w:rsidR="00921263" w:rsidRPr="005367FD" w:rsidRDefault="00921263" w:rsidP="00921263">
      <w:pPr>
        <w:pStyle w:val="Title4"/>
        <w:rPr>
          <w:b w:val="0"/>
          <w:bCs/>
          <w:sz w:val="24"/>
          <w:szCs w:val="24"/>
          <w:lang w:val="en-US"/>
        </w:rPr>
      </w:pPr>
      <w:r w:rsidRPr="005367FD">
        <w:rPr>
          <w:b w:val="0"/>
          <w:bCs/>
          <w:sz w:val="24"/>
          <w:szCs w:val="24"/>
          <w:lang w:val="en-US"/>
        </w:rPr>
        <w:lastRenderedPageBreak/>
        <w:t>ANNEX 2</w:t>
      </w:r>
      <w:r w:rsidRPr="005367FD">
        <w:rPr>
          <w:b w:val="0"/>
          <w:bCs/>
          <w:sz w:val="24"/>
          <w:szCs w:val="24"/>
          <w:lang w:val="en-US"/>
        </w:rPr>
        <w:br/>
        <w:t>(to TSB Circular 255)</w:t>
      </w:r>
    </w:p>
    <w:p w:rsidR="00921263" w:rsidRPr="005367FD" w:rsidRDefault="00921263" w:rsidP="00921263">
      <w:pPr>
        <w:rPr>
          <w:b/>
          <w:bCs/>
          <w:sz w:val="28"/>
          <w:szCs w:val="21"/>
          <w:lang w:val="en-US" w:eastAsia="ja-JP"/>
        </w:rPr>
      </w:pPr>
    </w:p>
    <w:p w:rsidR="00921263" w:rsidRPr="005367FD" w:rsidRDefault="00921263" w:rsidP="00921263">
      <w:pPr>
        <w:ind w:left="1560" w:hanging="1560"/>
        <w:jc w:val="center"/>
        <w:rPr>
          <w:b/>
          <w:bCs/>
          <w:sz w:val="28"/>
          <w:szCs w:val="21"/>
          <w:lang w:val="en-US" w:eastAsia="ja-JP"/>
        </w:rPr>
      </w:pPr>
      <w:r w:rsidRPr="005367FD">
        <w:rPr>
          <w:b/>
          <w:bCs/>
          <w:sz w:val="28"/>
          <w:szCs w:val="21"/>
          <w:lang w:val="en-US" w:eastAsia="ja-JP"/>
        </w:rPr>
        <w:t>Practical Information</w:t>
      </w:r>
    </w:p>
    <w:p w:rsidR="00921263" w:rsidRPr="005367FD" w:rsidRDefault="00921263" w:rsidP="00921263">
      <w:pPr>
        <w:ind w:left="1560" w:hanging="1560"/>
        <w:jc w:val="center"/>
        <w:rPr>
          <w:b/>
          <w:bCs/>
          <w:sz w:val="28"/>
          <w:szCs w:val="21"/>
          <w:lang w:val="en-US" w:eastAsia="ja-JP"/>
        </w:rPr>
      </w:pPr>
    </w:p>
    <w:p w:rsidR="00921263" w:rsidRPr="00D672EF" w:rsidRDefault="00921263" w:rsidP="00921263">
      <w:pPr>
        <w:numPr>
          <w:ilvl w:val="0"/>
          <w:numId w:val="8"/>
        </w:numPr>
        <w:tabs>
          <w:tab w:val="clear" w:pos="794"/>
          <w:tab w:val="clear" w:pos="1191"/>
          <w:tab w:val="left" w:pos="0"/>
          <w:tab w:val="left" w:pos="851"/>
        </w:tabs>
        <w:spacing w:after="225"/>
        <w:ind w:left="0" w:firstLine="0"/>
        <w:textAlignment w:val="top"/>
        <w:outlineLvl w:val="0"/>
        <w:rPr>
          <w:b/>
          <w:bCs/>
          <w:kern w:val="36"/>
          <w:szCs w:val="24"/>
        </w:rPr>
      </w:pPr>
      <w:proofErr w:type="spellStart"/>
      <w:r w:rsidRPr="00D672EF">
        <w:rPr>
          <w:b/>
          <w:bCs/>
          <w:kern w:val="36"/>
          <w:szCs w:val="24"/>
        </w:rPr>
        <w:t>Contact</w:t>
      </w:r>
      <w:proofErr w:type="spellEnd"/>
      <w:r w:rsidRPr="00D672EF">
        <w:rPr>
          <w:b/>
          <w:bCs/>
          <w:kern w:val="36"/>
          <w:szCs w:val="24"/>
        </w:rPr>
        <w:t xml:space="preserve"> </w:t>
      </w:r>
      <w:proofErr w:type="spellStart"/>
      <w:r w:rsidRPr="00D672EF">
        <w:rPr>
          <w:b/>
          <w:bCs/>
          <w:kern w:val="36"/>
          <w:szCs w:val="24"/>
        </w:rPr>
        <w:t>person</w:t>
      </w:r>
      <w:proofErr w:type="spellEnd"/>
      <w:r w:rsidRPr="00D672EF">
        <w:rPr>
          <w:b/>
          <w:bCs/>
          <w:kern w:val="36"/>
          <w:szCs w:val="24"/>
        </w:rPr>
        <w:t xml:space="preserve"> at SAE </w:t>
      </w:r>
      <w:proofErr w:type="spellStart"/>
      <w:r w:rsidRPr="00D672EF">
        <w:rPr>
          <w:b/>
          <w:bCs/>
          <w:kern w:val="36"/>
          <w:szCs w:val="24"/>
        </w:rPr>
        <w:t>Automotive</w:t>
      </w:r>
      <w:proofErr w:type="spellEnd"/>
    </w:p>
    <w:p w:rsidR="00921263" w:rsidRPr="00D672EF" w:rsidRDefault="00921263" w:rsidP="00921263">
      <w:pPr>
        <w:tabs>
          <w:tab w:val="clear" w:pos="794"/>
          <w:tab w:val="clear" w:pos="1191"/>
          <w:tab w:val="left" w:pos="0"/>
          <w:tab w:val="left" w:pos="851"/>
        </w:tabs>
        <w:spacing w:after="225"/>
        <w:textAlignment w:val="top"/>
        <w:outlineLvl w:val="0"/>
        <w:rPr>
          <w:kern w:val="36"/>
          <w:szCs w:val="24"/>
        </w:rPr>
      </w:pPr>
      <w:proofErr w:type="spellStart"/>
      <w:r w:rsidRPr="00D672EF">
        <w:rPr>
          <w:kern w:val="36"/>
          <w:szCs w:val="24"/>
        </w:rPr>
        <w:t>Name</w:t>
      </w:r>
      <w:proofErr w:type="spellEnd"/>
      <w:r w:rsidRPr="00D672EF">
        <w:rPr>
          <w:kern w:val="36"/>
          <w:szCs w:val="24"/>
        </w:rPr>
        <w:t>:</w:t>
      </w:r>
      <w:r w:rsidRPr="00D672EF">
        <w:rPr>
          <w:kern w:val="36"/>
          <w:szCs w:val="24"/>
        </w:rPr>
        <w:tab/>
        <w:t xml:space="preserve">Ms </w:t>
      </w:r>
      <w:proofErr w:type="spellStart"/>
      <w:r w:rsidRPr="00D672EF">
        <w:rPr>
          <w:kern w:val="36"/>
          <w:szCs w:val="24"/>
        </w:rPr>
        <w:t>Micheline</w:t>
      </w:r>
      <w:proofErr w:type="spellEnd"/>
      <w:r w:rsidRPr="00D672EF">
        <w:rPr>
          <w:kern w:val="36"/>
          <w:szCs w:val="24"/>
        </w:rPr>
        <w:t xml:space="preserve"> </w:t>
      </w:r>
      <w:proofErr w:type="spellStart"/>
      <w:r w:rsidRPr="00D672EF">
        <w:rPr>
          <w:kern w:val="36"/>
          <w:szCs w:val="24"/>
        </w:rPr>
        <w:t>Brussow</w:t>
      </w:r>
      <w:proofErr w:type="spellEnd"/>
      <w:r w:rsidRPr="00D672EF">
        <w:rPr>
          <w:kern w:val="36"/>
          <w:szCs w:val="24"/>
        </w:rPr>
        <w:t>, SAE International</w:t>
      </w:r>
      <w:r w:rsidRPr="00D672EF">
        <w:rPr>
          <w:kern w:val="36"/>
          <w:szCs w:val="24"/>
        </w:rPr>
        <w:br/>
        <w:t xml:space="preserve">E-Mail: </w:t>
      </w:r>
      <w:r w:rsidRPr="00D672EF">
        <w:rPr>
          <w:kern w:val="36"/>
          <w:szCs w:val="24"/>
        </w:rPr>
        <w:tab/>
      </w:r>
      <w:hyperlink r:id="rId16" w:history="1">
        <w:r w:rsidRPr="00D672EF">
          <w:rPr>
            <w:rStyle w:val="Hyperlink"/>
            <w:kern w:val="36"/>
            <w:szCs w:val="24"/>
          </w:rPr>
          <w:t>mbrussow@sae.org</w:t>
        </w:r>
      </w:hyperlink>
      <w:r w:rsidRPr="00D672EF">
        <w:rPr>
          <w:kern w:val="36"/>
          <w:szCs w:val="24"/>
        </w:rPr>
        <w:t xml:space="preserve"> </w:t>
      </w:r>
      <w:r w:rsidRPr="00D672EF">
        <w:rPr>
          <w:kern w:val="36"/>
          <w:szCs w:val="24"/>
        </w:rPr>
        <w:br/>
        <w:t xml:space="preserve">Tel: </w:t>
      </w:r>
      <w:r w:rsidRPr="00D672EF">
        <w:rPr>
          <w:kern w:val="36"/>
          <w:szCs w:val="24"/>
        </w:rPr>
        <w:tab/>
        <w:t>+1 248 273 2459</w:t>
      </w:r>
      <w:r w:rsidRPr="00D672EF">
        <w:rPr>
          <w:kern w:val="36"/>
          <w:szCs w:val="24"/>
        </w:rPr>
        <w:br/>
        <w:t xml:space="preserve">Fax: </w:t>
      </w:r>
      <w:r w:rsidRPr="00D672EF">
        <w:rPr>
          <w:kern w:val="36"/>
          <w:szCs w:val="24"/>
        </w:rPr>
        <w:tab/>
        <w:t>+1 248 273 2494</w:t>
      </w:r>
    </w:p>
    <w:p w:rsidR="00921263" w:rsidRPr="00D672EF" w:rsidRDefault="00921263" w:rsidP="00921263">
      <w:pPr>
        <w:numPr>
          <w:ilvl w:val="0"/>
          <w:numId w:val="8"/>
        </w:numPr>
        <w:tabs>
          <w:tab w:val="clear" w:pos="794"/>
          <w:tab w:val="clear" w:pos="1191"/>
          <w:tab w:val="left" w:pos="0"/>
          <w:tab w:val="left" w:pos="851"/>
        </w:tabs>
        <w:spacing w:after="225"/>
        <w:ind w:left="0" w:firstLine="0"/>
        <w:textAlignment w:val="top"/>
        <w:outlineLvl w:val="0"/>
        <w:rPr>
          <w:b/>
          <w:bCs/>
          <w:kern w:val="36"/>
          <w:szCs w:val="24"/>
        </w:rPr>
      </w:pPr>
      <w:proofErr w:type="spellStart"/>
      <w:r w:rsidRPr="00D672EF">
        <w:rPr>
          <w:b/>
          <w:bCs/>
          <w:kern w:val="36"/>
          <w:szCs w:val="24"/>
        </w:rPr>
        <w:t>Directions</w:t>
      </w:r>
      <w:proofErr w:type="spellEnd"/>
      <w:r w:rsidRPr="00D672EF">
        <w:rPr>
          <w:b/>
          <w:bCs/>
          <w:kern w:val="36"/>
          <w:szCs w:val="24"/>
        </w:rPr>
        <w:t xml:space="preserve"> </w:t>
      </w:r>
      <w:proofErr w:type="spellStart"/>
      <w:r w:rsidRPr="00D672EF">
        <w:rPr>
          <w:b/>
          <w:bCs/>
          <w:kern w:val="36"/>
          <w:szCs w:val="24"/>
        </w:rPr>
        <w:t>to</w:t>
      </w:r>
      <w:proofErr w:type="spellEnd"/>
      <w:r w:rsidRPr="00D672EF">
        <w:rPr>
          <w:b/>
          <w:bCs/>
          <w:kern w:val="36"/>
          <w:szCs w:val="24"/>
        </w:rPr>
        <w:t xml:space="preserve"> SAE </w:t>
      </w:r>
      <w:proofErr w:type="spellStart"/>
      <w:r w:rsidRPr="00D672EF">
        <w:rPr>
          <w:b/>
          <w:bCs/>
          <w:kern w:val="36"/>
          <w:szCs w:val="24"/>
        </w:rPr>
        <w:t>Automotive</w:t>
      </w:r>
      <w:proofErr w:type="spellEnd"/>
      <w:r w:rsidRPr="00D672EF">
        <w:rPr>
          <w:b/>
          <w:bCs/>
          <w:kern w:val="36"/>
          <w:szCs w:val="24"/>
        </w:rPr>
        <w:t xml:space="preserve"> </w:t>
      </w:r>
      <w:proofErr w:type="spellStart"/>
      <w:r w:rsidRPr="00D672EF">
        <w:rPr>
          <w:b/>
          <w:bCs/>
          <w:kern w:val="36"/>
          <w:szCs w:val="24"/>
        </w:rPr>
        <w:t>Headquarters</w:t>
      </w:r>
      <w:proofErr w:type="spellEnd"/>
      <w:r w:rsidRPr="00D672EF">
        <w:rPr>
          <w:b/>
          <w:bCs/>
          <w:kern w:val="36"/>
          <w:szCs w:val="24"/>
        </w:rPr>
        <w:t xml:space="preserve"> </w:t>
      </w:r>
    </w:p>
    <w:p w:rsidR="00921263" w:rsidRPr="005367FD" w:rsidRDefault="00921263" w:rsidP="00921263">
      <w:pPr>
        <w:spacing w:before="180" w:after="180"/>
        <w:textAlignment w:val="top"/>
        <w:rPr>
          <w:szCs w:val="24"/>
          <w:lang w:val="en-US"/>
        </w:rPr>
      </w:pPr>
      <w:r w:rsidRPr="005367FD">
        <w:rPr>
          <w:szCs w:val="24"/>
          <w:lang w:val="en-US"/>
        </w:rPr>
        <w:t xml:space="preserve">755 W. Big Beaver, Suite 1600, </w:t>
      </w:r>
      <w:proofErr w:type="gramStart"/>
      <w:r w:rsidRPr="005367FD">
        <w:rPr>
          <w:szCs w:val="24"/>
          <w:lang w:val="en-US"/>
        </w:rPr>
        <w:t>Troy MI 48084</w:t>
      </w:r>
      <w:r w:rsidRPr="005367FD">
        <w:rPr>
          <w:szCs w:val="24"/>
          <w:lang w:val="en-US"/>
        </w:rPr>
        <w:br/>
        <w:t>Telephone</w:t>
      </w:r>
      <w:proofErr w:type="gramEnd"/>
      <w:r w:rsidRPr="005367FD">
        <w:rPr>
          <w:szCs w:val="24"/>
          <w:lang w:val="en-US"/>
        </w:rPr>
        <w:t xml:space="preserve"> number: 248/273-2455</w:t>
      </w:r>
      <w:r w:rsidRPr="005367FD">
        <w:rPr>
          <w:szCs w:val="24"/>
          <w:lang w:val="en-US"/>
        </w:rPr>
        <w:br/>
        <w:t>Fax number: 248/273-2494.</w:t>
      </w:r>
    </w:p>
    <w:p w:rsidR="00921263" w:rsidRPr="005367FD" w:rsidRDefault="003571A9" w:rsidP="00921263">
      <w:pPr>
        <w:spacing w:before="180" w:after="180"/>
        <w:textAlignment w:val="top"/>
        <w:rPr>
          <w:szCs w:val="24"/>
          <w:lang w:val="en-US"/>
        </w:rPr>
      </w:pPr>
      <w:hyperlink r:id="rId17" w:history="1">
        <w:r w:rsidR="00921263" w:rsidRPr="005367FD">
          <w:rPr>
            <w:rStyle w:val="Hyperlink"/>
            <w:lang w:val="en-US"/>
          </w:rPr>
          <w:t>Map of Troy, Michigan</w:t>
        </w:r>
      </w:hyperlink>
    </w:p>
    <w:p w:rsidR="00921263" w:rsidRPr="005367FD" w:rsidRDefault="00921263" w:rsidP="00921263">
      <w:pPr>
        <w:spacing w:before="180" w:after="180"/>
        <w:textAlignment w:val="top"/>
        <w:rPr>
          <w:szCs w:val="24"/>
          <w:lang w:val="en-US"/>
        </w:rPr>
      </w:pPr>
      <w:r w:rsidRPr="005367FD">
        <w:rPr>
          <w:b/>
          <w:bCs/>
          <w:szCs w:val="24"/>
          <w:lang w:val="en-US"/>
        </w:rPr>
        <w:t>From North</w:t>
      </w:r>
      <w:r w:rsidRPr="005367FD">
        <w:rPr>
          <w:szCs w:val="24"/>
          <w:lang w:val="en-US"/>
        </w:rPr>
        <w:br/>
        <w:t>Take I-75 South to Exit 69, Big Beaver West. As you exit I-75 onto Big Beaver, stay in the left lane. Make a U-turn at the first possible/legal turn around island. Move to the right lane immediately. Turn right onto Troy Center Drive and make the first left turn into the PNC Center parking lot. Parking is free. PNC Center is the tallest building in the area. It is located on the southwest corner of the I-75/Big Beaver intersection.</w:t>
      </w:r>
    </w:p>
    <w:p w:rsidR="00921263" w:rsidRPr="005367FD" w:rsidRDefault="00921263" w:rsidP="00921263">
      <w:pPr>
        <w:spacing w:before="180" w:after="180"/>
        <w:textAlignment w:val="top"/>
        <w:rPr>
          <w:szCs w:val="24"/>
          <w:lang w:val="en-US"/>
        </w:rPr>
      </w:pPr>
      <w:r w:rsidRPr="005367FD">
        <w:rPr>
          <w:b/>
          <w:bCs/>
          <w:szCs w:val="24"/>
          <w:lang w:val="en-US"/>
        </w:rPr>
        <w:t>From the Detroit Metro Airport</w:t>
      </w:r>
      <w:r w:rsidRPr="005367FD">
        <w:rPr>
          <w:szCs w:val="24"/>
          <w:lang w:val="en-US"/>
        </w:rPr>
        <w:br/>
        <w:t>From the Detroit Metro Airport, take I-94 East to I-75 North to Exit 69, Big Beaver West. As you exit I-75 onto Big Beaver, stay in the left lane. Make a U-turn at the first possible/legal turn around island. Move to the right lane immediately. Turn right onto Troy Center Drive and make the first left turn into the PNC Center parking lot. Parking is free. PNC Center is the tallest building in the area. It is located on the southwest corner of the I-75/Big Beaver intersection.</w:t>
      </w:r>
    </w:p>
    <w:p w:rsidR="00921263" w:rsidRPr="005367FD" w:rsidRDefault="00921263" w:rsidP="00921263">
      <w:pPr>
        <w:spacing w:before="180" w:after="180"/>
        <w:textAlignment w:val="top"/>
        <w:rPr>
          <w:szCs w:val="24"/>
          <w:lang w:val="en-US"/>
        </w:rPr>
      </w:pPr>
      <w:r w:rsidRPr="005367FD">
        <w:rPr>
          <w:b/>
          <w:bCs/>
          <w:szCs w:val="24"/>
          <w:lang w:val="en-US"/>
        </w:rPr>
        <w:t>From East</w:t>
      </w:r>
      <w:r w:rsidRPr="005367FD">
        <w:rPr>
          <w:szCs w:val="24"/>
          <w:lang w:val="en-US"/>
        </w:rPr>
        <w:br/>
        <w:t>Take I-696 West to I-75 North to Exit 69, Big Beaver West. As you exit I-75 onto Big Beaver, stay in the left lane. Make a U-turn at the first possible/legal turn around island. Move to the right lane immediately. Turn right onto Troy Center Drive and make the first left turn into the PNC Center parking lot. Parking is free. PNC Center is the tallest building in the area. It is located on the southwest corner of the I-75/Big Beaver intersection.</w:t>
      </w:r>
    </w:p>
    <w:p w:rsidR="00921263" w:rsidRPr="005367FD" w:rsidRDefault="00921263" w:rsidP="00921263">
      <w:pPr>
        <w:spacing w:before="180" w:after="180"/>
        <w:textAlignment w:val="top"/>
        <w:rPr>
          <w:szCs w:val="24"/>
          <w:lang w:val="en-US"/>
        </w:rPr>
      </w:pPr>
      <w:r w:rsidRPr="005367FD">
        <w:rPr>
          <w:b/>
          <w:bCs/>
          <w:szCs w:val="24"/>
          <w:lang w:val="en-US"/>
        </w:rPr>
        <w:t>From West</w:t>
      </w:r>
      <w:r w:rsidRPr="005367FD">
        <w:rPr>
          <w:szCs w:val="24"/>
          <w:lang w:val="en-US"/>
        </w:rPr>
        <w:br/>
        <w:t>Take I-696 East to I-75 North to Exit 69, Big Beaver West. As you exit I-75 onto Big Beaver, stay in the left lane. Make a U-turn at the first possible/legal turn around island. Move to the right lane immediately. Turn right onto Troy Center Drive and make the first left turn into the PNC Center parking lot. Parking is free. PNC Center is the tallest building in the area. It is located on the southwest corner of the I-75/Big Beaver intersection.</w:t>
      </w:r>
    </w:p>
    <w:p w:rsidR="00921263" w:rsidRPr="005367FD" w:rsidRDefault="00921263" w:rsidP="00921263">
      <w:pPr>
        <w:rPr>
          <w:b/>
          <w:szCs w:val="24"/>
          <w:lang w:val="en-US"/>
        </w:rPr>
      </w:pPr>
      <w:r w:rsidRPr="005367FD">
        <w:rPr>
          <w:b/>
          <w:szCs w:val="24"/>
          <w:lang w:val="en-US"/>
        </w:rPr>
        <w:t>Transportation to and from airport</w:t>
      </w:r>
    </w:p>
    <w:p w:rsidR="00921263" w:rsidRPr="005367FD" w:rsidRDefault="00921263" w:rsidP="00921263">
      <w:pPr>
        <w:rPr>
          <w:szCs w:val="24"/>
          <w:lang w:val="en-US"/>
        </w:rPr>
      </w:pPr>
      <w:r w:rsidRPr="005367FD">
        <w:rPr>
          <w:szCs w:val="24"/>
          <w:lang w:val="en-US"/>
        </w:rPr>
        <w:t xml:space="preserve">Click on the link below and then click on "ground transportation" for car rental, metro car service, and metro cab service: </w:t>
      </w:r>
      <w:hyperlink r:id="rId18" w:history="1">
        <w:r w:rsidRPr="005367FD">
          <w:rPr>
            <w:rStyle w:val="Hyperlink"/>
            <w:lang w:val="en-US"/>
          </w:rPr>
          <w:t>http://www.metroairport.com/</w:t>
        </w:r>
      </w:hyperlink>
    </w:p>
    <w:p w:rsidR="00921263" w:rsidRPr="005367FD" w:rsidRDefault="00921263" w:rsidP="00921263">
      <w:pPr>
        <w:rPr>
          <w:b/>
          <w:szCs w:val="24"/>
          <w:lang w:val="en-US"/>
        </w:rPr>
      </w:pPr>
      <w:r w:rsidRPr="005367FD">
        <w:rPr>
          <w:lang w:val="en-US"/>
        </w:rPr>
        <w:br w:type="page"/>
      </w:r>
      <w:r w:rsidRPr="005367FD">
        <w:rPr>
          <w:b/>
          <w:bCs/>
          <w:lang w:val="en-US"/>
        </w:rPr>
        <w:lastRenderedPageBreak/>
        <w:t>3</w:t>
      </w:r>
      <w:r w:rsidRPr="005367FD">
        <w:rPr>
          <w:b/>
          <w:szCs w:val="24"/>
          <w:lang w:val="en-US"/>
        </w:rPr>
        <w:t xml:space="preserve">. </w:t>
      </w:r>
      <w:r w:rsidRPr="005367FD">
        <w:rPr>
          <w:b/>
          <w:szCs w:val="24"/>
          <w:lang w:val="en-US"/>
        </w:rPr>
        <w:tab/>
        <w:t>SAE International Corporate Rates (rev 1/10/11)</w:t>
      </w:r>
    </w:p>
    <w:p w:rsidR="00921263" w:rsidRPr="005367FD" w:rsidRDefault="00921263" w:rsidP="00921263">
      <w:pPr>
        <w:rPr>
          <w:szCs w:val="24"/>
          <w:lang w:val="en-US"/>
        </w:rPr>
      </w:pPr>
    </w:p>
    <w:tbl>
      <w:tblPr>
        <w:tblStyle w:val="TableGrid"/>
        <w:tblW w:w="5000" w:type="pct"/>
        <w:tblLayout w:type="fixed"/>
        <w:tblLook w:val="0000" w:firstRow="0" w:lastRow="0" w:firstColumn="0" w:lastColumn="0" w:noHBand="0" w:noVBand="0"/>
      </w:tblPr>
      <w:tblGrid>
        <w:gridCol w:w="1654"/>
        <w:gridCol w:w="2105"/>
        <w:gridCol w:w="1545"/>
        <w:gridCol w:w="4551"/>
      </w:tblGrid>
      <w:tr w:rsidR="00921263" w:rsidRPr="00D672EF" w:rsidTr="008066A3">
        <w:trPr>
          <w:trHeight w:val="403"/>
        </w:trPr>
        <w:tc>
          <w:tcPr>
            <w:tcW w:w="839" w:type="pct"/>
          </w:tcPr>
          <w:p w:rsidR="00921263" w:rsidRPr="005367FD" w:rsidRDefault="00921263" w:rsidP="008066A3">
            <w:pPr>
              <w:jc w:val="center"/>
              <w:rPr>
                <w:b/>
                <w:bCs/>
                <w:lang w:val="en-US"/>
              </w:rPr>
            </w:pPr>
          </w:p>
          <w:p w:rsidR="00921263" w:rsidRPr="00D672EF" w:rsidRDefault="00921263" w:rsidP="008066A3">
            <w:pPr>
              <w:jc w:val="center"/>
              <w:rPr>
                <w:b/>
                <w:bCs/>
              </w:rPr>
            </w:pPr>
            <w:r w:rsidRPr="00D672EF">
              <w:rPr>
                <w:b/>
                <w:bCs/>
              </w:rPr>
              <w:t>HOTEL</w:t>
            </w:r>
          </w:p>
        </w:tc>
        <w:tc>
          <w:tcPr>
            <w:tcW w:w="1068" w:type="pct"/>
          </w:tcPr>
          <w:p w:rsidR="00921263" w:rsidRPr="00D672EF" w:rsidRDefault="00921263" w:rsidP="008066A3">
            <w:pPr>
              <w:jc w:val="center"/>
              <w:rPr>
                <w:b/>
                <w:bCs/>
              </w:rPr>
            </w:pPr>
          </w:p>
          <w:p w:rsidR="00921263" w:rsidRPr="00D672EF" w:rsidRDefault="00921263" w:rsidP="008066A3">
            <w:pPr>
              <w:jc w:val="center"/>
              <w:rPr>
                <w:b/>
                <w:bCs/>
              </w:rPr>
            </w:pPr>
            <w:r w:rsidRPr="00D672EF">
              <w:rPr>
                <w:b/>
                <w:bCs/>
              </w:rPr>
              <w:t>LOCATION</w:t>
            </w:r>
          </w:p>
        </w:tc>
        <w:tc>
          <w:tcPr>
            <w:tcW w:w="784" w:type="pct"/>
          </w:tcPr>
          <w:p w:rsidR="00921263" w:rsidRPr="00D672EF" w:rsidRDefault="00921263" w:rsidP="008066A3">
            <w:pPr>
              <w:jc w:val="center"/>
              <w:rPr>
                <w:b/>
                <w:bCs/>
              </w:rPr>
            </w:pPr>
          </w:p>
          <w:p w:rsidR="00921263" w:rsidRPr="00D672EF" w:rsidRDefault="00921263" w:rsidP="008066A3">
            <w:pPr>
              <w:jc w:val="center"/>
              <w:rPr>
                <w:b/>
                <w:bCs/>
              </w:rPr>
            </w:pPr>
            <w:r w:rsidRPr="00D672EF">
              <w:rPr>
                <w:b/>
                <w:bCs/>
              </w:rPr>
              <w:t>PHONE #</w:t>
            </w:r>
          </w:p>
        </w:tc>
        <w:tc>
          <w:tcPr>
            <w:tcW w:w="2309" w:type="pct"/>
          </w:tcPr>
          <w:p w:rsidR="00921263" w:rsidRPr="00D672EF" w:rsidRDefault="00921263" w:rsidP="008066A3">
            <w:pPr>
              <w:jc w:val="center"/>
              <w:rPr>
                <w:b/>
                <w:bCs/>
              </w:rPr>
            </w:pPr>
          </w:p>
        </w:tc>
      </w:tr>
      <w:tr w:rsidR="00921263" w:rsidRPr="001F6E09" w:rsidTr="008066A3">
        <w:trPr>
          <w:trHeight w:val="363"/>
        </w:trPr>
        <w:tc>
          <w:tcPr>
            <w:tcW w:w="839" w:type="pct"/>
          </w:tcPr>
          <w:p w:rsidR="00921263" w:rsidRPr="00D672EF" w:rsidRDefault="00921263" w:rsidP="008066A3">
            <w:pPr>
              <w:tabs>
                <w:tab w:val="left" w:pos="737"/>
                <w:tab w:val="left" w:pos="1134"/>
              </w:tabs>
              <w:spacing w:before="100" w:beforeAutospacing="1" w:after="100" w:afterAutospacing="1"/>
              <w:ind w:right="480"/>
              <w:rPr>
                <w:b/>
                <w:bCs/>
                <w:szCs w:val="24"/>
              </w:rPr>
            </w:pPr>
            <w:proofErr w:type="spellStart"/>
            <w:r w:rsidRPr="00D672EF">
              <w:rPr>
                <w:rStyle w:val="Strong"/>
                <w:szCs w:val="24"/>
              </w:rPr>
              <w:t>Drury</w:t>
            </w:r>
            <w:proofErr w:type="spellEnd"/>
            <w:r w:rsidRPr="00D672EF">
              <w:rPr>
                <w:rStyle w:val="Strong"/>
                <w:szCs w:val="24"/>
              </w:rPr>
              <w:t xml:space="preserve"> </w:t>
            </w:r>
            <w:proofErr w:type="spellStart"/>
            <w:r w:rsidRPr="00D672EF">
              <w:rPr>
                <w:rStyle w:val="Strong"/>
                <w:szCs w:val="24"/>
              </w:rPr>
              <w:t>Inn</w:t>
            </w:r>
            <w:proofErr w:type="spellEnd"/>
          </w:p>
        </w:tc>
        <w:tc>
          <w:tcPr>
            <w:tcW w:w="1068" w:type="pct"/>
          </w:tcPr>
          <w:p w:rsidR="00921263" w:rsidRPr="005367FD" w:rsidRDefault="00921263" w:rsidP="008066A3">
            <w:pPr>
              <w:rPr>
                <w:lang w:val="en-US"/>
              </w:rPr>
            </w:pPr>
            <w:r w:rsidRPr="005367FD">
              <w:rPr>
                <w:lang w:val="en-US"/>
              </w:rPr>
              <w:t>575 W. Big Beaver</w:t>
            </w:r>
          </w:p>
          <w:p w:rsidR="00921263" w:rsidRPr="005367FD" w:rsidRDefault="00921263" w:rsidP="008066A3">
            <w:pPr>
              <w:rPr>
                <w:lang w:val="en-US"/>
              </w:rPr>
            </w:pPr>
            <w:r w:rsidRPr="005367FD">
              <w:rPr>
                <w:lang w:val="en-US"/>
              </w:rPr>
              <w:t>Troy, MI 48084</w:t>
            </w:r>
          </w:p>
          <w:p w:rsidR="00921263" w:rsidRPr="00D672EF" w:rsidRDefault="00921263" w:rsidP="008066A3">
            <w:r w:rsidRPr="00D672EF">
              <w:t>(</w:t>
            </w:r>
            <w:proofErr w:type="spellStart"/>
            <w:r w:rsidRPr="00D672EF">
              <w:t>approximately</w:t>
            </w:r>
            <w:proofErr w:type="spellEnd"/>
            <w:r w:rsidRPr="00D672EF">
              <w:t xml:space="preserve"> ¼ </w:t>
            </w:r>
            <w:proofErr w:type="spellStart"/>
            <w:r w:rsidRPr="00D672EF">
              <w:t>mile</w:t>
            </w:r>
            <w:proofErr w:type="spellEnd"/>
            <w:r w:rsidRPr="00D672EF">
              <w:t xml:space="preserve"> </w:t>
            </w:r>
            <w:proofErr w:type="spellStart"/>
            <w:r w:rsidRPr="00D672EF">
              <w:t>from</w:t>
            </w:r>
            <w:proofErr w:type="spellEnd"/>
            <w:r w:rsidRPr="00D672EF">
              <w:t xml:space="preserve"> SAE)</w:t>
            </w:r>
          </w:p>
        </w:tc>
        <w:tc>
          <w:tcPr>
            <w:tcW w:w="784" w:type="pct"/>
          </w:tcPr>
          <w:p w:rsidR="00921263" w:rsidRPr="00D672EF" w:rsidRDefault="00921263" w:rsidP="008066A3">
            <w:r w:rsidRPr="00D672EF">
              <w:t>1-248/528-3330</w:t>
            </w:r>
          </w:p>
          <w:p w:rsidR="00921263" w:rsidRPr="00D672EF" w:rsidRDefault="00921263" w:rsidP="008066A3">
            <w:r w:rsidRPr="00D672EF">
              <w:t>Fax: 1-248/528-3330</w:t>
            </w:r>
          </w:p>
        </w:tc>
        <w:tc>
          <w:tcPr>
            <w:tcW w:w="2309" w:type="pct"/>
          </w:tcPr>
          <w:p w:rsidR="00921263" w:rsidRPr="005367FD" w:rsidRDefault="00921263" w:rsidP="008066A3">
            <w:pPr>
              <w:tabs>
                <w:tab w:val="left" w:pos="0"/>
                <w:tab w:val="left" w:pos="737"/>
                <w:tab w:val="left" w:pos="1134"/>
              </w:tabs>
              <w:suppressAutoHyphens/>
              <w:spacing w:line="260" w:lineRule="exact"/>
              <w:rPr>
                <w:szCs w:val="24"/>
                <w:lang w:val="en-US"/>
              </w:rPr>
            </w:pPr>
            <w:r w:rsidRPr="005367FD">
              <w:rPr>
                <w:b/>
                <w:szCs w:val="24"/>
                <w:lang w:val="en-US"/>
              </w:rPr>
              <w:t>SAE Corporate Rate  2011</w:t>
            </w:r>
            <w:r w:rsidRPr="005367FD">
              <w:rPr>
                <w:szCs w:val="24"/>
                <w:lang w:val="en-US"/>
              </w:rPr>
              <w:t xml:space="preserve"> </w:t>
            </w:r>
          </w:p>
          <w:p w:rsidR="00921263" w:rsidRPr="005367FD" w:rsidRDefault="00921263" w:rsidP="008066A3">
            <w:pPr>
              <w:tabs>
                <w:tab w:val="left" w:pos="0"/>
              </w:tabs>
              <w:suppressAutoHyphens/>
              <w:spacing w:line="260" w:lineRule="exact"/>
              <w:rPr>
                <w:szCs w:val="24"/>
                <w:lang w:val="en-US"/>
              </w:rPr>
            </w:pPr>
            <w:r w:rsidRPr="005367FD">
              <w:rPr>
                <w:szCs w:val="24"/>
                <w:lang w:val="en-US"/>
              </w:rPr>
              <w:t>$88.99 Double</w:t>
            </w:r>
          </w:p>
          <w:p w:rsidR="00921263" w:rsidRPr="005367FD" w:rsidRDefault="00921263" w:rsidP="008066A3">
            <w:pPr>
              <w:tabs>
                <w:tab w:val="left" w:pos="0"/>
              </w:tabs>
              <w:suppressAutoHyphens/>
              <w:spacing w:line="260" w:lineRule="exact"/>
              <w:rPr>
                <w:szCs w:val="24"/>
                <w:lang w:val="en-US"/>
              </w:rPr>
            </w:pPr>
            <w:r w:rsidRPr="005367FD">
              <w:rPr>
                <w:szCs w:val="24"/>
                <w:lang w:val="en-US"/>
              </w:rPr>
              <w:t xml:space="preserve">$98.99 King </w:t>
            </w:r>
          </w:p>
          <w:p w:rsidR="00921263" w:rsidRPr="005367FD" w:rsidRDefault="00921263" w:rsidP="008066A3">
            <w:pPr>
              <w:rPr>
                <w:szCs w:val="24"/>
                <w:lang w:val="en-US"/>
              </w:rPr>
            </w:pPr>
          </w:p>
          <w:p w:rsidR="00921263" w:rsidRPr="005367FD" w:rsidRDefault="00921263" w:rsidP="008066A3">
            <w:pPr>
              <w:rPr>
                <w:szCs w:val="24"/>
                <w:lang w:val="en-US"/>
              </w:rPr>
            </w:pPr>
            <w:r w:rsidRPr="005367FD">
              <w:rPr>
                <w:szCs w:val="24"/>
                <w:lang w:val="en-US"/>
              </w:rPr>
              <w:t>Complimentary hot breakfast daily</w:t>
            </w:r>
          </w:p>
          <w:p w:rsidR="00921263" w:rsidRPr="005367FD" w:rsidRDefault="00921263" w:rsidP="008066A3">
            <w:pPr>
              <w:rPr>
                <w:szCs w:val="24"/>
                <w:lang w:val="en-US"/>
              </w:rPr>
            </w:pPr>
            <w:r w:rsidRPr="005367FD">
              <w:rPr>
                <w:szCs w:val="24"/>
                <w:lang w:val="en-US"/>
              </w:rPr>
              <w:t>Complimentary appetizers and three free cocktails each evening</w:t>
            </w:r>
          </w:p>
          <w:p w:rsidR="00921263" w:rsidRPr="005367FD" w:rsidRDefault="00921263" w:rsidP="008066A3">
            <w:pPr>
              <w:rPr>
                <w:szCs w:val="24"/>
                <w:lang w:val="en-US"/>
              </w:rPr>
            </w:pPr>
            <w:r w:rsidRPr="005367FD">
              <w:rPr>
                <w:szCs w:val="24"/>
                <w:lang w:val="en-US"/>
              </w:rPr>
              <w:t>Free internet</w:t>
            </w:r>
          </w:p>
          <w:p w:rsidR="00921263" w:rsidRPr="005367FD" w:rsidRDefault="00921263" w:rsidP="008066A3">
            <w:pPr>
              <w:rPr>
                <w:szCs w:val="24"/>
                <w:lang w:val="en-US"/>
              </w:rPr>
            </w:pPr>
            <w:r w:rsidRPr="005367FD">
              <w:rPr>
                <w:szCs w:val="24"/>
                <w:lang w:val="en-US"/>
              </w:rPr>
              <w:t>Free shuttle service (5 mile radius)</w:t>
            </w:r>
          </w:p>
          <w:p w:rsidR="00921263" w:rsidRPr="005367FD" w:rsidRDefault="00921263" w:rsidP="008066A3">
            <w:pPr>
              <w:rPr>
                <w:szCs w:val="24"/>
                <w:lang w:val="en-US"/>
              </w:rPr>
            </w:pPr>
          </w:p>
          <w:p w:rsidR="00921263" w:rsidRPr="005367FD" w:rsidRDefault="00921263" w:rsidP="008066A3">
            <w:pPr>
              <w:rPr>
                <w:szCs w:val="24"/>
                <w:lang w:val="en-US"/>
              </w:rPr>
            </w:pPr>
            <w:r w:rsidRPr="005367FD">
              <w:rPr>
                <w:szCs w:val="24"/>
                <w:lang w:val="en-US"/>
              </w:rPr>
              <w:t xml:space="preserve">NOTE: </w:t>
            </w:r>
            <w:r w:rsidRPr="005367FD">
              <w:rPr>
                <w:b/>
                <w:szCs w:val="24"/>
                <w:lang w:val="en-US"/>
              </w:rPr>
              <w:t>Must use</w:t>
            </w:r>
            <w:r w:rsidRPr="005367FD">
              <w:rPr>
                <w:szCs w:val="24"/>
                <w:lang w:val="en-US"/>
              </w:rPr>
              <w:t xml:space="preserve"> 1-800-DRURYINN (378-7946) and request the SAE International Corporate ID #305431 rate.  </w:t>
            </w:r>
          </w:p>
        </w:tc>
      </w:tr>
      <w:tr w:rsidR="00921263" w:rsidRPr="001F6E09" w:rsidTr="008066A3">
        <w:trPr>
          <w:trHeight w:val="778"/>
        </w:trPr>
        <w:tc>
          <w:tcPr>
            <w:tcW w:w="839" w:type="pct"/>
          </w:tcPr>
          <w:p w:rsidR="00921263" w:rsidRPr="00D672EF" w:rsidRDefault="00921263" w:rsidP="008066A3">
            <w:pPr>
              <w:tabs>
                <w:tab w:val="left" w:pos="0"/>
                <w:tab w:val="left" w:pos="737"/>
                <w:tab w:val="left" w:pos="1134"/>
              </w:tabs>
              <w:suppressAutoHyphens/>
              <w:spacing w:line="260" w:lineRule="exact"/>
              <w:ind w:right="480"/>
              <w:rPr>
                <w:b/>
                <w:szCs w:val="24"/>
              </w:rPr>
            </w:pPr>
            <w:proofErr w:type="spellStart"/>
            <w:r w:rsidRPr="00D672EF">
              <w:rPr>
                <w:b/>
                <w:szCs w:val="24"/>
              </w:rPr>
              <w:t>Embassy</w:t>
            </w:r>
            <w:proofErr w:type="spellEnd"/>
            <w:r w:rsidRPr="00D672EF">
              <w:rPr>
                <w:b/>
                <w:szCs w:val="24"/>
              </w:rPr>
              <w:t xml:space="preserve"> Suites</w:t>
            </w:r>
          </w:p>
        </w:tc>
        <w:tc>
          <w:tcPr>
            <w:tcW w:w="1068" w:type="pct"/>
          </w:tcPr>
          <w:p w:rsidR="00921263" w:rsidRPr="005367FD" w:rsidRDefault="00921263" w:rsidP="008066A3">
            <w:pPr>
              <w:rPr>
                <w:lang w:val="en-US"/>
              </w:rPr>
            </w:pPr>
            <w:r w:rsidRPr="005367FD">
              <w:rPr>
                <w:lang w:val="en-US"/>
              </w:rPr>
              <w:t>850 Tower Drive</w:t>
            </w:r>
          </w:p>
          <w:p w:rsidR="00921263" w:rsidRPr="005367FD" w:rsidRDefault="00921263" w:rsidP="008066A3">
            <w:pPr>
              <w:rPr>
                <w:lang w:val="en-US"/>
              </w:rPr>
            </w:pPr>
            <w:r w:rsidRPr="005367FD">
              <w:rPr>
                <w:lang w:val="en-US"/>
              </w:rPr>
              <w:t>Troy, MI 48098</w:t>
            </w:r>
          </w:p>
          <w:p w:rsidR="00921263" w:rsidRPr="005367FD" w:rsidRDefault="00921263" w:rsidP="008066A3">
            <w:pPr>
              <w:rPr>
                <w:lang w:val="en-US"/>
              </w:rPr>
            </w:pPr>
            <w:r w:rsidRPr="005367FD">
              <w:rPr>
                <w:lang w:val="en-US"/>
              </w:rPr>
              <w:t>(approximately 3.4 miles from SAE)</w:t>
            </w:r>
          </w:p>
        </w:tc>
        <w:tc>
          <w:tcPr>
            <w:tcW w:w="784" w:type="pct"/>
          </w:tcPr>
          <w:p w:rsidR="00921263" w:rsidRPr="00D672EF" w:rsidRDefault="00921263" w:rsidP="008066A3">
            <w:r w:rsidRPr="00D672EF">
              <w:t>1-248-879-7500</w:t>
            </w:r>
          </w:p>
        </w:tc>
        <w:tc>
          <w:tcPr>
            <w:tcW w:w="2309" w:type="pct"/>
          </w:tcPr>
          <w:p w:rsidR="00921263" w:rsidRPr="005367FD" w:rsidRDefault="00921263" w:rsidP="008066A3">
            <w:pPr>
              <w:rPr>
                <w:b/>
                <w:bCs/>
                <w:lang w:val="en-US"/>
              </w:rPr>
            </w:pPr>
            <w:r w:rsidRPr="005367FD">
              <w:rPr>
                <w:b/>
                <w:bCs/>
                <w:lang w:val="en-US"/>
              </w:rPr>
              <w:t>SAE Corporate Rate 2011</w:t>
            </w:r>
          </w:p>
          <w:p w:rsidR="00921263" w:rsidRPr="005367FD" w:rsidRDefault="00921263" w:rsidP="008066A3">
            <w:pPr>
              <w:rPr>
                <w:lang w:val="en-US"/>
              </w:rPr>
            </w:pPr>
            <w:r w:rsidRPr="005367FD">
              <w:rPr>
                <w:lang w:val="en-US"/>
              </w:rPr>
              <w:t xml:space="preserve">$119 king suite </w:t>
            </w:r>
          </w:p>
          <w:p w:rsidR="00921263" w:rsidRPr="005367FD" w:rsidRDefault="00921263" w:rsidP="008066A3">
            <w:pPr>
              <w:rPr>
                <w:lang w:val="en-US"/>
              </w:rPr>
            </w:pPr>
            <w:r w:rsidRPr="005367FD">
              <w:rPr>
                <w:lang w:val="en-US"/>
              </w:rPr>
              <w:t>Free internet</w:t>
            </w:r>
          </w:p>
          <w:p w:rsidR="00921263" w:rsidRPr="005367FD" w:rsidRDefault="00921263" w:rsidP="008066A3">
            <w:pPr>
              <w:rPr>
                <w:lang w:val="en-US"/>
              </w:rPr>
            </w:pPr>
            <w:r w:rsidRPr="005367FD">
              <w:rPr>
                <w:lang w:val="en-US"/>
              </w:rPr>
              <w:t>Complimentary cooked to order breakfast</w:t>
            </w:r>
          </w:p>
          <w:p w:rsidR="00921263" w:rsidRPr="005367FD" w:rsidRDefault="00921263" w:rsidP="008066A3">
            <w:pPr>
              <w:rPr>
                <w:lang w:val="en-US"/>
              </w:rPr>
            </w:pPr>
            <w:r w:rsidRPr="005367FD">
              <w:rPr>
                <w:lang w:val="en-US"/>
              </w:rPr>
              <w:t>Complimentary manager’s reception 5:30 to 7:30 pm</w:t>
            </w:r>
          </w:p>
          <w:p w:rsidR="00921263" w:rsidRPr="005367FD" w:rsidRDefault="00921263" w:rsidP="008066A3">
            <w:pPr>
              <w:rPr>
                <w:lang w:val="en-US"/>
              </w:rPr>
            </w:pPr>
            <w:r w:rsidRPr="005367FD">
              <w:rPr>
                <w:lang w:val="en-US"/>
              </w:rPr>
              <w:t>Complimentary local shuttle</w:t>
            </w:r>
          </w:p>
          <w:p w:rsidR="00921263" w:rsidRPr="005367FD" w:rsidRDefault="00921263" w:rsidP="008066A3">
            <w:pPr>
              <w:rPr>
                <w:lang w:val="en-US"/>
              </w:rPr>
            </w:pPr>
          </w:p>
          <w:p w:rsidR="00921263" w:rsidRPr="005367FD" w:rsidRDefault="00921263" w:rsidP="008066A3">
            <w:pPr>
              <w:rPr>
                <w:lang w:val="en-US"/>
              </w:rPr>
            </w:pPr>
            <w:r w:rsidRPr="005367FD">
              <w:rPr>
                <w:lang w:val="en-US"/>
              </w:rPr>
              <w:t xml:space="preserve">Online reservations:  </w:t>
            </w:r>
            <w:hyperlink r:id="rId19" w:history="1">
              <w:r w:rsidRPr="005367FD">
                <w:rPr>
                  <w:rStyle w:val="Hyperlink"/>
                  <w:lang w:val="en-US"/>
                </w:rPr>
                <w:t>www.detroittroy.embassysuites.com</w:t>
              </w:r>
            </w:hyperlink>
            <w:r w:rsidRPr="005367FD">
              <w:rPr>
                <w:lang w:val="en-US"/>
              </w:rPr>
              <w:t xml:space="preserve"> and enter corporate ID #0560029381</w:t>
            </w:r>
          </w:p>
        </w:tc>
      </w:tr>
    </w:tbl>
    <w:p w:rsidR="00921263" w:rsidRPr="005367FD" w:rsidRDefault="00921263" w:rsidP="008066A3">
      <w:pPr>
        <w:pStyle w:val="Reasons"/>
      </w:pPr>
    </w:p>
    <w:p w:rsidR="00921263" w:rsidRPr="00D672EF" w:rsidRDefault="00921263">
      <w:pPr>
        <w:jc w:val="center"/>
      </w:pPr>
      <w:r w:rsidRPr="00D672EF">
        <w:t>______________</w:t>
      </w:r>
    </w:p>
    <w:p w:rsidR="00921263" w:rsidRPr="00D672EF" w:rsidRDefault="00921263" w:rsidP="00921263">
      <w:pPr>
        <w:rPr>
          <w:szCs w:val="24"/>
        </w:rPr>
      </w:pPr>
    </w:p>
    <w:sectPr w:rsidR="00921263" w:rsidRPr="00D672EF">
      <w:headerReference w:type="default" r:id="rId20"/>
      <w:footerReference w:type="default" r:id="rId21"/>
      <w:footerReference w:type="first" r:id="rId22"/>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6A3" w:rsidRDefault="008066A3">
      <w:r>
        <w:separator/>
      </w:r>
    </w:p>
  </w:endnote>
  <w:endnote w:type="continuationSeparator" w:id="0">
    <w:p w:rsidR="008066A3" w:rsidRDefault="00806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6A3" w:rsidRPr="005367FD" w:rsidRDefault="001F6E09" w:rsidP="001F6E09">
    <w:pPr>
      <w:pStyle w:val="Footer"/>
      <w:rPr>
        <w:sz w:val="16"/>
        <w:szCs w:val="16"/>
        <w:lang w:val="fr-CH"/>
      </w:rPr>
    </w:pPr>
    <w:r w:rsidRPr="002D62B7">
      <w:rPr>
        <w:sz w:val="16"/>
        <w:szCs w:val="16"/>
        <w:lang w:val="fr-CH"/>
      </w:rPr>
      <w:t>ITU-T\BUREAU\CIRC\255</w:t>
    </w:r>
    <w:r>
      <w:rPr>
        <w:sz w:val="16"/>
        <w:szCs w:val="16"/>
        <w:lang w:val="fr-CH"/>
      </w:rPr>
      <w:t>s</w:t>
    </w:r>
    <w:r w:rsidRPr="002D62B7">
      <w:rPr>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8066A3" w:rsidRPr="003D673B">
      <w:tc>
        <w:tcPr>
          <w:tcW w:w="1985" w:type="dxa"/>
          <w:tcBorders>
            <w:top w:val="single" w:sz="6" w:space="0" w:color="auto"/>
            <w:left w:val="nil"/>
            <w:bottom w:val="nil"/>
            <w:right w:val="nil"/>
          </w:tcBorders>
        </w:tcPr>
        <w:p w:rsidR="008066A3" w:rsidRDefault="008066A3">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8066A3" w:rsidRDefault="008066A3" w:rsidP="00A66517">
          <w:pPr>
            <w:pStyle w:val="FirstFooter"/>
            <w:tabs>
              <w:tab w:val="left" w:pos="709"/>
              <w:tab w:val="left" w:pos="1060"/>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8066A3" w:rsidRDefault="008066A3">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8066A3" w:rsidRDefault="008066A3"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8066A3">
      <w:tc>
        <w:tcPr>
          <w:tcW w:w="1985" w:type="dxa"/>
        </w:tcPr>
        <w:p w:rsidR="008066A3" w:rsidRDefault="008066A3">
          <w:pPr>
            <w:pStyle w:val="FirstFooter"/>
            <w:rPr>
              <w:rFonts w:ascii="Futura Lt BT" w:hAnsi="Futura Lt BT"/>
            </w:rPr>
          </w:pPr>
          <w:r>
            <w:rPr>
              <w:rFonts w:ascii="Futura Lt BT" w:hAnsi="Futura Lt BT"/>
            </w:rPr>
            <w:t>CH-1211 Ginebra 20</w:t>
          </w:r>
        </w:p>
      </w:tc>
      <w:tc>
        <w:tcPr>
          <w:tcW w:w="3119" w:type="dxa"/>
        </w:tcPr>
        <w:p w:rsidR="008066A3" w:rsidRDefault="008066A3">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8066A3" w:rsidRDefault="008066A3">
          <w:pPr>
            <w:pStyle w:val="FirstFooter"/>
            <w:rPr>
              <w:rFonts w:ascii="Futura Lt BT" w:hAnsi="Futura Lt BT"/>
            </w:rPr>
          </w:pPr>
          <w:r>
            <w:rPr>
              <w:rFonts w:ascii="Futura Lt BT" w:hAnsi="Futura Lt BT"/>
            </w:rPr>
            <w:t>Telegrama ITU GENEVE</w:t>
          </w:r>
        </w:p>
      </w:tc>
      <w:tc>
        <w:tcPr>
          <w:tcW w:w="2304" w:type="dxa"/>
        </w:tcPr>
        <w:p w:rsidR="008066A3" w:rsidRDefault="008066A3" w:rsidP="008505BD">
          <w:pPr>
            <w:pStyle w:val="FirstFooter"/>
            <w:tabs>
              <w:tab w:val="right" w:pos="1956"/>
            </w:tabs>
            <w:ind w:right="70"/>
            <w:rPr>
              <w:rFonts w:ascii="Futura Lt BT" w:hAnsi="Futura Lt BT"/>
            </w:rPr>
          </w:pPr>
          <w:r>
            <w:rPr>
              <w:rFonts w:ascii="Futura Lt BT" w:hAnsi="Futura Lt BT"/>
            </w:rPr>
            <w:tab/>
            <w:t>www.itu.int</w:t>
          </w:r>
        </w:p>
      </w:tc>
    </w:tr>
    <w:tr w:rsidR="008066A3">
      <w:tc>
        <w:tcPr>
          <w:tcW w:w="1985" w:type="dxa"/>
        </w:tcPr>
        <w:p w:rsidR="008066A3" w:rsidRDefault="008066A3">
          <w:pPr>
            <w:pStyle w:val="FirstFooter"/>
            <w:rPr>
              <w:rFonts w:ascii="Futura Lt BT" w:hAnsi="Futura Lt BT"/>
            </w:rPr>
          </w:pPr>
          <w:r>
            <w:rPr>
              <w:rFonts w:ascii="Futura Lt BT" w:hAnsi="Futura Lt BT"/>
            </w:rPr>
            <w:t>Suiza</w:t>
          </w:r>
        </w:p>
      </w:tc>
      <w:tc>
        <w:tcPr>
          <w:tcW w:w="3119" w:type="dxa"/>
        </w:tcPr>
        <w:p w:rsidR="008066A3" w:rsidRDefault="008066A3">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8066A3" w:rsidRDefault="008066A3">
          <w:pPr>
            <w:pStyle w:val="FirstFooter"/>
            <w:rPr>
              <w:rFonts w:ascii="Futura Lt BT" w:hAnsi="Futura Lt BT"/>
            </w:rPr>
          </w:pPr>
        </w:p>
      </w:tc>
      <w:tc>
        <w:tcPr>
          <w:tcW w:w="2304" w:type="dxa"/>
        </w:tcPr>
        <w:p w:rsidR="008066A3" w:rsidRDefault="008066A3">
          <w:pPr>
            <w:pStyle w:val="FirstFooter"/>
            <w:rPr>
              <w:rFonts w:ascii="Futura Lt BT" w:hAnsi="Futura Lt BT"/>
            </w:rPr>
          </w:pPr>
        </w:p>
      </w:tc>
    </w:tr>
  </w:tbl>
  <w:p w:rsidR="008066A3" w:rsidRPr="00B5346E" w:rsidRDefault="008066A3" w:rsidP="00220003">
    <w:pPr>
      <w:pStyle w:val="Footer"/>
      <w:spacing w:before="120"/>
      <w:rPr>
        <w:sz w:val="16"/>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6A3" w:rsidRDefault="008066A3">
      <w:r>
        <w:t>____________________</w:t>
      </w:r>
    </w:p>
  </w:footnote>
  <w:footnote w:type="continuationSeparator" w:id="0">
    <w:p w:rsidR="008066A3" w:rsidRDefault="00806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6A3" w:rsidRPr="00303D62" w:rsidRDefault="008066A3">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3571A9">
      <w:rPr>
        <w:rStyle w:val="PageNumber"/>
        <w:noProof/>
        <w:sz w:val="18"/>
        <w:szCs w:val="18"/>
      </w:rPr>
      <w:t>6</w:t>
    </w:r>
    <w:r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31BAE"/>
    <w:multiLevelType w:val="hybridMultilevel"/>
    <w:tmpl w:val="8FFC5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6D5674"/>
    <w:multiLevelType w:val="multilevel"/>
    <w:tmpl w:val="858AA8FC"/>
    <w:numStyleLink w:val="Style1"/>
  </w:abstractNum>
  <w:abstractNum w:abstractNumId="2">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630C135A"/>
    <w:multiLevelType w:val="hybridMultilevel"/>
    <w:tmpl w:val="39002D0C"/>
    <w:lvl w:ilvl="0" w:tplc="0409000F">
      <w:start w:val="1"/>
      <w:numFmt w:val="decimal"/>
      <w:lvlText w:val="%1."/>
      <w:lvlJc w:val="left"/>
      <w:pPr>
        <w:ind w:left="363" w:hanging="363"/>
      </w:pPr>
      <w:rPr>
        <w:rFonts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DFA25FC"/>
    <w:multiLevelType w:val="multilevel"/>
    <w:tmpl w:val="858AA8FC"/>
    <w:styleLink w:val="Style1"/>
    <w:lvl w:ilvl="0">
      <w:start w:val="1"/>
      <w:numFmt w:val="decimal"/>
      <w:lvlRestart w:val="0"/>
      <w:lvlText w:val="%1"/>
      <w:lvlJc w:val="left"/>
      <w:pPr>
        <w:ind w:left="360" w:hanging="360"/>
      </w:pPr>
      <w:rPr>
        <w:rFonts w:ascii="Arial" w:hAnsi="Arial" w:cs="Times New Roman" w:hint="default"/>
      </w:rPr>
    </w:lvl>
    <w:lvl w:ilvl="1">
      <w:start w:val="1"/>
      <w:numFmt w:val="lowerLetter"/>
      <w:lvlText w:val="%2"/>
      <w:lvlJc w:val="left"/>
      <w:pPr>
        <w:ind w:left="720" w:hanging="360"/>
      </w:pPr>
      <w:rPr>
        <w:rFonts w:ascii="Arial" w:hAnsi="Arial" w:cs="Courier New" w:hint="default"/>
      </w:rPr>
    </w:lvl>
    <w:lvl w:ilvl="2">
      <w:start w:val="1"/>
      <w:numFmt w:val="lowerRoman"/>
      <w:lvlText w:val="%3"/>
      <w:lvlJc w:val="left"/>
      <w:pPr>
        <w:ind w:left="1080" w:hanging="360"/>
      </w:pPr>
      <w:rPr>
        <w:rFonts w:ascii="Arial" w:hAnsi="Arial"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7">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7"/>
  </w:num>
  <w:num w:numId="3">
    <w:abstractNumId w:val="5"/>
  </w:num>
  <w:num w:numId="4">
    <w:abstractNumId w:val="3"/>
  </w:num>
  <w:num w:numId="5">
    <w:abstractNumId w:val="4"/>
  </w:num>
  <w:num w:numId="6">
    <w:abstractNumId w:val="6"/>
  </w:num>
  <w:num w:numId="7">
    <w:abstractNumId w:val="1"/>
    <w:lvlOverride w:ilvl="0">
      <w:lvl w:ilvl="0">
        <w:start w:val="1"/>
        <w:numFmt w:val="decimal"/>
        <w:lvlRestart w:val="0"/>
        <w:lvlText w:val="%1"/>
        <w:lvlJc w:val="left"/>
        <w:pPr>
          <w:ind w:left="360" w:hanging="360"/>
        </w:pPr>
        <w:rPr>
          <w:rFonts w:asciiTheme="majorBidi" w:hAnsiTheme="majorBidi" w:cstheme="majorBidi" w:hint="default"/>
        </w:rPr>
      </w:lvl>
    </w:lvlOverride>
    <w:lvlOverride w:ilvl="1">
      <w:lvl w:ilvl="1">
        <w:start w:val="1"/>
        <w:numFmt w:val="lowerLetter"/>
        <w:lvlText w:val="%2"/>
        <w:lvlJc w:val="left"/>
        <w:pPr>
          <w:ind w:left="720" w:hanging="360"/>
        </w:pPr>
        <w:rPr>
          <w:rFonts w:asciiTheme="majorBidi" w:hAnsiTheme="majorBidi" w:cstheme="majorBidi" w:hint="default"/>
        </w:rPr>
      </w:lvl>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0CFDF96-239F-4556-9F45-AEC8E5905228}"/>
    <w:docVar w:name="dgnword-eventsink" w:val="23058632"/>
  </w:docVars>
  <w:rsids>
    <w:rsidRoot w:val="00C34772"/>
    <w:rsid w:val="00002529"/>
    <w:rsid w:val="00026AE8"/>
    <w:rsid w:val="00041472"/>
    <w:rsid w:val="0004733E"/>
    <w:rsid w:val="00084533"/>
    <w:rsid w:val="000C382F"/>
    <w:rsid w:val="000E1335"/>
    <w:rsid w:val="00113C3F"/>
    <w:rsid w:val="001173CC"/>
    <w:rsid w:val="001874B0"/>
    <w:rsid w:val="001A0091"/>
    <w:rsid w:val="001A54CC"/>
    <w:rsid w:val="001D587A"/>
    <w:rsid w:val="001E5E88"/>
    <w:rsid w:val="001F6E09"/>
    <w:rsid w:val="00220003"/>
    <w:rsid w:val="00257FB4"/>
    <w:rsid w:val="00285C66"/>
    <w:rsid w:val="002C1052"/>
    <w:rsid w:val="002C1655"/>
    <w:rsid w:val="002F0711"/>
    <w:rsid w:val="002F07C3"/>
    <w:rsid w:val="00303D62"/>
    <w:rsid w:val="0031749D"/>
    <w:rsid w:val="00327398"/>
    <w:rsid w:val="00335367"/>
    <w:rsid w:val="003465B2"/>
    <w:rsid w:val="003571A9"/>
    <w:rsid w:val="00357CE8"/>
    <w:rsid w:val="00370C2D"/>
    <w:rsid w:val="003D1E8D"/>
    <w:rsid w:val="003D673B"/>
    <w:rsid w:val="003F2855"/>
    <w:rsid w:val="00401C20"/>
    <w:rsid w:val="004323B8"/>
    <w:rsid w:val="0045327C"/>
    <w:rsid w:val="004C4144"/>
    <w:rsid w:val="004D3122"/>
    <w:rsid w:val="00533EF5"/>
    <w:rsid w:val="005367FD"/>
    <w:rsid w:val="005B0D8F"/>
    <w:rsid w:val="005D359E"/>
    <w:rsid w:val="005D3DD5"/>
    <w:rsid w:val="00680C03"/>
    <w:rsid w:val="0069493C"/>
    <w:rsid w:val="006969B4"/>
    <w:rsid w:val="006E5C4B"/>
    <w:rsid w:val="00720F15"/>
    <w:rsid w:val="00761E92"/>
    <w:rsid w:val="00781E2A"/>
    <w:rsid w:val="008066A3"/>
    <w:rsid w:val="00810619"/>
    <w:rsid w:val="0081715C"/>
    <w:rsid w:val="008258C2"/>
    <w:rsid w:val="00830846"/>
    <w:rsid w:val="008505BD"/>
    <w:rsid w:val="00850C78"/>
    <w:rsid w:val="00855348"/>
    <w:rsid w:val="008610EE"/>
    <w:rsid w:val="008B3237"/>
    <w:rsid w:val="008C17AD"/>
    <w:rsid w:val="008D02CD"/>
    <w:rsid w:val="008D0C63"/>
    <w:rsid w:val="008D4458"/>
    <w:rsid w:val="0090741C"/>
    <w:rsid w:val="00921263"/>
    <w:rsid w:val="0093424D"/>
    <w:rsid w:val="00947C22"/>
    <w:rsid w:val="0095172A"/>
    <w:rsid w:val="009A0BA0"/>
    <w:rsid w:val="009A48C3"/>
    <w:rsid w:val="009B3490"/>
    <w:rsid w:val="009B3A9A"/>
    <w:rsid w:val="009F6058"/>
    <w:rsid w:val="00A268A9"/>
    <w:rsid w:val="00A54E47"/>
    <w:rsid w:val="00A66517"/>
    <w:rsid w:val="00A83CD5"/>
    <w:rsid w:val="00AC53AD"/>
    <w:rsid w:val="00AE7093"/>
    <w:rsid w:val="00B03FB6"/>
    <w:rsid w:val="00B1077B"/>
    <w:rsid w:val="00B13009"/>
    <w:rsid w:val="00B30734"/>
    <w:rsid w:val="00B422BC"/>
    <w:rsid w:val="00B43F77"/>
    <w:rsid w:val="00B51018"/>
    <w:rsid w:val="00B5346E"/>
    <w:rsid w:val="00B55A3E"/>
    <w:rsid w:val="00B61B22"/>
    <w:rsid w:val="00B70121"/>
    <w:rsid w:val="00B74942"/>
    <w:rsid w:val="00B95F0A"/>
    <w:rsid w:val="00B96180"/>
    <w:rsid w:val="00BA2B4E"/>
    <w:rsid w:val="00C04CE4"/>
    <w:rsid w:val="00C17004"/>
    <w:rsid w:val="00C17AC0"/>
    <w:rsid w:val="00C34772"/>
    <w:rsid w:val="00C45FCA"/>
    <w:rsid w:val="00C47562"/>
    <w:rsid w:val="00C5174D"/>
    <w:rsid w:val="00C5465A"/>
    <w:rsid w:val="00C62088"/>
    <w:rsid w:val="00C65EEE"/>
    <w:rsid w:val="00CB0AFB"/>
    <w:rsid w:val="00D54642"/>
    <w:rsid w:val="00D672EF"/>
    <w:rsid w:val="00DC10CC"/>
    <w:rsid w:val="00DD54E9"/>
    <w:rsid w:val="00DD77C9"/>
    <w:rsid w:val="00E70920"/>
    <w:rsid w:val="00E839B0"/>
    <w:rsid w:val="00E92C09"/>
    <w:rsid w:val="00EB1B79"/>
    <w:rsid w:val="00ED3A87"/>
    <w:rsid w:val="00F35A60"/>
    <w:rsid w:val="00F57A95"/>
    <w:rsid w:val="00F6461F"/>
    <w:rsid w:val="00FA492E"/>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5B0D8F"/>
    <w:pPr>
      <w:spacing w:before="0"/>
    </w:pPr>
    <w:rPr>
      <w:rFonts w:ascii="Tahoma" w:hAnsi="Tahoma" w:cs="Tahoma"/>
      <w:sz w:val="16"/>
      <w:szCs w:val="16"/>
    </w:rPr>
  </w:style>
  <w:style w:type="character" w:customStyle="1" w:styleId="BalloonTextChar">
    <w:name w:val="Balloon Text Char"/>
    <w:basedOn w:val="DefaultParagraphFont"/>
    <w:link w:val="BalloonText"/>
    <w:rsid w:val="005B0D8F"/>
    <w:rPr>
      <w:rFonts w:ascii="Tahoma" w:hAnsi="Tahoma" w:cs="Tahoma"/>
      <w:sz w:val="16"/>
      <w:szCs w:val="16"/>
      <w:lang w:val="es-ES_tradnl" w:eastAsia="en-US"/>
    </w:rPr>
  </w:style>
  <w:style w:type="paragraph" w:customStyle="1" w:styleId="Reasons">
    <w:name w:val="Reasons"/>
    <w:basedOn w:val="Normal"/>
    <w:qFormat/>
    <w:rsid w:val="0090741C"/>
    <w:pPr>
      <w:tabs>
        <w:tab w:val="clear" w:pos="794"/>
        <w:tab w:val="clear" w:pos="1191"/>
        <w:tab w:val="clear" w:pos="1588"/>
        <w:tab w:val="clear" w:pos="1985"/>
      </w:tabs>
      <w:overflowPunct/>
      <w:autoSpaceDE/>
      <w:autoSpaceDN/>
      <w:adjustRightInd/>
      <w:spacing w:before="0"/>
      <w:textAlignment w:val="auto"/>
    </w:pPr>
    <w:rPr>
      <w:lang w:val="en-US"/>
    </w:rPr>
  </w:style>
  <w:style w:type="paragraph" w:styleId="PlainText">
    <w:name w:val="Plain Text"/>
    <w:basedOn w:val="Normal"/>
    <w:link w:val="PlainTextChar"/>
    <w:uiPriority w:val="99"/>
    <w:unhideWhenUsed/>
    <w:rsid w:val="00327398"/>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327398"/>
    <w:rPr>
      <w:rFonts w:ascii="Consolas" w:eastAsiaTheme="minorEastAsia" w:hAnsi="Consolas" w:cstheme="minorBidi"/>
      <w:sz w:val="21"/>
      <w:szCs w:val="21"/>
    </w:rPr>
  </w:style>
  <w:style w:type="character" w:customStyle="1" w:styleId="FootnoteTextChar">
    <w:name w:val="Footnote Text Char"/>
    <w:basedOn w:val="DefaultParagraphFont"/>
    <w:link w:val="FootnoteText"/>
    <w:locked/>
    <w:rsid w:val="00327398"/>
    <w:rPr>
      <w:rFonts w:ascii="Times New Roman" w:hAnsi="Times New Roman"/>
      <w:sz w:val="24"/>
      <w:lang w:val="es-ES_tradnl" w:eastAsia="en-US"/>
    </w:rPr>
  </w:style>
  <w:style w:type="paragraph" w:customStyle="1" w:styleId="NormalBefore0pt">
    <w:name w:val="Normal + Before:  0 pt"/>
    <w:basedOn w:val="Normal"/>
    <w:rsid w:val="001E5E88"/>
    <w:pPr>
      <w:tabs>
        <w:tab w:val="clear" w:pos="794"/>
        <w:tab w:val="clear" w:pos="1191"/>
        <w:tab w:val="clear" w:pos="1588"/>
        <w:tab w:val="clear" w:pos="1985"/>
        <w:tab w:val="left" w:pos="284"/>
      </w:tabs>
      <w:spacing w:before="0"/>
      <w:ind w:left="284" w:hanging="284"/>
    </w:pPr>
    <w:rPr>
      <w:lang w:val="es-ES"/>
    </w:rPr>
  </w:style>
  <w:style w:type="character" w:styleId="Strong">
    <w:name w:val="Strong"/>
    <w:basedOn w:val="DefaultParagraphFont"/>
    <w:uiPriority w:val="22"/>
    <w:qFormat/>
    <w:rsid w:val="00921263"/>
    <w:rPr>
      <w:b/>
      <w:bCs/>
    </w:rPr>
  </w:style>
  <w:style w:type="paragraph" w:styleId="ListParagraph">
    <w:name w:val="List Paragraph"/>
    <w:basedOn w:val="Normal"/>
    <w:uiPriority w:val="34"/>
    <w:qFormat/>
    <w:rsid w:val="00921263"/>
    <w:pPr>
      <w:tabs>
        <w:tab w:val="clear" w:pos="794"/>
        <w:tab w:val="clear" w:pos="1191"/>
        <w:tab w:val="clear" w:pos="1588"/>
        <w:tab w:val="clear" w:pos="1985"/>
      </w:tabs>
      <w:overflowPunct/>
      <w:autoSpaceDE/>
      <w:autoSpaceDN/>
      <w:adjustRightInd/>
      <w:spacing w:before="0"/>
      <w:ind w:left="720"/>
      <w:contextualSpacing/>
      <w:textAlignment w:val="auto"/>
    </w:pPr>
    <w:rPr>
      <w:rFonts w:eastAsia="MS Mincho"/>
      <w:szCs w:val="24"/>
      <w:lang w:val="en-US"/>
    </w:rPr>
  </w:style>
  <w:style w:type="table" w:styleId="TableGrid">
    <w:name w:val="Table Grid"/>
    <w:basedOn w:val="TableNormal"/>
    <w:rsid w:val="00921263"/>
    <w:pPr>
      <w:tabs>
        <w:tab w:val="left" w:pos="794"/>
        <w:tab w:val="left" w:pos="1191"/>
        <w:tab w:val="left" w:pos="1588"/>
        <w:tab w:val="left" w:pos="1985"/>
      </w:tabs>
      <w:spacing w:before="120"/>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921263"/>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5B0D8F"/>
    <w:pPr>
      <w:spacing w:before="0"/>
    </w:pPr>
    <w:rPr>
      <w:rFonts w:ascii="Tahoma" w:hAnsi="Tahoma" w:cs="Tahoma"/>
      <w:sz w:val="16"/>
      <w:szCs w:val="16"/>
    </w:rPr>
  </w:style>
  <w:style w:type="character" w:customStyle="1" w:styleId="BalloonTextChar">
    <w:name w:val="Balloon Text Char"/>
    <w:basedOn w:val="DefaultParagraphFont"/>
    <w:link w:val="BalloonText"/>
    <w:rsid w:val="005B0D8F"/>
    <w:rPr>
      <w:rFonts w:ascii="Tahoma" w:hAnsi="Tahoma" w:cs="Tahoma"/>
      <w:sz w:val="16"/>
      <w:szCs w:val="16"/>
      <w:lang w:val="es-ES_tradnl" w:eastAsia="en-US"/>
    </w:rPr>
  </w:style>
  <w:style w:type="paragraph" w:customStyle="1" w:styleId="Reasons">
    <w:name w:val="Reasons"/>
    <w:basedOn w:val="Normal"/>
    <w:qFormat/>
    <w:rsid w:val="0090741C"/>
    <w:pPr>
      <w:tabs>
        <w:tab w:val="clear" w:pos="794"/>
        <w:tab w:val="clear" w:pos="1191"/>
        <w:tab w:val="clear" w:pos="1588"/>
        <w:tab w:val="clear" w:pos="1985"/>
      </w:tabs>
      <w:overflowPunct/>
      <w:autoSpaceDE/>
      <w:autoSpaceDN/>
      <w:adjustRightInd/>
      <w:spacing w:before="0"/>
      <w:textAlignment w:val="auto"/>
    </w:pPr>
    <w:rPr>
      <w:lang w:val="en-US"/>
    </w:rPr>
  </w:style>
  <w:style w:type="paragraph" w:styleId="PlainText">
    <w:name w:val="Plain Text"/>
    <w:basedOn w:val="Normal"/>
    <w:link w:val="PlainTextChar"/>
    <w:uiPriority w:val="99"/>
    <w:unhideWhenUsed/>
    <w:rsid w:val="00327398"/>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327398"/>
    <w:rPr>
      <w:rFonts w:ascii="Consolas" w:eastAsiaTheme="minorEastAsia" w:hAnsi="Consolas" w:cstheme="minorBidi"/>
      <w:sz w:val="21"/>
      <w:szCs w:val="21"/>
    </w:rPr>
  </w:style>
  <w:style w:type="character" w:customStyle="1" w:styleId="FootnoteTextChar">
    <w:name w:val="Footnote Text Char"/>
    <w:basedOn w:val="DefaultParagraphFont"/>
    <w:link w:val="FootnoteText"/>
    <w:locked/>
    <w:rsid w:val="00327398"/>
    <w:rPr>
      <w:rFonts w:ascii="Times New Roman" w:hAnsi="Times New Roman"/>
      <w:sz w:val="24"/>
      <w:lang w:val="es-ES_tradnl" w:eastAsia="en-US"/>
    </w:rPr>
  </w:style>
  <w:style w:type="paragraph" w:customStyle="1" w:styleId="NormalBefore0pt">
    <w:name w:val="Normal + Before:  0 pt"/>
    <w:basedOn w:val="Normal"/>
    <w:rsid w:val="001E5E88"/>
    <w:pPr>
      <w:tabs>
        <w:tab w:val="clear" w:pos="794"/>
        <w:tab w:val="clear" w:pos="1191"/>
        <w:tab w:val="clear" w:pos="1588"/>
        <w:tab w:val="clear" w:pos="1985"/>
        <w:tab w:val="left" w:pos="284"/>
      </w:tabs>
      <w:spacing w:before="0"/>
      <w:ind w:left="284" w:hanging="284"/>
    </w:pPr>
    <w:rPr>
      <w:lang w:val="es-ES"/>
    </w:rPr>
  </w:style>
  <w:style w:type="character" w:styleId="Strong">
    <w:name w:val="Strong"/>
    <w:basedOn w:val="DefaultParagraphFont"/>
    <w:uiPriority w:val="22"/>
    <w:qFormat/>
    <w:rsid w:val="00921263"/>
    <w:rPr>
      <w:b/>
      <w:bCs/>
    </w:rPr>
  </w:style>
  <w:style w:type="paragraph" w:styleId="ListParagraph">
    <w:name w:val="List Paragraph"/>
    <w:basedOn w:val="Normal"/>
    <w:uiPriority w:val="34"/>
    <w:qFormat/>
    <w:rsid w:val="00921263"/>
    <w:pPr>
      <w:tabs>
        <w:tab w:val="clear" w:pos="794"/>
        <w:tab w:val="clear" w:pos="1191"/>
        <w:tab w:val="clear" w:pos="1588"/>
        <w:tab w:val="clear" w:pos="1985"/>
      </w:tabs>
      <w:overflowPunct/>
      <w:autoSpaceDE/>
      <w:autoSpaceDN/>
      <w:adjustRightInd/>
      <w:spacing w:before="0"/>
      <w:ind w:left="720"/>
      <w:contextualSpacing/>
      <w:textAlignment w:val="auto"/>
    </w:pPr>
    <w:rPr>
      <w:rFonts w:eastAsia="MS Mincho"/>
      <w:szCs w:val="24"/>
      <w:lang w:val="en-US"/>
    </w:rPr>
  </w:style>
  <w:style w:type="table" w:styleId="TableGrid">
    <w:name w:val="Table Grid"/>
    <w:basedOn w:val="TableNormal"/>
    <w:rsid w:val="00921263"/>
    <w:pPr>
      <w:tabs>
        <w:tab w:val="left" w:pos="794"/>
        <w:tab w:val="left" w:pos="1191"/>
        <w:tab w:val="left" w:pos="1588"/>
        <w:tab w:val="left" w:pos="1985"/>
      </w:tabs>
      <w:spacing w:before="120"/>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92126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en/ITU-T/extcoop/cits/" TargetMode="External"/><Relationship Id="rId18" Type="http://schemas.openxmlformats.org/officeDocument/2006/relationships/hyperlink" Target="http://www.metroairport.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tu.int/reg/tmisc/3000355" TargetMode="External"/><Relationship Id="rId17" Type="http://schemas.openxmlformats.org/officeDocument/2006/relationships/hyperlink" Target="http://www.sae.org/about/contact/map1.htm" TargetMode="External"/><Relationship Id="rId2" Type="http://schemas.openxmlformats.org/officeDocument/2006/relationships/numbering" Target="numbering.xml"/><Relationship Id="rId16" Type="http://schemas.openxmlformats.org/officeDocument/2006/relationships/hyperlink" Target="mailto:mbrussow@sae.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extcoop/cit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tu.int/en/ITU-T/extcoop/cits/" TargetMode="External"/><Relationship Id="rId23" Type="http://schemas.openxmlformats.org/officeDocument/2006/relationships/fontTable" Target="fontTable.xml"/><Relationship Id="rId10" Type="http://schemas.openxmlformats.org/officeDocument/2006/relationships/hyperlink" Target="mailto:tsbdir@itu.int" TargetMode="External"/><Relationship Id="rId19" Type="http://schemas.openxmlformats.org/officeDocument/2006/relationships/hyperlink" Target="http://www.detroittroy.embassysuites.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cits@itu.int"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7F86A-BEAF-489D-B21D-87D129D5B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6</Pages>
  <Words>1788</Words>
  <Characters>10211</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11976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Bettini, Nadine</cp:lastModifiedBy>
  <cp:revision>2</cp:revision>
  <cp:lastPrinted>2012-01-30T18:57:00Z</cp:lastPrinted>
  <dcterms:created xsi:type="dcterms:W3CDTF">2012-02-10T07:36:00Z</dcterms:created>
  <dcterms:modified xsi:type="dcterms:W3CDTF">2012-02-10T07:36:00Z</dcterms:modified>
</cp:coreProperties>
</file>