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517A03" w:rsidRPr="00F50108" w:rsidTr="009D51FA">
        <w:trPr>
          <w:cantSplit/>
        </w:trPr>
        <w:tc>
          <w:tcPr>
            <w:tcW w:w="6426" w:type="dxa"/>
            <w:vAlign w:val="center"/>
          </w:tcPr>
          <w:p w:rsidR="00517A03" w:rsidRPr="00E329A5" w:rsidRDefault="00517A03" w:rsidP="00A5280F">
            <w:pPr>
              <w:tabs>
                <w:tab w:val="right" w:pos="8732"/>
              </w:tabs>
              <w:spacing w:before="0"/>
              <w:rPr>
                <w:rFonts w:ascii="Verdana" w:hAnsi="Verdana"/>
                <w:b/>
                <w:bCs/>
                <w:iCs/>
                <w:color w:val="FFFFFF"/>
                <w:sz w:val="26"/>
                <w:szCs w:val="26"/>
              </w:rPr>
            </w:pPr>
            <w:bookmarkStart w:id="0" w:name="_GoBack"/>
            <w:bookmarkEnd w:id="0"/>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517A03" w:rsidRPr="00F50108" w:rsidRDefault="001026FD" w:rsidP="00A5280F">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14:anchorId="3BB81443" wp14:editId="1FEE2A34">
                  <wp:extent cx="1781175" cy="695325"/>
                  <wp:effectExtent l="0" t="0" r="9525" b="9525"/>
                  <wp:docPr id="2" name="Picture 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17A03" w:rsidRPr="006A675E" w:rsidTr="009D51FA">
        <w:trPr>
          <w:cantSplit/>
        </w:trPr>
        <w:tc>
          <w:tcPr>
            <w:tcW w:w="6426" w:type="dxa"/>
            <w:vAlign w:val="center"/>
          </w:tcPr>
          <w:p w:rsidR="00517A03" w:rsidRPr="00F50108" w:rsidRDefault="00517A03" w:rsidP="00A5280F">
            <w:pPr>
              <w:tabs>
                <w:tab w:val="right" w:pos="8732"/>
              </w:tabs>
              <w:spacing w:before="0"/>
              <w:rPr>
                <w:rFonts w:ascii="Verdana" w:hAnsi="Verdana"/>
                <w:b/>
                <w:bCs/>
                <w:iCs/>
                <w:sz w:val="18"/>
                <w:szCs w:val="18"/>
              </w:rPr>
            </w:pPr>
          </w:p>
        </w:tc>
        <w:tc>
          <w:tcPr>
            <w:tcW w:w="3355" w:type="dxa"/>
            <w:vAlign w:val="center"/>
          </w:tcPr>
          <w:p w:rsidR="00517A03" w:rsidRPr="006A675E" w:rsidRDefault="00517A03" w:rsidP="00A5280F">
            <w:pPr>
              <w:spacing w:before="0"/>
              <w:ind w:left="993" w:hanging="993"/>
              <w:jc w:val="right"/>
              <w:rPr>
                <w:rFonts w:ascii="Verdana" w:hAnsi="Verdana"/>
                <w:sz w:val="18"/>
                <w:szCs w:val="18"/>
              </w:rPr>
            </w:pPr>
          </w:p>
        </w:tc>
      </w:tr>
    </w:tbl>
    <w:p w:rsidR="00517A03" w:rsidRDefault="00517A03" w:rsidP="00C44A35">
      <w:pPr>
        <w:tabs>
          <w:tab w:val="clear" w:pos="794"/>
          <w:tab w:val="clear" w:pos="1191"/>
          <w:tab w:val="clear" w:pos="1588"/>
          <w:tab w:val="clear" w:pos="1985"/>
          <w:tab w:val="left" w:pos="4962"/>
        </w:tabs>
        <w:spacing w:before="0"/>
      </w:pPr>
      <w:r>
        <w:tab/>
        <w:t>Genève, le</w:t>
      </w:r>
      <w:r w:rsidR="00C44A35">
        <w:t xml:space="preserve"> 30 janvier</w:t>
      </w:r>
      <w:r w:rsidR="00C95ADD">
        <w:t xml:space="preserve"> 201</w:t>
      </w:r>
      <w:r w:rsidR="00C44A35">
        <w:t>2</w:t>
      </w:r>
    </w:p>
    <w:p w:rsidR="00517A03" w:rsidRPr="006427A1" w:rsidRDefault="00517A03" w:rsidP="00A5280F">
      <w:pPr>
        <w:tabs>
          <w:tab w:val="clear" w:pos="794"/>
          <w:tab w:val="clear" w:pos="1191"/>
          <w:tab w:val="clear" w:pos="1588"/>
          <w:tab w:val="clear" w:pos="1985"/>
          <w:tab w:val="left" w:pos="4962"/>
        </w:tabs>
        <w:spacing w:before="0"/>
        <w:rPr>
          <w:sz w:val="10"/>
          <w:szCs w:val="10"/>
        </w:rPr>
      </w:pPr>
    </w:p>
    <w:p w:rsidR="00517A03" w:rsidRDefault="00517A03" w:rsidP="00A5280F">
      <w:pPr>
        <w:spacing w:before="0"/>
      </w:pPr>
    </w:p>
    <w:tbl>
      <w:tblPr>
        <w:tblW w:w="9773" w:type="dxa"/>
        <w:tblInd w:w="8" w:type="dxa"/>
        <w:tblLayout w:type="fixed"/>
        <w:tblCellMar>
          <w:left w:w="0" w:type="dxa"/>
          <w:right w:w="0" w:type="dxa"/>
        </w:tblCellMar>
        <w:tblLook w:val="0000" w:firstRow="0" w:lastRow="0" w:firstColumn="0" w:lastColumn="0" w:noHBand="0" w:noVBand="0"/>
      </w:tblPr>
      <w:tblGrid>
        <w:gridCol w:w="822"/>
        <w:gridCol w:w="4055"/>
        <w:gridCol w:w="4896"/>
      </w:tblGrid>
      <w:tr w:rsidR="00517A03" w:rsidTr="00A877A4">
        <w:trPr>
          <w:cantSplit/>
          <w:trHeight w:val="340"/>
        </w:trPr>
        <w:tc>
          <w:tcPr>
            <w:tcW w:w="822" w:type="dxa"/>
          </w:tcPr>
          <w:p w:rsidR="00517A03" w:rsidRDefault="00517A03" w:rsidP="00A5280F">
            <w:pPr>
              <w:tabs>
                <w:tab w:val="left" w:pos="4111"/>
              </w:tabs>
              <w:spacing w:before="10"/>
              <w:ind w:left="57"/>
            </w:pPr>
            <w:r>
              <w:t>Réf.:</w:t>
            </w:r>
          </w:p>
          <w:p w:rsidR="00517A03" w:rsidRDefault="00517A03" w:rsidP="00A5280F">
            <w:pPr>
              <w:tabs>
                <w:tab w:val="left" w:pos="4111"/>
              </w:tabs>
              <w:spacing w:before="10"/>
              <w:ind w:left="57"/>
            </w:pPr>
          </w:p>
          <w:p w:rsidR="00517A03" w:rsidRDefault="00517A03" w:rsidP="00A5280F">
            <w:pPr>
              <w:tabs>
                <w:tab w:val="left" w:pos="4111"/>
              </w:tabs>
              <w:spacing w:before="10"/>
              <w:ind w:left="57"/>
            </w:pPr>
          </w:p>
          <w:p w:rsidR="00517A03" w:rsidRDefault="00517A03" w:rsidP="00A5280F">
            <w:pPr>
              <w:tabs>
                <w:tab w:val="left" w:pos="4111"/>
              </w:tabs>
              <w:spacing w:before="10"/>
              <w:ind w:left="57"/>
            </w:pPr>
            <w:r>
              <w:t>Tél.:</w:t>
            </w:r>
            <w:r>
              <w:br/>
              <w:t>Fax:</w:t>
            </w:r>
            <w:r>
              <w:br/>
              <w:t>E-mail:</w:t>
            </w:r>
          </w:p>
        </w:tc>
        <w:tc>
          <w:tcPr>
            <w:tcW w:w="4055" w:type="dxa"/>
          </w:tcPr>
          <w:p w:rsidR="00517A03" w:rsidRDefault="00517A03" w:rsidP="00C44A35">
            <w:pPr>
              <w:tabs>
                <w:tab w:val="left" w:pos="4111"/>
              </w:tabs>
              <w:spacing w:before="10"/>
              <w:ind w:left="57"/>
              <w:rPr>
                <w:b/>
              </w:rPr>
            </w:pPr>
            <w:r>
              <w:rPr>
                <w:b/>
              </w:rPr>
              <w:t xml:space="preserve">Circulaire TSB </w:t>
            </w:r>
            <w:r w:rsidR="00BF4540">
              <w:rPr>
                <w:b/>
              </w:rPr>
              <w:t>2</w:t>
            </w:r>
            <w:r w:rsidR="00C44A35">
              <w:rPr>
                <w:b/>
              </w:rPr>
              <w:t>55</w:t>
            </w:r>
          </w:p>
          <w:p w:rsidR="00517A03" w:rsidRPr="00430B1D" w:rsidRDefault="00517A03" w:rsidP="00C95ADD">
            <w:pPr>
              <w:tabs>
                <w:tab w:val="left" w:pos="4111"/>
              </w:tabs>
              <w:spacing w:before="10"/>
              <w:ind w:left="57"/>
              <w:rPr>
                <w:lang w:val="fr-CH"/>
              </w:rPr>
            </w:pPr>
          </w:p>
          <w:p w:rsidR="00517A03" w:rsidRPr="00BF4540" w:rsidRDefault="00517A03" w:rsidP="00A5280F">
            <w:pPr>
              <w:tabs>
                <w:tab w:val="left" w:pos="4111"/>
              </w:tabs>
              <w:spacing w:before="10"/>
              <w:ind w:left="57"/>
              <w:rPr>
                <w:lang w:val="fr-CH"/>
              </w:rPr>
            </w:pPr>
          </w:p>
          <w:p w:rsidR="00517A03" w:rsidRPr="00BF4540" w:rsidRDefault="00517A03" w:rsidP="00C44A35">
            <w:pPr>
              <w:tabs>
                <w:tab w:val="left" w:pos="4111"/>
              </w:tabs>
              <w:spacing w:before="10"/>
              <w:ind w:left="57"/>
              <w:rPr>
                <w:lang w:val="fr-CH"/>
              </w:rPr>
            </w:pPr>
            <w:r w:rsidRPr="00BF4540">
              <w:rPr>
                <w:lang w:val="fr-CH"/>
              </w:rPr>
              <w:t xml:space="preserve">+41 22 730 </w:t>
            </w:r>
            <w:proofErr w:type="gramStart"/>
            <w:r w:rsidR="00C44A35">
              <w:rPr>
                <w:lang w:val="fr-CH"/>
              </w:rPr>
              <w:t>6828</w:t>
            </w:r>
            <w:r w:rsidRPr="00BF4540">
              <w:rPr>
                <w:lang w:val="fr-CH"/>
              </w:rPr>
              <w:br/>
              <w:t>+41 22 730 5853</w:t>
            </w:r>
            <w:r w:rsidRPr="00BF4540">
              <w:rPr>
                <w:lang w:val="fr-CH"/>
              </w:rPr>
              <w:br/>
            </w:r>
            <w:hyperlink r:id="rId10" w:history="1">
              <w:r w:rsidR="00430B1D" w:rsidRPr="003C5D38">
                <w:rPr>
                  <w:rStyle w:val="Hyperlink"/>
                  <w:lang w:val="fr-CH"/>
                </w:rPr>
                <w:t>tsbdir@itu.int</w:t>
              </w:r>
              <w:proofErr w:type="gramEnd"/>
            </w:hyperlink>
          </w:p>
        </w:tc>
        <w:tc>
          <w:tcPr>
            <w:tcW w:w="4896" w:type="dxa"/>
          </w:tcPr>
          <w:p w:rsidR="00517A03" w:rsidRDefault="00517A03" w:rsidP="00A5280F">
            <w:pPr>
              <w:tabs>
                <w:tab w:val="clear" w:pos="794"/>
                <w:tab w:val="clear" w:pos="1191"/>
                <w:tab w:val="clear" w:pos="1588"/>
                <w:tab w:val="clear" w:pos="1985"/>
                <w:tab w:val="left" w:pos="284"/>
              </w:tabs>
              <w:spacing w:before="0"/>
              <w:ind w:left="284" w:hanging="227"/>
            </w:pPr>
            <w:bookmarkStart w:id="1" w:name="Addressee_F"/>
            <w:bookmarkEnd w:id="1"/>
            <w:r>
              <w:t>-</w:t>
            </w:r>
            <w:r>
              <w:tab/>
            </w:r>
            <w:r w:rsidR="00FC3A4E" w:rsidRPr="002179AF">
              <w:t>Aux administratio</w:t>
            </w:r>
            <w:r w:rsidR="00FC3A4E">
              <w:t>ns des Etats Membres de l'Union;</w:t>
            </w:r>
          </w:p>
          <w:p w:rsidR="00FC3A4E" w:rsidRDefault="00FC3A4E" w:rsidP="00A5280F">
            <w:pPr>
              <w:tabs>
                <w:tab w:val="clear" w:pos="794"/>
                <w:tab w:val="clear" w:pos="1191"/>
                <w:tab w:val="clear" w:pos="1588"/>
                <w:tab w:val="clear" w:pos="1985"/>
                <w:tab w:val="left" w:pos="284"/>
              </w:tabs>
              <w:spacing w:before="0"/>
              <w:ind w:left="284" w:hanging="227"/>
            </w:pPr>
            <w:r>
              <w:t>-</w:t>
            </w:r>
            <w:r>
              <w:tab/>
            </w:r>
            <w:r w:rsidRPr="002179AF">
              <w:t>Aux Membres du Secteu</w:t>
            </w:r>
            <w:r>
              <w:t>r UIT-T;</w:t>
            </w:r>
          </w:p>
          <w:p w:rsidR="00FC3A4E" w:rsidRDefault="00FC3A4E" w:rsidP="00A5280F">
            <w:pPr>
              <w:tabs>
                <w:tab w:val="clear" w:pos="794"/>
                <w:tab w:val="clear" w:pos="1191"/>
                <w:tab w:val="clear" w:pos="1588"/>
                <w:tab w:val="clear" w:pos="1985"/>
                <w:tab w:val="left" w:pos="284"/>
              </w:tabs>
              <w:spacing w:before="0"/>
              <w:ind w:left="284" w:hanging="227"/>
            </w:pPr>
            <w:r>
              <w:t>-</w:t>
            </w:r>
            <w:r>
              <w:tab/>
            </w:r>
            <w:r w:rsidRPr="002179AF">
              <w:t>Aux Associés de l</w:t>
            </w:r>
            <w:r>
              <w:t>'UIT-T;</w:t>
            </w:r>
          </w:p>
          <w:p w:rsidR="00FC3A4E" w:rsidRDefault="00FC3A4E" w:rsidP="00A5280F">
            <w:pPr>
              <w:tabs>
                <w:tab w:val="clear" w:pos="794"/>
                <w:tab w:val="clear" w:pos="1191"/>
                <w:tab w:val="clear" w:pos="1588"/>
                <w:tab w:val="clear" w:pos="1985"/>
                <w:tab w:val="left" w:pos="284"/>
              </w:tabs>
              <w:spacing w:before="0"/>
              <w:ind w:left="284" w:hanging="227"/>
            </w:pPr>
            <w:r>
              <w:t>-</w:t>
            </w:r>
            <w:r>
              <w:tab/>
              <w:t>Aux établissements universitaires participant aux travaux de l'UIT-T;</w:t>
            </w:r>
          </w:p>
        </w:tc>
      </w:tr>
      <w:tr w:rsidR="00517A03" w:rsidTr="00A877A4">
        <w:trPr>
          <w:cantSplit/>
        </w:trPr>
        <w:tc>
          <w:tcPr>
            <w:tcW w:w="822" w:type="dxa"/>
          </w:tcPr>
          <w:p w:rsidR="00517A03" w:rsidRDefault="00517A03" w:rsidP="00A5280F">
            <w:pPr>
              <w:tabs>
                <w:tab w:val="left" w:pos="4111"/>
              </w:tabs>
              <w:spacing w:before="10"/>
              <w:ind w:left="57"/>
              <w:rPr>
                <w:rFonts w:ascii="Futura Lt BT" w:hAnsi="Futura Lt BT"/>
                <w:sz w:val="20"/>
              </w:rPr>
            </w:pPr>
          </w:p>
        </w:tc>
        <w:tc>
          <w:tcPr>
            <w:tcW w:w="4055" w:type="dxa"/>
          </w:tcPr>
          <w:p w:rsidR="00517A03" w:rsidRDefault="00517A03" w:rsidP="00A5280F">
            <w:pPr>
              <w:tabs>
                <w:tab w:val="left" w:pos="4111"/>
              </w:tabs>
              <w:spacing w:before="0"/>
              <w:ind w:left="57"/>
            </w:pPr>
          </w:p>
        </w:tc>
        <w:tc>
          <w:tcPr>
            <w:tcW w:w="4896" w:type="dxa"/>
          </w:tcPr>
          <w:p w:rsidR="00517A03" w:rsidRDefault="00517A03" w:rsidP="00A5280F">
            <w:pPr>
              <w:tabs>
                <w:tab w:val="left" w:pos="4111"/>
              </w:tabs>
              <w:spacing w:before="0"/>
            </w:pPr>
            <w:r>
              <w:rPr>
                <w:b/>
              </w:rPr>
              <w:t>Copie</w:t>
            </w:r>
            <w:r>
              <w:t>:</w:t>
            </w:r>
          </w:p>
          <w:p w:rsidR="00517A03" w:rsidRDefault="00517A03" w:rsidP="00A877A4">
            <w:pPr>
              <w:tabs>
                <w:tab w:val="clear" w:pos="794"/>
                <w:tab w:val="left" w:pos="226"/>
                <w:tab w:val="left" w:pos="4111"/>
              </w:tabs>
              <w:spacing w:before="0"/>
              <w:ind w:left="226" w:hanging="226"/>
            </w:pPr>
            <w:r>
              <w:t>-</w:t>
            </w:r>
            <w:r>
              <w:tab/>
            </w:r>
            <w:r w:rsidR="00764486" w:rsidRPr="002179AF">
              <w:t>Aux Président</w:t>
            </w:r>
            <w:r w:rsidR="00764486">
              <w:t>s</w:t>
            </w:r>
            <w:r w:rsidR="00764486" w:rsidRPr="002179AF">
              <w:t xml:space="preserve"> et Vice-</w:t>
            </w:r>
            <w:r w:rsidR="00764486">
              <w:t>P</w:t>
            </w:r>
            <w:r w:rsidR="00764486" w:rsidRPr="002179AF">
              <w:t>résident</w:t>
            </w:r>
            <w:r w:rsidR="00A877A4">
              <w:t xml:space="preserve">s des Commissions </w:t>
            </w:r>
            <w:r w:rsidR="00764486">
              <w:t>d'études de l'UIT-T;</w:t>
            </w:r>
          </w:p>
          <w:p w:rsidR="00517A03" w:rsidRDefault="00517A03" w:rsidP="00A877A4">
            <w:pPr>
              <w:tabs>
                <w:tab w:val="clear" w:pos="794"/>
                <w:tab w:val="left" w:pos="226"/>
                <w:tab w:val="left" w:pos="4111"/>
              </w:tabs>
              <w:spacing w:before="0"/>
              <w:ind w:left="226" w:hanging="226"/>
            </w:pPr>
            <w:r>
              <w:t>-</w:t>
            </w:r>
            <w:r>
              <w:tab/>
            </w:r>
            <w:r w:rsidR="00764486">
              <w:t>Aux Présidents et Vice-Présidents des GT 5A et</w:t>
            </w:r>
            <w:r w:rsidR="00A877A4">
              <w:t xml:space="preserve"> 5D </w:t>
            </w:r>
            <w:r w:rsidR="00764486">
              <w:t>de l'UIT-R;</w:t>
            </w:r>
          </w:p>
          <w:p w:rsidR="00517A03" w:rsidRDefault="00517A03" w:rsidP="00A5280F">
            <w:pPr>
              <w:tabs>
                <w:tab w:val="clear" w:pos="794"/>
                <w:tab w:val="left" w:pos="226"/>
                <w:tab w:val="left" w:pos="4111"/>
              </w:tabs>
              <w:spacing w:before="0"/>
              <w:ind w:left="226" w:hanging="226"/>
            </w:pPr>
            <w:r>
              <w:t>-</w:t>
            </w:r>
            <w:r>
              <w:tab/>
            </w:r>
            <w:r w:rsidR="00764486" w:rsidRPr="002179AF">
              <w:t>Au Directeur du Bureau des</w:t>
            </w:r>
            <w:r w:rsidR="00764486">
              <w:t xml:space="preserve"> </w:t>
            </w:r>
            <w:r w:rsidR="00764486" w:rsidRPr="002179AF">
              <w:t>radiocommunications</w:t>
            </w:r>
            <w:r w:rsidR="00764486">
              <w:t>;</w:t>
            </w:r>
          </w:p>
          <w:p w:rsidR="00517A03" w:rsidRDefault="00517A03" w:rsidP="00764486">
            <w:pPr>
              <w:tabs>
                <w:tab w:val="clear" w:pos="794"/>
                <w:tab w:val="left" w:pos="226"/>
                <w:tab w:val="left" w:pos="4111"/>
              </w:tabs>
              <w:spacing w:before="0"/>
              <w:ind w:left="226" w:hanging="226"/>
            </w:pPr>
            <w:r>
              <w:t>-</w:t>
            </w:r>
            <w:r>
              <w:tab/>
            </w:r>
            <w:r w:rsidR="00764486">
              <w:t xml:space="preserve">Aux entités suivantes: ISO TC </w:t>
            </w:r>
            <w:r w:rsidR="00EE340A">
              <w:t>20</w:t>
            </w:r>
            <w:r w:rsidR="00764486">
              <w:t>4, ISO TC 22, ARIB, ATIS, CCSA, ETSI, IEEE, ISACC, SAE, TIA, TTC et TTA.</w:t>
            </w:r>
          </w:p>
        </w:tc>
      </w:tr>
    </w:tbl>
    <w:p w:rsidR="00517A03" w:rsidRDefault="00517A03" w:rsidP="00A5280F">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6541"/>
      </w:tblGrid>
      <w:tr w:rsidR="00517A03" w:rsidTr="00822E6D">
        <w:trPr>
          <w:cantSplit/>
          <w:trHeight w:val="680"/>
        </w:trPr>
        <w:tc>
          <w:tcPr>
            <w:tcW w:w="822" w:type="dxa"/>
          </w:tcPr>
          <w:p w:rsidR="00517A03" w:rsidRDefault="00517A03" w:rsidP="00A5280F">
            <w:pPr>
              <w:tabs>
                <w:tab w:val="left" w:pos="4111"/>
              </w:tabs>
              <w:spacing w:before="10"/>
              <w:ind w:left="57"/>
              <w:rPr>
                <w:sz w:val="22"/>
              </w:rPr>
            </w:pPr>
            <w:r>
              <w:rPr>
                <w:sz w:val="22"/>
              </w:rPr>
              <w:t>Objet:</w:t>
            </w:r>
          </w:p>
        </w:tc>
        <w:tc>
          <w:tcPr>
            <w:tcW w:w="6541" w:type="dxa"/>
          </w:tcPr>
          <w:p w:rsidR="00517A03" w:rsidRDefault="00822E6D" w:rsidP="00A5280F">
            <w:pPr>
              <w:tabs>
                <w:tab w:val="left" w:pos="4111"/>
              </w:tabs>
              <w:spacing w:before="0"/>
              <w:ind w:left="57"/>
              <w:rPr>
                <w:b/>
              </w:rPr>
            </w:pPr>
            <w:r>
              <w:rPr>
                <w:b/>
              </w:rPr>
              <w:t>Réunion de la Collaboration sur les normes de communication pour les systèmes ITS</w:t>
            </w:r>
          </w:p>
          <w:p w:rsidR="00C44A35" w:rsidRDefault="00C44A35" w:rsidP="00A5280F">
            <w:pPr>
              <w:tabs>
                <w:tab w:val="left" w:pos="4111"/>
              </w:tabs>
              <w:spacing w:before="0"/>
              <w:ind w:left="57"/>
            </w:pPr>
            <w:r>
              <w:rPr>
                <w:b/>
              </w:rPr>
              <w:t>Troy, Michigan (Etats-Unis d'Amérique), 3 avril 2012</w:t>
            </w:r>
          </w:p>
        </w:tc>
      </w:tr>
    </w:tbl>
    <w:p w:rsidR="00517A03" w:rsidRDefault="00517A03" w:rsidP="00C95ADD">
      <w:pPr>
        <w:pStyle w:val="Normalaftertitle"/>
      </w:pPr>
      <w:bookmarkStart w:id="2" w:name="StartTyping_F"/>
      <w:bookmarkEnd w:id="2"/>
      <w:r>
        <w:t>Madame, Monsieur,</w:t>
      </w:r>
    </w:p>
    <w:p w:rsidR="00C95ADD" w:rsidRPr="00876314" w:rsidRDefault="009E1EA3" w:rsidP="00EE340A">
      <w:pPr>
        <w:rPr>
          <w:lang w:val="fr-CH"/>
        </w:rPr>
      </w:pPr>
      <w:r w:rsidRPr="002179AF">
        <w:t>J</w:t>
      </w:r>
      <w:r>
        <w:t>'</w:t>
      </w:r>
      <w:r w:rsidRPr="002179AF">
        <w:t>ai l</w:t>
      </w:r>
      <w:r>
        <w:t>'</w:t>
      </w:r>
      <w:r w:rsidRPr="002179AF">
        <w:t xml:space="preserve">honneur de vous </w:t>
      </w:r>
      <w:r>
        <w:t xml:space="preserve">inviter à </w:t>
      </w:r>
      <w:r w:rsidR="00C44A35">
        <w:t>la deuxième</w:t>
      </w:r>
      <w:r>
        <w:t xml:space="preserve"> réunion de la Collaboration </w:t>
      </w:r>
      <w:r w:rsidR="00224D7B">
        <w:t>sur les normes de communication </w:t>
      </w:r>
      <w:r>
        <w:t>pour les systèmes ITS (systèmes de transport intellige</w:t>
      </w:r>
      <w:r w:rsidR="00224D7B">
        <w:t>nts), qui aura</w:t>
      </w:r>
      <w:r w:rsidR="00650ED8" w:rsidRPr="00650ED8">
        <w:t xml:space="preserve"> </w:t>
      </w:r>
      <w:r w:rsidR="00650ED8">
        <w:t>lieu, à l'aimable invitation de SAE International,</w:t>
      </w:r>
      <w:r w:rsidR="00224D7B">
        <w:t xml:space="preserve"> le m</w:t>
      </w:r>
      <w:r w:rsidR="00C44A35">
        <w:t>ar</w:t>
      </w:r>
      <w:r w:rsidR="00224D7B">
        <w:t>di </w:t>
      </w:r>
      <w:r w:rsidR="001A5D41">
        <w:t>3 avril </w:t>
      </w:r>
      <w:r w:rsidR="00C44A35">
        <w:t>2012</w:t>
      </w:r>
      <w:r>
        <w:t xml:space="preserve"> </w:t>
      </w:r>
      <w:r w:rsidR="00C44A35">
        <w:t xml:space="preserve">dans les locaux de SAE </w:t>
      </w:r>
      <w:proofErr w:type="spellStart"/>
      <w:r w:rsidR="00C44A35">
        <w:t>Automotive</w:t>
      </w:r>
      <w:proofErr w:type="spellEnd"/>
      <w:r w:rsidR="00C44A35">
        <w:t xml:space="preserve"> à Troy, Michigan (Etats-Unis d'Amérique)</w:t>
      </w:r>
      <w:r>
        <w:t>.</w:t>
      </w:r>
      <w:r w:rsidR="00C44A35">
        <w:t xml:space="preserve"> </w:t>
      </w:r>
      <w:r w:rsidR="00EE340A">
        <w:t>Elle sera suivie de</w:t>
      </w:r>
      <w:r w:rsidR="00A06BCF">
        <w:t xml:space="preserve"> la quatrième réunion</w:t>
      </w:r>
      <w:r w:rsidR="00650ED8">
        <w:t xml:space="preserve"> du Groupe spécialisé sur l'inattention</w:t>
      </w:r>
      <w:r w:rsidR="00A558BA">
        <w:t xml:space="preserve"> des conducteurs</w:t>
      </w:r>
      <w:r w:rsidR="00B57511">
        <w:t xml:space="preserve"> </w:t>
      </w:r>
      <w:r w:rsidR="00A558BA">
        <w:t>(</w:t>
      </w:r>
      <w:r w:rsidR="00EE340A">
        <w:t xml:space="preserve">les </w:t>
      </w:r>
      <w:r w:rsidR="00650ED8">
        <w:t>4 et 5 avril 2012).</w:t>
      </w:r>
    </w:p>
    <w:p w:rsidR="00C95ADD" w:rsidRPr="00876314" w:rsidRDefault="009E1EA3" w:rsidP="001A5D41">
      <w:pPr>
        <w:rPr>
          <w:lang w:val="fr-CH"/>
        </w:rPr>
      </w:pPr>
      <w:r>
        <w:t xml:space="preserve">La Collaboration a pour objet de constituer un forum </w:t>
      </w:r>
      <w:r w:rsidR="001218F4">
        <w:t>mondi</w:t>
      </w:r>
      <w:r>
        <w:t>alement reconnu en vue de la création d'un</w:t>
      </w:r>
      <w:r w:rsidR="001218F4">
        <w:t xml:space="preserve"> ensemble</w:t>
      </w:r>
      <w:r>
        <w:t xml:space="preserve"> de normes de communication po</w:t>
      </w:r>
      <w:r w:rsidR="001218F4">
        <w:t>ur les systèmes ITS, harmonisé à l'échelle mondiale et accepté</w:t>
      </w:r>
      <w:r>
        <w:t xml:space="preserve"> </w:t>
      </w:r>
      <w:r w:rsidR="001218F4">
        <w:t>internationalement</w:t>
      </w:r>
      <w:r>
        <w:t>. Ces normes devront être d'excellente qualité et leur élaboration sera aussi rapide que possible</w:t>
      </w:r>
      <w:r w:rsidR="001218F4">
        <w:t>, de manière à permettre le déploiement rapide</w:t>
      </w:r>
      <w:r w:rsidR="0072417F">
        <w:t xml:space="preserve"> sur le marché mondial</w:t>
      </w:r>
      <w:r w:rsidR="001218F4">
        <w:t xml:space="preserve"> de produits</w:t>
      </w:r>
      <w:r w:rsidR="0072417F">
        <w:t xml:space="preserve"> et de services</w:t>
      </w:r>
      <w:r w:rsidR="001218F4">
        <w:t xml:space="preserve"> totalement interopérables </w:t>
      </w:r>
      <w:r w:rsidR="0072417F">
        <w:t xml:space="preserve">liés </w:t>
      </w:r>
      <w:r w:rsidR="00EE340A">
        <w:t>à la communication</w:t>
      </w:r>
      <w:r w:rsidR="0072417F">
        <w:t xml:space="preserve"> </w:t>
      </w:r>
      <w:r w:rsidR="00EE340A">
        <w:t>d</w:t>
      </w:r>
      <w:r w:rsidR="0072417F">
        <w:t>es systèmes ITS</w:t>
      </w:r>
      <w:r>
        <w:t>.</w:t>
      </w:r>
    </w:p>
    <w:p w:rsidR="00C95ADD" w:rsidRPr="00876314" w:rsidRDefault="009E1EA3" w:rsidP="00C95ADD">
      <w:pPr>
        <w:rPr>
          <w:b/>
          <w:bCs/>
          <w:lang w:val="fr-CH"/>
        </w:rPr>
      </w:pPr>
      <w:r>
        <w:t>Cette réunion est ouverte:</w:t>
      </w:r>
    </w:p>
    <w:p w:rsidR="00C95ADD" w:rsidRDefault="009E1EA3" w:rsidP="00EE340A">
      <w:pPr>
        <w:pStyle w:val="enumlev1"/>
      </w:pPr>
      <w:r>
        <w:t>–</w:t>
      </w:r>
      <w:r>
        <w:tab/>
        <w:t>aux représentants des Etats Membres de l'UIT, des Membres de Secteur, des Associés et des établissements universitaires, ainsi qu'à tout ressortissant d'un pays membre de l'</w:t>
      </w:r>
      <w:r w:rsidR="001A5D41">
        <w:t>UIT</w:t>
      </w:r>
      <w:r>
        <w:t xml:space="preserve"> qui souhaite contribuer aux travaux;</w:t>
      </w:r>
    </w:p>
    <w:p w:rsidR="009E1EA3" w:rsidRDefault="009E1EA3" w:rsidP="0072417F">
      <w:pPr>
        <w:pStyle w:val="enumlev1"/>
      </w:pPr>
      <w:r>
        <w:t>–</w:t>
      </w:r>
      <w:r>
        <w:tab/>
        <w:t xml:space="preserve">à tous les particuliers </w:t>
      </w:r>
      <w:r w:rsidRPr="00C735A4">
        <w:t>qui sont membres d'organisations</w:t>
      </w:r>
      <w:r w:rsidR="0072417F" w:rsidRPr="0072417F">
        <w:t xml:space="preserve"> </w:t>
      </w:r>
      <w:r w:rsidR="0072417F" w:rsidRPr="00C735A4">
        <w:t>nationales</w:t>
      </w:r>
      <w:r w:rsidRPr="00C735A4">
        <w:t xml:space="preserve">, régionales ou </w:t>
      </w:r>
      <w:r w:rsidR="0072417F" w:rsidRPr="00C735A4">
        <w:t>internationales</w:t>
      </w:r>
      <w:r w:rsidR="00A558BA">
        <w:t xml:space="preserve"> de normalisation </w:t>
      </w:r>
      <w:r>
        <w:t>et souhaitent contribuer aux travaux</w:t>
      </w:r>
      <w:r w:rsidRPr="00C735A4">
        <w:t>.</w:t>
      </w:r>
    </w:p>
    <w:p w:rsidR="009E1EA3" w:rsidRDefault="009E1EA3" w:rsidP="00A558BA">
      <w:r>
        <w:t xml:space="preserve">En particulier, les organisations </w:t>
      </w:r>
      <w:r w:rsidR="00A558BA" w:rsidRPr="00C735A4">
        <w:t>nationales, régionales ou internationales</w:t>
      </w:r>
      <w:r>
        <w:t xml:space="preserve"> </w:t>
      </w:r>
      <w:r w:rsidR="00A558BA">
        <w:t>de normalisation sont encouragées à participer</w:t>
      </w:r>
      <w:r>
        <w:t xml:space="preserve"> </w:t>
      </w:r>
      <w:r w:rsidR="009D6D71">
        <w:t xml:space="preserve">et </w:t>
      </w:r>
      <w:r>
        <w:t>sont invitées à devenir membres du Comité de gestion de la Collaboration.</w:t>
      </w:r>
    </w:p>
    <w:p w:rsidR="009E1EA3" w:rsidRDefault="009E1EA3" w:rsidP="001A5D41">
      <w:pPr>
        <w:keepNext/>
        <w:keepLines/>
      </w:pPr>
      <w:r>
        <w:lastRenderedPageBreak/>
        <w:t xml:space="preserve">Le </w:t>
      </w:r>
      <w:r w:rsidR="009D6D71">
        <w:t xml:space="preserve">mandat de </w:t>
      </w:r>
      <w:r>
        <w:t xml:space="preserve">la Collaboration </w:t>
      </w:r>
      <w:r w:rsidR="009D6D71">
        <w:t>figure à l'adresse</w:t>
      </w:r>
      <w:r w:rsidR="00EE340A">
        <w:t xml:space="preserve"> </w:t>
      </w:r>
      <w:hyperlink r:id="rId11" w:history="1">
        <w:r w:rsidR="00EE340A" w:rsidRPr="00141330">
          <w:rPr>
            <w:rStyle w:val="Hyperlink"/>
          </w:rPr>
          <w:t>http://itu.int/en/ITU-T/extcoop/cits/</w:t>
        </w:r>
      </w:hyperlink>
      <w:r>
        <w:t>.</w:t>
      </w:r>
      <w:r w:rsidR="009D6D71">
        <w:t xml:space="preserve"> Les participants à la réunion examineront les points énumérés à l'</w:t>
      </w:r>
      <w:r w:rsidR="009D6D71" w:rsidRPr="009D6D71">
        <w:rPr>
          <w:b/>
          <w:bCs/>
        </w:rPr>
        <w:t>Annexe 1</w:t>
      </w:r>
      <w:r w:rsidR="009D6D71">
        <w:t>.</w:t>
      </w:r>
    </w:p>
    <w:p w:rsidR="009E1EA3" w:rsidRDefault="009E1EA3" w:rsidP="001A5D41">
      <w:pPr>
        <w:keepNext/>
        <w:keepLines/>
        <w:rPr>
          <w:lang w:eastAsia="ja-JP"/>
        </w:rPr>
      </w:pPr>
      <w:r>
        <w:t>La réunion</w:t>
      </w:r>
      <w:r w:rsidR="00B57511">
        <w:t xml:space="preserve"> de la Collaboration</w:t>
      </w:r>
      <w:r>
        <w:t xml:space="preserve"> </w:t>
      </w:r>
      <w:r w:rsidRPr="002179AF">
        <w:t>s</w:t>
      </w:r>
      <w:r>
        <w:t>'</w:t>
      </w:r>
      <w:r w:rsidRPr="002179AF">
        <w:t xml:space="preserve">ouvrira à </w:t>
      </w:r>
      <w:r w:rsidR="0039553F">
        <w:t>9 </w:t>
      </w:r>
      <w:r w:rsidR="00B57511">
        <w:t>h</w:t>
      </w:r>
      <w:r w:rsidR="0039553F">
        <w:t>eures</w:t>
      </w:r>
      <w:r>
        <w:t xml:space="preserve"> le </w:t>
      </w:r>
      <w:r w:rsidR="00B57511">
        <w:t>3 avril 2012</w:t>
      </w:r>
      <w:r w:rsidRPr="002179AF">
        <w:t>.</w:t>
      </w:r>
      <w:r>
        <w:t xml:space="preserve"> Il ne sera pas perçu de droit d'</w:t>
      </w:r>
      <w:r w:rsidR="00B57511">
        <w:t>inscription</w:t>
      </w:r>
      <w:r>
        <w:t xml:space="preserve"> pour la participation à la réunion</w:t>
      </w:r>
      <w:r>
        <w:rPr>
          <w:rFonts w:hint="eastAsia"/>
          <w:lang w:eastAsia="ja-JP"/>
        </w:rPr>
        <w:t>.</w:t>
      </w:r>
    </w:p>
    <w:p w:rsidR="009E1EA3" w:rsidRDefault="009E1EA3" w:rsidP="009E1EA3">
      <w:r w:rsidRPr="002179AF">
        <w:t>L</w:t>
      </w:r>
      <w:r>
        <w:t xml:space="preserve">a réunion </w:t>
      </w:r>
      <w:r w:rsidRPr="002179AF">
        <w:t>se déroulera en anglais seulement</w:t>
      </w:r>
      <w:r>
        <w:t>.</w:t>
      </w:r>
    </w:p>
    <w:p w:rsidR="00B57511" w:rsidRDefault="00B57511" w:rsidP="003559F6">
      <w:r w:rsidRPr="00BA45DA">
        <w:rPr>
          <w:b/>
          <w:bCs/>
        </w:rPr>
        <w:t>Inscr</w:t>
      </w:r>
      <w:r>
        <w:rPr>
          <w:b/>
          <w:bCs/>
        </w:rPr>
        <w:t>i</w:t>
      </w:r>
      <w:r w:rsidRPr="00BA45DA">
        <w:rPr>
          <w:b/>
          <w:bCs/>
        </w:rPr>
        <w:t>ption</w:t>
      </w:r>
      <w:r>
        <w:t xml:space="preserve">: </w:t>
      </w:r>
      <w:r w:rsidRPr="002179AF">
        <w:t>Afin de permettre au TSB de prendre les dispositions nécessaires concernant l</w:t>
      </w:r>
      <w:r>
        <w:t>'</w:t>
      </w:r>
      <w:r w:rsidRPr="002179AF">
        <w:t xml:space="preserve">organisation de </w:t>
      </w:r>
      <w:r>
        <w:t xml:space="preserve">la réunion, </w:t>
      </w:r>
      <w:r w:rsidRPr="002179AF">
        <w:t>je vous saurais gré de bien vouloir vous inscrire</w:t>
      </w:r>
      <w:r>
        <w:t xml:space="preserve"> à la </w:t>
      </w:r>
      <w:r w:rsidRPr="00224D7B">
        <w:rPr>
          <w:b/>
          <w:bCs/>
        </w:rPr>
        <w:t>réunion de la Collaboration sur les normes de communication pour les systèmes ITS (</w:t>
      </w:r>
      <w:r>
        <w:rPr>
          <w:b/>
          <w:bCs/>
        </w:rPr>
        <w:t>3</w:t>
      </w:r>
      <w:r w:rsidR="003559F6">
        <w:rPr>
          <w:b/>
          <w:bCs/>
        </w:rPr>
        <w:t> </w:t>
      </w:r>
      <w:r>
        <w:rPr>
          <w:b/>
          <w:bCs/>
        </w:rPr>
        <w:t>avril</w:t>
      </w:r>
      <w:r w:rsidR="003559F6">
        <w:rPr>
          <w:b/>
          <w:bCs/>
        </w:rPr>
        <w:t> </w:t>
      </w:r>
      <w:r>
        <w:rPr>
          <w:b/>
          <w:bCs/>
        </w:rPr>
        <w:t>2012</w:t>
      </w:r>
      <w:r w:rsidRPr="00224D7B">
        <w:rPr>
          <w:b/>
          <w:bCs/>
        </w:rPr>
        <w:t>)</w:t>
      </w:r>
      <w:r w:rsidR="003559F6">
        <w:t xml:space="preserve"> au moyen </w:t>
      </w:r>
      <w:r w:rsidRPr="002179AF">
        <w:t>du formulaire en ligne</w:t>
      </w:r>
      <w:r w:rsidR="00EE340A">
        <w:t xml:space="preserve"> disponible</w:t>
      </w:r>
      <w:r>
        <w:t xml:space="preserve"> à l'adresse</w:t>
      </w:r>
      <w:r w:rsidR="001A5D41">
        <w:t>:</w:t>
      </w:r>
      <w:r>
        <w:t xml:space="preserve"> </w:t>
      </w:r>
      <w:hyperlink r:id="rId12" w:history="1">
        <w:r w:rsidRPr="00141330">
          <w:rPr>
            <w:rStyle w:val="Hyperlink"/>
          </w:rPr>
          <w:t>http://www.itu.int/reg/tmisc/3000355</w:t>
        </w:r>
      </w:hyperlink>
      <w:r>
        <w:t xml:space="preserve">. </w:t>
      </w:r>
    </w:p>
    <w:p w:rsidR="00D16E9D" w:rsidRDefault="00731BE7" w:rsidP="00230E49">
      <w:pPr>
        <w:rPr>
          <w:b/>
          <w:bCs/>
        </w:rPr>
      </w:pPr>
      <w:r w:rsidRPr="00731BE7">
        <w:rPr>
          <w:b/>
          <w:bCs/>
        </w:rPr>
        <w:t xml:space="preserve">Documents de </w:t>
      </w:r>
      <w:r>
        <w:rPr>
          <w:b/>
          <w:bCs/>
        </w:rPr>
        <w:t>réunion</w:t>
      </w:r>
      <w:r>
        <w:t xml:space="preserve">: Les participants qui souhaitent soumettre un document pour examen à la réunion doivent, </w:t>
      </w:r>
      <w:r w:rsidR="00EE340A">
        <w:t>en employant le</w:t>
      </w:r>
      <w:r>
        <w:t xml:space="preserve"> modèle disponible à l'adresse</w:t>
      </w:r>
      <w:r w:rsidR="003559F6">
        <w:t>:</w:t>
      </w:r>
      <w:r>
        <w:t xml:space="preserve"> </w:t>
      </w:r>
      <w:r w:rsidR="00230E49">
        <w:br/>
      </w:r>
      <w:hyperlink r:id="rId13" w:history="1">
        <w:r w:rsidR="00230E49" w:rsidRPr="00EB05D1">
          <w:rPr>
            <w:rStyle w:val="Hyperlink"/>
          </w:rPr>
          <w:t>http:/</w:t>
        </w:r>
        <w:r w:rsidR="00230E49" w:rsidRPr="00EB05D1">
          <w:rPr>
            <w:rStyle w:val="Hyperlink"/>
          </w:rPr>
          <w:t>/</w:t>
        </w:r>
        <w:r w:rsidR="00230E49" w:rsidRPr="00EB05D1">
          <w:rPr>
            <w:rStyle w:val="Hyperlink"/>
          </w:rPr>
          <w:t>itu</w:t>
        </w:r>
        <w:r w:rsidR="00230E49" w:rsidRPr="00EB05D1">
          <w:rPr>
            <w:rStyle w:val="Hyperlink"/>
          </w:rPr>
          <w:t>.</w:t>
        </w:r>
        <w:r w:rsidR="00230E49" w:rsidRPr="00EB05D1">
          <w:rPr>
            <w:rStyle w:val="Hyperlink"/>
          </w:rPr>
          <w:t>int/en/ITU-T/ex</w:t>
        </w:r>
        <w:r w:rsidR="00230E49" w:rsidRPr="00EB05D1">
          <w:rPr>
            <w:rStyle w:val="Hyperlink"/>
          </w:rPr>
          <w:t>t</w:t>
        </w:r>
        <w:r w:rsidR="00230E49" w:rsidRPr="00EB05D1">
          <w:rPr>
            <w:rStyle w:val="Hyperlink"/>
          </w:rPr>
          <w:t>coop/cits/</w:t>
        </w:r>
      </w:hyperlink>
      <w:r>
        <w:t xml:space="preserve">, </w:t>
      </w:r>
      <w:r w:rsidR="00EE340A">
        <w:t xml:space="preserve">envoyer ce document </w:t>
      </w:r>
      <w:r>
        <w:t xml:space="preserve">à l'adresse </w:t>
      </w:r>
      <w:hyperlink r:id="rId14" w:history="1">
        <w:r w:rsidR="00230E49" w:rsidRPr="00EB05D1">
          <w:rPr>
            <w:rStyle w:val="Hyperlink"/>
          </w:rPr>
          <w:t>tsbci</w:t>
        </w:r>
        <w:r w:rsidR="00230E49" w:rsidRPr="00EB05D1">
          <w:rPr>
            <w:rStyle w:val="Hyperlink"/>
          </w:rPr>
          <w:t>t</w:t>
        </w:r>
        <w:r w:rsidR="00230E49" w:rsidRPr="00EB05D1">
          <w:rPr>
            <w:rStyle w:val="Hyperlink"/>
          </w:rPr>
          <w:t>s@itu.int</w:t>
        </w:r>
      </w:hyperlink>
      <w:r w:rsidR="0036556D">
        <w:t>,</w:t>
      </w:r>
      <w:r w:rsidR="003559F6">
        <w:rPr>
          <w:b/>
          <w:bCs/>
        </w:rPr>
        <w:t xml:space="preserve"> avant le 27 </w:t>
      </w:r>
      <w:r w:rsidR="0036556D" w:rsidRPr="0036556D">
        <w:rPr>
          <w:b/>
          <w:bCs/>
        </w:rPr>
        <w:t>mars</w:t>
      </w:r>
      <w:r w:rsidR="003559F6">
        <w:rPr>
          <w:b/>
          <w:bCs/>
        </w:rPr>
        <w:t> </w:t>
      </w:r>
      <w:r w:rsidR="0036556D" w:rsidRPr="0036556D">
        <w:rPr>
          <w:b/>
          <w:bCs/>
        </w:rPr>
        <w:t>2012</w:t>
      </w:r>
      <w:r w:rsidR="0036556D">
        <w:t xml:space="preserve">. </w:t>
      </w:r>
      <w:r>
        <w:t>Un document "tardif ou imprévu" ne pourra être accepté qu'avec l'accord des participants à la réunion, faute de quoi il sera présenté à une réunion ultérieure.</w:t>
      </w:r>
    </w:p>
    <w:p w:rsidR="00B57511" w:rsidRPr="00B57511" w:rsidRDefault="009E1EA3" w:rsidP="00EE340A">
      <w:pPr>
        <w:rPr>
          <w:bCs/>
        </w:rPr>
      </w:pPr>
      <w:r w:rsidRPr="00BA45DA">
        <w:rPr>
          <w:b/>
          <w:bCs/>
        </w:rPr>
        <w:t>Participation à distance</w:t>
      </w:r>
      <w:r w:rsidRPr="00BA45DA">
        <w:t>: Vous pouvez participer à distance</w:t>
      </w:r>
      <w:r>
        <w:rPr>
          <w:b/>
          <w:bCs/>
        </w:rPr>
        <w:t xml:space="preserve"> </w:t>
      </w:r>
      <w:r>
        <w:t xml:space="preserve">aux travaux de la Collaboration sur les normes de communication </w:t>
      </w:r>
      <w:r w:rsidR="0036556D">
        <w:t>pour</w:t>
      </w:r>
      <w:r>
        <w:t xml:space="preserve"> les systèmes ITS. En tant que délégué à distance, vous pourrez suivre les débats, consulter les documents et présentations et dialoguer avec l'hôte à distance. Si vous souhaitez participer en tant que délégué à distance, vous devez vous inscrire </w:t>
      </w:r>
      <w:r w:rsidR="0036556D">
        <w:t>d'avance à l'adresse</w:t>
      </w:r>
      <w:r w:rsidR="003559F6">
        <w:t>:</w:t>
      </w:r>
      <w:r w:rsidR="0036556D">
        <w:t xml:space="preserve"> </w:t>
      </w:r>
      <w:hyperlink r:id="rId15" w:history="1">
        <w:r w:rsidR="0036556D" w:rsidRPr="00141330">
          <w:rPr>
            <w:rStyle w:val="Hyperlink"/>
          </w:rPr>
          <w:t>http://itu.int/</w:t>
        </w:r>
        <w:r w:rsidR="0036556D" w:rsidRPr="00141330">
          <w:rPr>
            <w:rStyle w:val="Hyperlink"/>
          </w:rPr>
          <w:t>e</w:t>
        </w:r>
        <w:r w:rsidR="0036556D" w:rsidRPr="00141330">
          <w:rPr>
            <w:rStyle w:val="Hyperlink"/>
          </w:rPr>
          <w:t>n/ITU-T/extcoop/cits/</w:t>
        </w:r>
      </w:hyperlink>
      <w:r>
        <w:t xml:space="preserve">. </w:t>
      </w:r>
      <w:r w:rsidR="0036556D">
        <w:t xml:space="preserve">Des instructions de participation à distance seront </w:t>
      </w:r>
      <w:r w:rsidR="00EE340A">
        <w:t>disponibles</w:t>
      </w:r>
      <w:r w:rsidR="0036556D">
        <w:t xml:space="preserve"> sur le même site web</w:t>
      </w:r>
      <w:r>
        <w:t>.</w:t>
      </w:r>
    </w:p>
    <w:p w:rsidR="009E1EA3" w:rsidRDefault="009E1EA3" w:rsidP="005925C3">
      <w:r w:rsidRPr="002179AF">
        <w:t xml:space="preserve">Pour </w:t>
      </w:r>
      <w:r w:rsidR="005925C3">
        <w:t>plus de commodité</w:t>
      </w:r>
      <w:r w:rsidRPr="002179AF">
        <w:t xml:space="preserve">, vous trouverez </w:t>
      </w:r>
      <w:r w:rsidR="005925C3">
        <w:t>des informations d'ordre pratique concernant le lieu de la réuni</w:t>
      </w:r>
      <w:r w:rsidR="00EE340A">
        <w:t xml:space="preserve">on et la manière de l'atteindre </w:t>
      </w:r>
      <w:r>
        <w:t>à</w:t>
      </w:r>
      <w:r w:rsidRPr="002179AF">
        <w:t xml:space="preserve"> l</w:t>
      </w:r>
      <w:r>
        <w:t>'</w:t>
      </w:r>
      <w:r w:rsidRPr="002179AF">
        <w:rPr>
          <w:b/>
        </w:rPr>
        <w:t>Annexe</w:t>
      </w:r>
      <w:r w:rsidRPr="002179AF">
        <w:t> </w:t>
      </w:r>
      <w:r>
        <w:rPr>
          <w:b/>
        </w:rPr>
        <w:t>2</w:t>
      </w:r>
      <w:r w:rsidRPr="002179AF">
        <w:t>.</w:t>
      </w:r>
    </w:p>
    <w:p w:rsidR="00690A36" w:rsidRDefault="005925C3" w:rsidP="00EE340A">
      <w:r>
        <w:rPr>
          <w:b/>
          <w:bCs/>
        </w:rPr>
        <w:t xml:space="preserve">Visa: </w:t>
      </w:r>
      <w:r w:rsidR="009E1EA3" w:rsidRPr="002179AF">
        <w:t xml:space="preserve">Nous </w:t>
      </w:r>
      <w:r w:rsidR="00690A36">
        <w:t xml:space="preserve">tenons à </w:t>
      </w:r>
      <w:r w:rsidR="009E1EA3" w:rsidRPr="002179AF">
        <w:t>vous rappel</w:t>
      </w:r>
      <w:r w:rsidR="00690A36">
        <w:t>er</w:t>
      </w:r>
      <w:r w:rsidR="009E1EA3" w:rsidRPr="002179AF">
        <w:t xml:space="preserve"> que</w:t>
      </w:r>
      <w:r w:rsidR="009E1EA3">
        <w:t>,</w:t>
      </w:r>
      <w:r w:rsidR="009E1EA3" w:rsidRPr="002179AF">
        <w:t xml:space="preserve"> pour les ressortissants de certains pays, l</w:t>
      </w:r>
      <w:r w:rsidR="009E1EA3">
        <w:t>'</w:t>
      </w:r>
      <w:r w:rsidR="009E1EA3" w:rsidRPr="002179AF">
        <w:t>entrée et le séjour</w:t>
      </w:r>
      <w:r w:rsidR="009E1EA3">
        <w:t>, quelle qu'en soit la durée,</w:t>
      </w:r>
      <w:r w:rsidR="009E1EA3" w:rsidRPr="002179AF">
        <w:t xml:space="preserve"> sur le territoire </w:t>
      </w:r>
      <w:r w:rsidR="00690A36">
        <w:t>des Etats-Unis d'Amérique</w:t>
      </w:r>
      <w:r w:rsidR="009E1EA3" w:rsidRPr="002179AF">
        <w:t xml:space="preserve"> sont soumis à l</w:t>
      </w:r>
      <w:r w:rsidR="009E1EA3">
        <w:t>'</w:t>
      </w:r>
      <w:r w:rsidR="009E1EA3" w:rsidRPr="002179AF">
        <w:t>obtention d</w:t>
      </w:r>
      <w:r w:rsidR="009E1EA3">
        <w:t>'</w:t>
      </w:r>
      <w:r w:rsidR="009E1EA3" w:rsidRPr="002179AF">
        <w:t xml:space="preserve">un visa. </w:t>
      </w:r>
      <w:r w:rsidR="009E1EA3" w:rsidRPr="00690A36">
        <w:t xml:space="preserve">Ce visa doit être demandé </w:t>
      </w:r>
      <w:r w:rsidR="009E1EA3" w:rsidRPr="002179AF">
        <w:t xml:space="preserve">et obtenu auprès de la représentation </w:t>
      </w:r>
      <w:r w:rsidR="00690A36">
        <w:t>des Etats-Unis d'Amérique</w:t>
      </w:r>
      <w:r w:rsidR="009E1EA3" w:rsidRPr="002179AF">
        <w:t xml:space="preserve"> (ambassade ou consulat)</w:t>
      </w:r>
      <w:r w:rsidR="009E1EA3" w:rsidRPr="004E221E">
        <w:t xml:space="preserve"> </w:t>
      </w:r>
      <w:r w:rsidR="009E1EA3" w:rsidRPr="002179AF">
        <w:t>dans votre pays ou, à défaut, dans le pays le plus proche de votre pays de départ.</w:t>
      </w:r>
      <w:r w:rsidR="009E1EA3">
        <w:t xml:space="preserve"> </w:t>
      </w:r>
      <w:r w:rsidR="00690A36">
        <w:t>Nous vous rappelons que l'approbation d</w:t>
      </w:r>
      <w:r w:rsidR="00EE340A">
        <w:t>u visa</w:t>
      </w:r>
      <w:r w:rsidR="00690A36">
        <w:t xml:space="preserve"> peut </w:t>
      </w:r>
      <w:r w:rsidR="00EE340A">
        <w:t>prendre</w:t>
      </w:r>
      <w:r w:rsidR="00153781">
        <w:t xml:space="preserve"> un certain temps</w:t>
      </w:r>
      <w:r w:rsidR="00265B7C">
        <w:t>, donc ayez l'obligeance de demander</w:t>
      </w:r>
      <w:r w:rsidR="00EE340A">
        <w:t xml:space="preserve"> le vôtre</w:t>
      </w:r>
      <w:r w:rsidR="00265B7C">
        <w:t xml:space="preserve"> dès que possible.</w:t>
      </w:r>
      <w:r w:rsidR="00153781">
        <w:t xml:space="preserve"> </w:t>
      </w:r>
    </w:p>
    <w:p w:rsidR="005E7F70" w:rsidRDefault="005E7F70" w:rsidP="00224D7B">
      <w:r w:rsidRPr="002179AF">
        <w:t>Veuillez agréer, Madame, Monsieur, l</w:t>
      </w:r>
      <w:r>
        <w:t>'</w:t>
      </w:r>
      <w:r w:rsidRPr="002179AF">
        <w:t>assurance de ma considération distinguée.</w:t>
      </w:r>
    </w:p>
    <w:p w:rsidR="00C95ADD" w:rsidRPr="00876314" w:rsidRDefault="00C95ADD" w:rsidP="00224D7B">
      <w:pPr>
        <w:spacing w:before="840"/>
        <w:rPr>
          <w:lang w:val="fr-CH"/>
        </w:rPr>
      </w:pPr>
      <w:r w:rsidRPr="00876314">
        <w:rPr>
          <w:szCs w:val="24"/>
          <w:lang w:val="fr-CH"/>
        </w:rPr>
        <w:t>Malcolm Johnson</w:t>
      </w:r>
      <w:r w:rsidRPr="00876314">
        <w:rPr>
          <w:lang w:val="fr-CH"/>
        </w:rPr>
        <w:br/>
        <w:t>Directeur du Bureau de la</w:t>
      </w:r>
      <w:r w:rsidRPr="00876314">
        <w:rPr>
          <w:lang w:val="fr-CH"/>
        </w:rPr>
        <w:br/>
        <w:t>normalisation des télécommunications</w:t>
      </w:r>
    </w:p>
    <w:p w:rsidR="005E7F70" w:rsidRPr="00B17F84" w:rsidRDefault="00BF4540" w:rsidP="00A877A4">
      <w:pPr>
        <w:spacing w:before="1200"/>
        <w:ind w:right="91"/>
        <w:rPr>
          <w:lang w:val="en-US"/>
        </w:rPr>
      </w:pPr>
      <w:r w:rsidRPr="00B17F84">
        <w:rPr>
          <w:b/>
          <w:bCs/>
          <w:lang w:val="en-US"/>
        </w:rPr>
        <w:t>Annexe</w:t>
      </w:r>
      <w:r w:rsidR="00224D7B" w:rsidRPr="00B17F84">
        <w:rPr>
          <w:b/>
          <w:bCs/>
          <w:lang w:val="en-US"/>
        </w:rPr>
        <w:t>s</w:t>
      </w:r>
      <w:r w:rsidRPr="00B17F84">
        <w:rPr>
          <w:b/>
          <w:bCs/>
          <w:lang w:val="en-US"/>
        </w:rPr>
        <w:t>:</w:t>
      </w:r>
      <w:r w:rsidRPr="00B17F84">
        <w:rPr>
          <w:lang w:val="en-US"/>
        </w:rPr>
        <w:t xml:space="preserve"> </w:t>
      </w:r>
      <w:r w:rsidR="005E7F70" w:rsidRPr="00B17F84">
        <w:rPr>
          <w:lang w:val="en-US"/>
        </w:rPr>
        <w:t>2</w:t>
      </w:r>
    </w:p>
    <w:p w:rsidR="00FB412D" w:rsidRPr="00B17F84" w:rsidRDefault="00FB412D" w:rsidP="00A877A4">
      <w:pPr>
        <w:spacing w:before="1200"/>
        <w:ind w:right="91"/>
        <w:rPr>
          <w:lang w:val="en-US"/>
        </w:rPr>
      </w:pPr>
    </w:p>
    <w:p w:rsidR="00FB412D" w:rsidRDefault="00FB412D" w:rsidP="00FB412D">
      <w:pPr>
        <w:pStyle w:val="Title4"/>
        <w:rPr>
          <w:b w:val="0"/>
          <w:bCs/>
          <w:sz w:val="24"/>
          <w:szCs w:val="24"/>
        </w:rPr>
      </w:pPr>
      <w:r w:rsidRPr="00A74168">
        <w:rPr>
          <w:b w:val="0"/>
          <w:bCs/>
          <w:sz w:val="24"/>
          <w:szCs w:val="24"/>
        </w:rPr>
        <w:lastRenderedPageBreak/>
        <w:t>A</w:t>
      </w:r>
      <w:r>
        <w:rPr>
          <w:b w:val="0"/>
          <w:bCs/>
          <w:sz w:val="24"/>
          <w:szCs w:val="24"/>
        </w:rPr>
        <w:t>NNEX</w:t>
      </w:r>
      <w:r w:rsidRPr="00A74168">
        <w:rPr>
          <w:b w:val="0"/>
          <w:bCs/>
          <w:sz w:val="24"/>
          <w:szCs w:val="24"/>
        </w:rPr>
        <w:t xml:space="preserve"> 1</w:t>
      </w:r>
      <w:r w:rsidRPr="00A74168">
        <w:rPr>
          <w:b w:val="0"/>
          <w:bCs/>
          <w:sz w:val="24"/>
          <w:szCs w:val="24"/>
        </w:rPr>
        <w:br/>
        <w:t xml:space="preserve">(to </w:t>
      </w:r>
      <w:r>
        <w:rPr>
          <w:b w:val="0"/>
          <w:bCs/>
          <w:sz w:val="24"/>
          <w:szCs w:val="24"/>
        </w:rPr>
        <w:t xml:space="preserve">TSB </w:t>
      </w:r>
      <w:r w:rsidRPr="00A74168">
        <w:rPr>
          <w:b w:val="0"/>
          <w:bCs/>
          <w:sz w:val="24"/>
          <w:szCs w:val="24"/>
        </w:rPr>
        <w:t xml:space="preserve">Circular </w:t>
      </w:r>
      <w:r>
        <w:rPr>
          <w:b w:val="0"/>
          <w:bCs/>
          <w:sz w:val="24"/>
          <w:szCs w:val="24"/>
        </w:rPr>
        <w:t>255</w:t>
      </w:r>
      <w:r w:rsidRPr="00A74168">
        <w:rPr>
          <w:b w:val="0"/>
          <w:bCs/>
          <w:sz w:val="24"/>
          <w:szCs w:val="24"/>
        </w:rPr>
        <w:t>)</w:t>
      </w:r>
    </w:p>
    <w:p w:rsidR="00FB412D" w:rsidRPr="00FB412D" w:rsidRDefault="00FB412D" w:rsidP="00FB412D">
      <w:pPr>
        <w:keepNext/>
        <w:spacing w:line="240" w:lineRule="atLeast"/>
        <w:jc w:val="center"/>
        <w:rPr>
          <w:b/>
          <w:bCs/>
          <w:szCs w:val="24"/>
          <w:lang w:val="en-US"/>
        </w:rPr>
      </w:pPr>
    </w:p>
    <w:p w:rsidR="00FB412D" w:rsidRPr="00FB412D" w:rsidRDefault="00FB412D" w:rsidP="00FB412D">
      <w:pPr>
        <w:keepNext/>
        <w:spacing w:line="240" w:lineRule="atLeast"/>
        <w:jc w:val="center"/>
        <w:rPr>
          <w:b/>
          <w:bCs/>
          <w:szCs w:val="24"/>
          <w:lang w:val="en-US"/>
        </w:rPr>
      </w:pPr>
      <w:r w:rsidRPr="00FB412D">
        <w:rPr>
          <w:b/>
          <w:bCs/>
          <w:szCs w:val="24"/>
          <w:lang w:val="en-US"/>
        </w:rPr>
        <w:t>Annex 1: Suggested List of Initial Work Items for the Collaboration on ITS Communication Standards</w:t>
      </w:r>
    </w:p>
    <w:p w:rsidR="00FB412D" w:rsidRPr="00FB412D" w:rsidRDefault="00FB412D" w:rsidP="00FB412D">
      <w:pPr>
        <w:rPr>
          <w:szCs w:val="24"/>
          <w:lang w:val="en-US"/>
        </w:rPr>
      </w:pPr>
    </w:p>
    <w:p w:rsidR="00FB412D" w:rsidRPr="00FB412D" w:rsidRDefault="00FB412D" w:rsidP="00FB412D">
      <w:pPr>
        <w:jc w:val="both"/>
        <w:rPr>
          <w:szCs w:val="24"/>
          <w:lang w:val="en-US"/>
        </w:rPr>
      </w:pPr>
      <w:r w:rsidRPr="00FB412D">
        <w:rPr>
          <w:szCs w:val="24"/>
          <w:lang w:val="en-US"/>
        </w:rPr>
        <w:t>Possible initial Work Items include:</w:t>
      </w:r>
    </w:p>
    <w:p w:rsidR="00FB412D" w:rsidRPr="00FB412D" w:rsidRDefault="00FB412D" w:rsidP="00FB412D">
      <w:pPr>
        <w:numPr>
          <w:ilvl w:val="0"/>
          <w:numId w:val="6"/>
        </w:numPr>
        <w:tabs>
          <w:tab w:val="clear" w:pos="794"/>
          <w:tab w:val="clear" w:pos="1191"/>
          <w:tab w:val="clear" w:pos="1588"/>
          <w:tab w:val="clear" w:pos="1985"/>
        </w:tabs>
        <w:jc w:val="both"/>
        <w:rPr>
          <w:szCs w:val="24"/>
          <w:lang w:val="en-US"/>
        </w:rPr>
      </w:pPr>
      <w:bookmarkStart w:id="3" w:name="_Ref311725868"/>
      <w:r w:rsidRPr="00FB412D">
        <w:rPr>
          <w:szCs w:val="24"/>
          <w:lang w:val="en-US"/>
        </w:rPr>
        <w:t>Perform a study of identified ITS application requirements so that needed communication capabilities and performance can be properly defined.  This study should identify and use existing sets of ITS application requirements from various global regions and supplement them to reflect recent application developments and direction.  Requirements of individual applications or sets of applications should be combined to create communications capability needs and performance boundaries as required to support the full set of expected applications.  All defined applications should be considered in the study, with particular attention being given to high priority applications such as:</w:t>
      </w:r>
      <w:bookmarkEnd w:id="3"/>
    </w:p>
    <w:p w:rsidR="00FB412D" w:rsidRPr="000F7AC9" w:rsidRDefault="00FB412D" w:rsidP="00FB412D">
      <w:pPr>
        <w:numPr>
          <w:ilvl w:val="1"/>
          <w:numId w:val="6"/>
        </w:numPr>
        <w:tabs>
          <w:tab w:val="clear" w:pos="794"/>
          <w:tab w:val="clear" w:pos="1191"/>
          <w:tab w:val="clear" w:pos="1588"/>
          <w:tab w:val="clear" w:pos="1985"/>
        </w:tabs>
        <w:jc w:val="both"/>
        <w:rPr>
          <w:szCs w:val="24"/>
        </w:rPr>
      </w:pPr>
      <w:r w:rsidRPr="000F7AC9">
        <w:rPr>
          <w:szCs w:val="24"/>
        </w:rPr>
        <w:t xml:space="preserve">Road </w:t>
      </w:r>
      <w:proofErr w:type="spellStart"/>
      <w:r w:rsidRPr="000F7AC9">
        <w:rPr>
          <w:szCs w:val="24"/>
        </w:rPr>
        <w:t>safety</w:t>
      </w:r>
      <w:proofErr w:type="spellEnd"/>
      <w:r w:rsidRPr="000F7AC9">
        <w:rPr>
          <w:szCs w:val="24"/>
        </w:rPr>
        <w:t xml:space="preserve"> applications</w:t>
      </w:r>
    </w:p>
    <w:p w:rsidR="00FB412D" w:rsidRPr="000F7AC9" w:rsidRDefault="00FB412D" w:rsidP="00FB412D">
      <w:pPr>
        <w:numPr>
          <w:ilvl w:val="1"/>
          <w:numId w:val="6"/>
        </w:numPr>
        <w:tabs>
          <w:tab w:val="clear" w:pos="794"/>
          <w:tab w:val="clear" w:pos="1191"/>
          <w:tab w:val="clear" w:pos="1588"/>
          <w:tab w:val="clear" w:pos="1985"/>
        </w:tabs>
        <w:jc w:val="both"/>
        <w:rPr>
          <w:szCs w:val="24"/>
        </w:rPr>
      </w:pPr>
      <w:proofErr w:type="spellStart"/>
      <w:r w:rsidRPr="000F7AC9">
        <w:rPr>
          <w:szCs w:val="24"/>
        </w:rPr>
        <w:t>Traffic</w:t>
      </w:r>
      <w:proofErr w:type="spellEnd"/>
      <w:r w:rsidRPr="000F7AC9">
        <w:rPr>
          <w:szCs w:val="24"/>
        </w:rPr>
        <w:t xml:space="preserve"> management/</w:t>
      </w:r>
      <w:proofErr w:type="spellStart"/>
      <w:r w:rsidRPr="000F7AC9">
        <w:rPr>
          <w:szCs w:val="24"/>
        </w:rPr>
        <w:t>mobility</w:t>
      </w:r>
      <w:proofErr w:type="spellEnd"/>
      <w:r w:rsidRPr="000F7AC9">
        <w:rPr>
          <w:szCs w:val="24"/>
        </w:rPr>
        <w:t xml:space="preserve"> applications</w:t>
      </w:r>
    </w:p>
    <w:p w:rsidR="00FB412D" w:rsidRPr="000F7AC9" w:rsidRDefault="00FB412D" w:rsidP="00FB412D">
      <w:pPr>
        <w:numPr>
          <w:ilvl w:val="1"/>
          <w:numId w:val="6"/>
        </w:numPr>
        <w:tabs>
          <w:tab w:val="clear" w:pos="794"/>
          <w:tab w:val="clear" w:pos="1191"/>
          <w:tab w:val="clear" w:pos="1588"/>
          <w:tab w:val="clear" w:pos="1985"/>
        </w:tabs>
        <w:jc w:val="both"/>
        <w:rPr>
          <w:szCs w:val="24"/>
        </w:rPr>
      </w:pPr>
      <w:r w:rsidRPr="000F7AC9">
        <w:rPr>
          <w:szCs w:val="24"/>
        </w:rPr>
        <w:t xml:space="preserve">The Internet of </w:t>
      </w:r>
      <w:proofErr w:type="spellStart"/>
      <w:r w:rsidRPr="000F7AC9">
        <w:rPr>
          <w:szCs w:val="24"/>
        </w:rPr>
        <w:t>Things</w:t>
      </w:r>
      <w:proofErr w:type="spellEnd"/>
    </w:p>
    <w:p w:rsidR="00FB412D" w:rsidRPr="00FB412D" w:rsidRDefault="00FB412D" w:rsidP="00FB412D">
      <w:pPr>
        <w:numPr>
          <w:ilvl w:val="1"/>
          <w:numId w:val="6"/>
        </w:numPr>
        <w:tabs>
          <w:tab w:val="clear" w:pos="794"/>
          <w:tab w:val="clear" w:pos="1191"/>
          <w:tab w:val="clear" w:pos="1588"/>
          <w:tab w:val="clear" w:pos="1985"/>
        </w:tabs>
        <w:jc w:val="both"/>
        <w:rPr>
          <w:szCs w:val="24"/>
          <w:lang w:val="en-US"/>
        </w:rPr>
      </w:pPr>
      <w:r w:rsidRPr="00FB412D">
        <w:rPr>
          <w:szCs w:val="24"/>
          <w:lang w:val="en-US"/>
        </w:rPr>
        <w:t>Applications affecting environmental needs, including those servicing electric/hybrid vehicles</w:t>
      </w:r>
    </w:p>
    <w:p w:rsidR="00FB412D" w:rsidRPr="00FB412D" w:rsidRDefault="00FB412D" w:rsidP="00FB412D">
      <w:pPr>
        <w:spacing w:before="240"/>
        <w:ind w:left="357"/>
        <w:jc w:val="both"/>
        <w:rPr>
          <w:szCs w:val="24"/>
          <w:lang w:val="en-US"/>
        </w:rPr>
      </w:pPr>
      <w:r w:rsidRPr="00FB412D">
        <w:rPr>
          <w:szCs w:val="24"/>
          <w:lang w:val="en-US"/>
        </w:rPr>
        <w:t>Special attention needs to be given to the requirements of</w:t>
      </w:r>
    </w:p>
    <w:p w:rsidR="00FB412D" w:rsidRPr="000F7AC9" w:rsidRDefault="00FB412D" w:rsidP="00FB412D">
      <w:pPr>
        <w:ind w:left="360"/>
        <w:jc w:val="both"/>
        <w:rPr>
          <w:szCs w:val="24"/>
        </w:rPr>
      </w:pPr>
      <w:proofErr w:type="spellStart"/>
      <w:proofErr w:type="gramStart"/>
      <w:r w:rsidRPr="000F7AC9">
        <w:rPr>
          <w:szCs w:val="24"/>
        </w:rPr>
        <w:t>a</w:t>
      </w:r>
      <w:proofErr w:type="spellEnd"/>
      <w:proofErr w:type="gramEnd"/>
      <w:r w:rsidRPr="000F7AC9">
        <w:rPr>
          <w:szCs w:val="24"/>
        </w:rPr>
        <w:tab/>
      </w:r>
      <w:proofErr w:type="spellStart"/>
      <w:r w:rsidRPr="000F7AC9">
        <w:rPr>
          <w:szCs w:val="24"/>
        </w:rPr>
        <w:t>Developing</w:t>
      </w:r>
      <w:proofErr w:type="spellEnd"/>
      <w:r w:rsidRPr="000F7AC9">
        <w:rPr>
          <w:szCs w:val="24"/>
        </w:rPr>
        <w:t xml:space="preserve"> Countries</w:t>
      </w:r>
    </w:p>
    <w:p w:rsidR="00FB412D" w:rsidRPr="000F7AC9" w:rsidRDefault="00FB412D" w:rsidP="00FB412D">
      <w:pPr>
        <w:ind w:left="360"/>
        <w:jc w:val="both"/>
        <w:rPr>
          <w:szCs w:val="24"/>
        </w:rPr>
      </w:pPr>
      <w:proofErr w:type="gramStart"/>
      <w:r w:rsidRPr="000F7AC9">
        <w:rPr>
          <w:szCs w:val="24"/>
        </w:rPr>
        <w:t>b</w:t>
      </w:r>
      <w:proofErr w:type="gramEnd"/>
      <w:r w:rsidRPr="000F7AC9">
        <w:rPr>
          <w:szCs w:val="24"/>
        </w:rPr>
        <w:tab/>
      </w:r>
      <w:proofErr w:type="spellStart"/>
      <w:r w:rsidRPr="000F7AC9">
        <w:rPr>
          <w:szCs w:val="24"/>
        </w:rPr>
        <w:t>Megacities</w:t>
      </w:r>
      <w:proofErr w:type="spellEnd"/>
    </w:p>
    <w:p w:rsidR="00FB412D" w:rsidRPr="00FB412D" w:rsidRDefault="00FB412D" w:rsidP="00FB412D">
      <w:pPr>
        <w:numPr>
          <w:ilvl w:val="0"/>
          <w:numId w:val="6"/>
        </w:numPr>
        <w:tabs>
          <w:tab w:val="clear" w:pos="794"/>
          <w:tab w:val="clear" w:pos="1191"/>
          <w:tab w:val="clear" w:pos="1588"/>
          <w:tab w:val="clear" w:pos="1985"/>
        </w:tabs>
        <w:jc w:val="both"/>
        <w:rPr>
          <w:szCs w:val="24"/>
          <w:lang w:val="en-US"/>
        </w:rPr>
      </w:pPr>
      <w:r w:rsidRPr="00FB412D">
        <w:rPr>
          <w:szCs w:val="24"/>
          <w:lang w:val="en-US"/>
        </w:rPr>
        <w:t>Perform a gap analysis and quality assessment of current ITS communications standards and create an action plan to address identified needs.  Gap analysis should compare the ITS communication standards that already exist or are in work with the standards that would be required with a ‘best practices’ communications standards scenario.  If overlaps are found, the best elements of duplicative standards should be used in the study and the overlap should be clearly noted in the outcome of the study.  The quality assessment should examine each existing standard to determine if it is clear, complete, incorporates all the necessary ingredients and is harmonized with its complementary standards to create a complete communications solution based on the requirements of Item </w:t>
      </w:r>
      <w:r w:rsidRPr="00257440">
        <w:rPr>
          <w:szCs w:val="24"/>
        </w:rPr>
        <w:fldChar w:fldCharType="begin"/>
      </w:r>
      <w:r w:rsidRPr="00FB412D">
        <w:rPr>
          <w:szCs w:val="24"/>
          <w:lang w:val="en-US"/>
        </w:rPr>
        <w:instrText xml:space="preserve"> REF _Ref311725868 \r \h  \* MERGEFORMAT </w:instrText>
      </w:r>
      <w:r w:rsidRPr="00257440">
        <w:rPr>
          <w:szCs w:val="24"/>
        </w:rPr>
      </w:r>
      <w:r w:rsidRPr="00257440">
        <w:rPr>
          <w:szCs w:val="24"/>
        </w:rPr>
        <w:fldChar w:fldCharType="separate"/>
      </w:r>
      <w:r w:rsidR="00353DEB" w:rsidRPr="00353DEB">
        <w:rPr>
          <w:szCs w:val="24"/>
          <w:cs/>
        </w:rPr>
        <w:t>‎</w:t>
      </w:r>
      <w:r w:rsidR="00353DEB">
        <w:rPr>
          <w:szCs w:val="24"/>
          <w:lang w:val="en-US"/>
        </w:rPr>
        <w:t>1</w:t>
      </w:r>
      <w:r w:rsidRPr="00257440">
        <w:rPr>
          <w:szCs w:val="24"/>
        </w:rPr>
        <w:fldChar w:fldCharType="end"/>
      </w:r>
      <w:r w:rsidRPr="00FB412D">
        <w:rPr>
          <w:szCs w:val="24"/>
          <w:lang w:val="en-US"/>
        </w:rPr>
        <w:t>.  Throughout this study, the use of IPv6 should be assumed in all situations where it is viable.</w:t>
      </w:r>
    </w:p>
    <w:p w:rsidR="00FB412D" w:rsidRPr="00FB412D" w:rsidRDefault="00FB412D" w:rsidP="00FB412D">
      <w:pPr>
        <w:numPr>
          <w:ilvl w:val="0"/>
          <w:numId w:val="6"/>
        </w:numPr>
        <w:tabs>
          <w:tab w:val="clear" w:pos="794"/>
          <w:tab w:val="clear" w:pos="1191"/>
          <w:tab w:val="clear" w:pos="1588"/>
          <w:tab w:val="clear" w:pos="1985"/>
        </w:tabs>
        <w:jc w:val="both"/>
        <w:rPr>
          <w:szCs w:val="24"/>
          <w:lang w:val="en-US"/>
        </w:rPr>
      </w:pPr>
      <w:r w:rsidRPr="00FB412D">
        <w:rPr>
          <w:szCs w:val="24"/>
          <w:lang w:val="en-US"/>
        </w:rPr>
        <w:t>Converge, harmonize, and incorporate appropriate published and emerging ITS communication standards (regardless of their SDO source) into proper ITU Recommendations.</w:t>
      </w:r>
    </w:p>
    <w:p w:rsidR="00FB412D" w:rsidRPr="00FB412D" w:rsidRDefault="00FB412D" w:rsidP="00FB412D">
      <w:pPr>
        <w:numPr>
          <w:ilvl w:val="0"/>
          <w:numId w:val="6"/>
        </w:numPr>
        <w:tabs>
          <w:tab w:val="clear" w:pos="794"/>
          <w:tab w:val="clear" w:pos="1191"/>
          <w:tab w:val="clear" w:pos="1588"/>
          <w:tab w:val="clear" w:pos="1985"/>
        </w:tabs>
        <w:jc w:val="both"/>
        <w:rPr>
          <w:szCs w:val="24"/>
          <w:lang w:val="en-US"/>
        </w:rPr>
      </w:pPr>
      <w:r w:rsidRPr="00FB412D">
        <w:rPr>
          <w:szCs w:val="24"/>
          <w:lang w:val="en-US"/>
        </w:rPr>
        <w:t>Create a complete, coherent and effective package of security frameworks and standards for use within ITS communications.  This task should identify all existing and ongoing work in this area, leverage it to the greatest possible degree, and assure that modern communication security practices are embedded in the final product.</w:t>
      </w:r>
    </w:p>
    <w:p w:rsidR="00FB412D" w:rsidRPr="00FB412D" w:rsidRDefault="00FB412D" w:rsidP="00FB412D">
      <w:pPr>
        <w:keepNext/>
        <w:keepLines/>
        <w:numPr>
          <w:ilvl w:val="0"/>
          <w:numId w:val="6"/>
        </w:numPr>
        <w:tabs>
          <w:tab w:val="clear" w:pos="794"/>
          <w:tab w:val="clear" w:pos="1191"/>
          <w:tab w:val="clear" w:pos="1588"/>
          <w:tab w:val="clear" w:pos="1985"/>
        </w:tabs>
        <w:ind w:left="357" w:hanging="357"/>
        <w:jc w:val="both"/>
        <w:rPr>
          <w:szCs w:val="24"/>
          <w:lang w:val="en-US"/>
        </w:rPr>
      </w:pPr>
      <w:r w:rsidRPr="00FB412D">
        <w:rPr>
          <w:szCs w:val="24"/>
          <w:lang w:val="en-US"/>
        </w:rPr>
        <w:lastRenderedPageBreak/>
        <w:t>Develop standards to govern the interaction of drivers with communication devices brought into vehicles (such as smart phones).  The standards should require carry</w:t>
      </w:r>
      <w:r w:rsidRPr="00FB412D">
        <w:rPr>
          <w:szCs w:val="24"/>
          <w:lang w:val="en-US"/>
        </w:rPr>
        <w:noBreakHyphen/>
        <w:t>in devices to determine if they are in a vehicle.  If the carry</w:t>
      </w:r>
      <w:r w:rsidRPr="00FB412D">
        <w:rPr>
          <w:szCs w:val="24"/>
          <w:lang w:val="en-US"/>
        </w:rPr>
        <w:noBreakHyphen/>
        <w:t>in device interacts with equipment in the vehicle, the standards should require the carry</w:t>
      </w:r>
      <w:r w:rsidRPr="00FB412D">
        <w:rPr>
          <w:szCs w:val="24"/>
          <w:lang w:val="en-US"/>
        </w:rPr>
        <w:noBreakHyphen/>
        <w:t>in device to follow vehicle driver distraction rules.  If the carry</w:t>
      </w:r>
      <w:r w:rsidRPr="00FB412D">
        <w:rPr>
          <w:szCs w:val="24"/>
          <w:lang w:val="en-US"/>
        </w:rPr>
        <w:noBreakHyphen/>
        <w:t>in does not interact with equipment in the vehicle, the standards should require the carry</w:t>
      </w:r>
      <w:r w:rsidRPr="00FB412D">
        <w:rPr>
          <w:szCs w:val="24"/>
          <w:lang w:val="en-US"/>
        </w:rPr>
        <w:noBreakHyphen/>
        <w:t>in device to not allow use of the carry</w:t>
      </w:r>
      <w:r w:rsidRPr="00FB412D">
        <w:rPr>
          <w:szCs w:val="24"/>
          <w:lang w:val="en-US"/>
        </w:rPr>
        <w:noBreakHyphen/>
        <w:t>in device by the driver while the vehicle is moving.</w:t>
      </w:r>
    </w:p>
    <w:p w:rsidR="00FB412D" w:rsidRPr="000F7AC9" w:rsidRDefault="00FB412D" w:rsidP="00FB412D">
      <w:pPr>
        <w:pStyle w:val="ListParagraph"/>
        <w:numPr>
          <w:ilvl w:val="0"/>
          <w:numId w:val="6"/>
        </w:numPr>
        <w:spacing w:before="120"/>
        <w:contextualSpacing w:val="0"/>
        <w:jc w:val="both"/>
      </w:pPr>
      <w:r w:rsidRPr="000F7AC9">
        <w:t>Investigate regulatory actions necessary to facilitate the deployment of ITS communication products and services based on the ITS communication standards being developed</w:t>
      </w:r>
    </w:p>
    <w:p w:rsidR="00FB412D" w:rsidRPr="00FB412D" w:rsidRDefault="00FB412D" w:rsidP="00FB412D">
      <w:pPr>
        <w:numPr>
          <w:ilvl w:val="0"/>
          <w:numId w:val="6"/>
        </w:numPr>
        <w:tabs>
          <w:tab w:val="clear" w:pos="794"/>
          <w:tab w:val="clear" w:pos="1191"/>
          <w:tab w:val="clear" w:pos="1588"/>
          <w:tab w:val="clear" w:pos="1985"/>
        </w:tabs>
        <w:jc w:val="both"/>
        <w:rPr>
          <w:szCs w:val="24"/>
          <w:lang w:val="en-US"/>
        </w:rPr>
      </w:pPr>
      <w:r w:rsidRPr="00FB412D">
        <w:rPr>
          <w:szCs w:val="24"/>
          <w:lang w:val="en-US"/>
        </w:rPr>
        <w:t>Review mobility network services and ITS communications for their application as a ‘last resort’ supplement to other communication systems for emergency and disaster handling.</w:t>
      </w:r>
    </w:p>
    <w:p w:rsidR="00FB412D" w:rsidRPr="00FB412D" w:rsidRDefault="00FB412D" w:rsidP="00FB412D">
      <w:pPr>
        <w:rPr>
          <w:szCs w:val="24"/>
          <w:lang w:val="en-US" w:eastAsia="ko-KR"/>
        </w:rPr>
      </w:pPr>
    </w:p>
    <w:p w:rsidR="00FB412D" w:rsidRPr="00FB412D" w:rsidRDefault="00FB412D" w:rsidP="00FB412D">
      <w:pPr>
        <w:pStyle w:val="Heading1"/>
        <w:rPr>
          <w:lang w:val="en-US"/>
        </w:rPr>
      </w:pPr>
    </w:p>
    <w:p w:rsidR="00FB412D" w:rsidRPr="00FB412D" w:rsidRDefault="00FB412D" w:rsidP="00FB412D">
      <w:pPr>
        <w:tabs>
          <w:tab w:val="clear" w:pos="794"/>
          <w:tab w:val="clear" w:pos="1191"/>
          <w:tab w:val="clear" w:pos="1588"/>
          <w:tab w:val="clear" w:pos="1985"/>
        </w:tabs>
        <w:spacing w:before="0"/>
        <w:rPr>
          <w:b/>
          <w:szCs w:val="24"/>
          <w:lang w:val="en-US"/>
        </w:rPr>
      </w:pPr>
      <w:r w:rsidRPr="00FB412D">
        <w:rPr>
          <w:szCs w:val="24"/>
          <w:lang w:val="en-US"/>
        </w:rPr>
        <w:br w:type="page"/>
      </w:r>
    </w:p>
    <w:p w:rsidR="00FB412D" w:rsidRPr="006B09BC" w:rsidRDefault="00FB412D" w:rsidP="00FB412D">
      <w:pPr>
        <w:pStyle w:val="Title4"/>
        <w:spacing w:before="0"/>
        <w:rPr>
          <w:b w:val="0"/>
          <w:bCs/>
          <w:sz w:val="24"/>
          <w:szCs w:val="24"/>
        </w:rPr>
      </w:pPr>
      <w:r w:rsidRPr="006B09BC">
        <w:rPr>
          <w:b w:val="0"/>
          <w:bCs/>
          <w:sz w:val="24"/>
          <w:szCs w:val="24"/>
        </w:rPr>
        <w:lastRenderedPageBreak/>
        <w:t>A</w:t>
      </w:r>
      <w:r>
        <w:rPr>
          <w:b w:val="0"/>
          <w:bCs/>
          <w:sz w:val="24"/>
          <w:szCs w:val="24"/>
        </w:rPr>
        <w:t>NNEX</w:t>
      </w:r>
      <w:r w:rsidRPr="006B09BC">
        <w:rPr>
          <w:b w:val="0"/>
          <w:bCs/>
          <w:sz w:val="24"/>
          <w:szCs w:val="24"/>
        </w:rPr>
        <w:t xml:space="preserve"> </w:t>
      </w:r>
      <w:r>
        <w:rPr>
          <w:b w:val="0"/>
          <w:bCs/>
          <w:sz w:val="24"/>
          <w:szCs w:val="24"/>
        </w:rPr>
        <w:t>2</w:t>
      </w:r>
      <w:r w:rsidRPr="006B09BC">
        <w:rPr>
          <w:b w:val="0"/>
          <w:bCs/>
          <w:sz w:val="24"/>
          <w:szCs w:val="24"/>
        </w:rPr>
        <w:br/>
        <w:t xml:space="preserve">(to </w:t>
      </w:r>
      <w:r>
        <w:rPr>
          <w:b w:val="0"/>
          <w:bCs/>
          <w:sz w:val="24"/>
          <w:szCs w:val="24"/>
        </w:rPr>
        <w:t xml:space="preserve">TSB </w:t>
      </w:r>
      <w:r w:rsidRPr="006B09BC">
        <w:rPr>
          <w:b w:val="0"/>
          <w:bCs/>
          <w:sz w:val="24"/>
          <w:szCs w:val="24"/>
        </w:rPr>
        <w:t xml:space="preserve">Circular </w:t>
      </w:r>
      <w:r>
        <w:rPr>
          <w:b w:val="0"/>
          <w:bCs/>
          <w:sz w:val="24"/>
          <w:szCs w:val="24"/>
        </w:rPr>
        <w:t>255</w:t>
      </w:r>
      <w:r w:rsidRPr="006B09BC">
        <w:rPr>
          <w:b w:val="0"/>
          <w:bCs/>
          <w:sz w:val="24"/>
          <w:szCs w:val="24"/>
        </w:rPr>
        <w:t>)</w:t>
      </w:r>
    </w:p>
    <w:p w:rsidR="00FB412D" w:rsidRPr="00FB412D" w:rsidRDefault="00FB412D" w:rsidP="00FB412D">
      <w:pPr>
        <w:rPr>
          <w:b/>
          <w:bCs/>
          <w:sz w:val="16"/>
          <w:szCs w:val="16"/>
          <w:lang w:val="en-US" w:eastAsia="ja-JP"/>
        </w:rPr>
      </w:pPr>
    </w:p>
    <w:p w:rsidR="00FB412D" w:rsidRPr="00FB412D" w:rsidRDefault="00FB412D" w:rsidP="00FB412D">
      <w:pPr>
        <w:ind w:left="1560" w:hanging="1560"/>
        <w:jc w:val="center"/>
        <w:rPr>
          <w:b/>
          <w:bCs/>
          <w:sz w:val="28"/>
          <w:szCs w:val="21"/>
          <w:lang w:val="en-US" w:eastAsia="ja-JP"/>
        </w:rPr>
      </w:pPr>
      <w:r w:rsidRPr="00FB412D">
        <w:rPr>
          <w:rFonts w:hint="eastAsia"/>
          <w:b/>
          <w:bCs/>
          <w:sz w:val="28"/>
          <w:szCs w:val="21"/>
          <w:lang w:val="en-US" w:eastAsia="ja-JP"/>
        </w:rPr>
        <w:t>Practical Information</w:t>
      </w:r>
    </w:p>
    <w:p w:rsidR="00FB412D" w:rsidRPr="00FB412D" w:rsidRDefault="00FB412D" w:rsidP="00FB412D">
      <w:pPr>
        <w:ind w:left="1560" w:hanging="1560"/>
        <w:jc w:val="center"/>
        <w:rPr>
          <w:b/>
          <w:bCs/>
          <w:sz w:val="28"/>
          <w:szCs w:val="21"/>
          <w:lang w:val="en-US" w:eastAsia="ja-JP"/>
        </w:rPr>
      </w:pPr>
    </w:p>
    <w:p w:rsidR="00FB412D" w:rsidRDefault="00FB412D" w:rsidP="00FB412D">
      <w:pPr>
        <w:numPr>
          <w:ilvl w:val="0"/>
          <w:numId w:val="7"/>
        </w:numPr>
        <w:tabs>
          <w:tab w:val="clear" w:pos="794"/>
          <w:tab w:val="clear" w:pos="1191"/>
          <w:tab w:val="left" w:pos="0"/>
          <w:tab w:val="left" w:pos="851"/>
        </w:tabs>
        <w:spacing w:after="225"/>
        <w:ind w:left="0" w:firstLine="0"/>
        <w:textAlignment w:val="top"/>
        <w:outlineLvl w:val="0"/>
        <w:rPr>
          <w:b/>
          <w:bCs/>
          <w:kern w:val="36"/>
          <w:szCs w:val="24"/>
        </w:rPr>
      </w:pPr>
      <w:r>
        <w:rPr>
          <w:b/>
          <w:bCs/>
          <w:kern w:val="36"/>
          <w:szCs w:val="24"/>
        </w:rPr>
        <w:t xml:space="preserve">Contact </w:t>
      </w:r>
      <w:proofErr w:type="spellStart"/>
      <w:r>
        <w:rPr>
          <w:b/>
          <w:bCs/>
          <w:kern w:val="36"/>
          <w:szCs w:val="24"/>
        </w:rPr>
        <w:t>person</w:t>
      </w:r>
      <w:proofErr w:type="spellEnd"/>
      <w:r>
        <w:rPr>
          <w:b/>
          <w:bCs/>
          <w:kern w:val="36"/>
          <w:szCs w:val="24"/>
        </w:rPr>
        <w:t xml:space="preserve"> </w:t>
      </w:r>
      <w:proofErr w:type="spellStart"/>
      <w:r>
        <w:rPr>
          <w:b/>
          <w:bCs/>
          <w:kern w:val="36"/>
          <w:szCs w:val="24"/>
        </w:rPr>
        <w:t>at</w:t>
      </w:r>
      <w:proofErr w:type="spellEnd"/>
      <w:r>
        <w:rPr>
          <w:b/>
          <w:bCs/>
          <w:kern w:val="36"/>
          <w:szCs w:val="24"/>
        </w:rPr>
        <w:t xml:space="preserve"> SAE </w:t>
      </w:r>
      <w:proofErr w:type="spellStart"/>
      <w:r>
        <w:rPr>
          <w:b/>
          <w:bCs/>
          <w:kern w:val="36"/>
          <w:szCs w:val="24"/>
        </w:rPr>
        <w:t>Automotive</w:t>
      </w:r>
      <w:proofErr w:type="spellEnd"/>
    </w:p>
    <w:p w:rsidR="00FB412D" w:rsidRPr="00EA2056" w:rsidRDefault="00FB412D" w:rsidP="00FB412D">
      <w:pPr>
        <w:tabs>
          <w:tab w:val="clear" w:pos="794"/>
          <w:tab w:val="clear" w:pos="1191"/>
          <w:tab w:val="left" w:pos="0"/>
          <w:tab w:val="left" w:pos="851"/>
        </w:tabs>
        <w:spacing w:after="225"/>
        <w:textAlignment w:val="top"/>
        <w:outlineLvl w:val="0"/>
        <w:rPr>
          <w:kern w:val="36"/>
          <w:szCs w:val="24"/>
        </w:rPr>
      </w:pPr>
      <w:r w:rsidRPr="00EA2056">
        <w:rPr>
          <w:kern w:val="36"/>
          <w:szCs w:val="24"/>
        </w:rPr>
        <w:t>Name:</w:t>
      </w:r>
      <w:r w:rsidRPr="00EA2056">
        <w:rPr>
          <w:kern w:val="36"/>
          <w:szCs w:val="24"/>
        </w:rPr>
        <w:tab/>
      </w:r>
      <w:r>
        <w:rPr>
          <w:kern w:val="36"/>
          <w:szCs w:val="24"/>
        </w:rPr>
        <w:t xml:space="preserve">Ms </w:t>
      </w:r>
      <w:r w:rsidRPr="00EA2056">
        <w:rPr>
          <w:kern w:val="36"/>
          <w:szCs w:val="24"/>
        </w:rPr>
        <w:t xml:space="preserve">Micheline </w:t>
      </w:r>
      <w:proofErr w:type="spellStart"/>
      <w:r w:rsidRPr="00EA2056">
        <w:rPr>
          <w:kern w:val="36"/>
          <w:szCs w:val="24"/>
        </w:rPr>
        <w:t>Brussow</w:t>
      </w:r>
      <w:proofErr w:type="spellEnd"/>
      <w:r w:rsidRPr="00EA2056">
        <w:rPr>
          <w:kern w:val="36"/>
          <w:szCs w:val="24"/>
        </w:rPr>
        <w:t>, SAE International</w:t>
      </w:r>
      <w:r>
        <w:rPr>
          <w:kern w:val="36"/>
          <w:szCs w:val="24"/>
        </w:rPr>
        <w:br/>
      </w:r>
      <w:r w:rsidRPr="00EA2056">
        <w:rPr>
          <w:kern w:val="36"/>
          <w:szCs w:val="24"/>
        </w:rPr>
        <w:t xml:space="preserve">E-Mail: </w:t>
      </w:r>
      <w:r>
        <w:rPr>
          <w:kern w:val="36"/>
          <w:szCs w:val="24"/>
        </w:rPr>
        <w:tab/>
      </w:r>
      <w:hyperlink r:id="rId16" w:history="1">
        <w:r w:rsidRPr="003A41A3">
          <w:rPr>
            <w:rStyle w:val="Hyperlink"/>
            <w:kern w:val="36"/>
            <w:szCs w:val="24"/>
          </w:rPr>
          <w:t>mbrussow@sae.org</w:t>
        </w:r>
      </w:hyperlink>
      <w:r>
        <w:rPr>
          <w:kern w:val="36"/>
          <w:szCs w:val="24"/>
        </w:rPr>
        <w:t xml:space="preserve"> </w:t>
      </w:r>
      <w:r>
        <w:rPr>
          <w:kern w:val="36"/>
          <w:szCs w:val="24"/>
        </w:rPr>
        <w:br/>
      </w:r>
      <w:r w:rsidRPr="00EA2056">
        <w:rPr>
          <w:kern w:val="36"/>
          <w:szCs w:val="24"/>
        </w:rPr>
        <w:t xml:space="preserve">Tel: </w:t>
      </w:r>
      <w:r>
        <w:rPr>
          <w:kern w:val="36"/>
          <w:szCs w:val="24"/>
        </w:rPr>
        <w:tab/>
        <w:t xml:space="preserve">+1 </w:t>
      </w:r>
      <w:r w:rsidRPr="00EA2056">
        <w:rPr>
          <w:kern w:val="36"/>
          <w:szCs w:val="24"/>
        </w:rPr>
        <w:t>248 273 2459</w:t>
      </w:r>
      <w:r>
        <w:rPr>
          <w:kern w:val="36"/>
          <w:szCs w:val="24"/>
        </w:rPr>
        <w:br/>
      </w:r>
      <w:r w:rsidRPr="00EA2056">
        <w:rPr>
          <w:kern w:val="36"/>
          <w:szCs w:val="24"/>
        </w:rPr>
        <w:t xml:space="preserve">Fax: </w:t>
      </w:r>
      <w:r>
        <w:rPr>
          <w:kern w:val="36"/>
          <w:szCs w:val="24"/>
        </w:rPr>
        <w:tab/>
        <w:t xml:space="preserve">+1 </w:t>
      </w:r>
      <w:r w:rsidRPr="00EA2056">
        <w:rPr>
          <w:kern w:val="36"/>
          <w:szCs w:val="24"/>
        </w:rPr>
        <w:t>248 273 2494</w:t>
      </w:r>
    </w:p>
    <w:p w:rsidR="00FB412D" w:rsidRPr="00CE0606" w:rsidRDefault="00FB412D" w:rsidP="00FB412D">
      <w:pPr>
        <w:numPr>
          <w:ilvl w:val="0"/>
          <w:numId w:val="7"/>
        </w:numPr>
        <w:tabs>
          <w:tab w:val="clear" w:pos="794"/>
          <w:tab w:val="clear" w:pos="1191"/>
          <w:tab w:val="left" w:pos="0"/>
          <w:tab w:val="left" w:pos="851"/>
        </w:tabs>
        <w:spacing w:after="225"/>
        <w:ind w:left="0" w:firstLine="0"/>
        <w:textAlignment w:val="top"/>
        <w:outlineLvl w:val="0"/>
        <w:rPr>
          <w:b/>
          <w:bCs/>
          <w:kern w:val="36"/>
          <w:szCs w:val="24"/>
        </w:rPr>
      </w:pPr>
      <w:r w:rsidRPr="00CE0606">
        <w:rPr>
          <w:b/>
          <w:bCs/>
          <w:kern w:val="36"/>
          <w:szCs w:val="24"/>
        </w:rPr>
        <w:t xml:space="preserve">Directions to SAE </w:t>
      </w:r>
      <w:proofErr w:type="spellStart"/>
      <w:r w:rsidRPr="00CE0606">
        <w:rPr>
          <w:b/>
          <w:bCs/>
          <w:kern w:val="36"/>
          <w:szCs w:val="24"/>
        </w:rPr>
        <w:t>Automotive</w:t>
      </w:r>
      <w:proofErr w:type="spellEnd"/>
      <w:r w:rsidRPr="00CE0606">
        <w:rPr>
          <w:b/>
          <w:bCs/>
          <w:kern w:val="36"/>
          <w:szCs w:val="24"/>
        </w:rPr>
        <w:t xml:space="preserve"> </w:t>
      </w:r>
      <w:proofErr w:type="spellStart"/>
      <w:r w:rsidRPr="00CE0606">
        <w:rPr>
          <w:b/>
          <w:bCs/>
          <w:kern w:val="36"/>
          <w:szCs w:val="24"/>
        </w:rPr>
        <w:t>Headquarters</w:t>
      </w:r>
      <w:proofErr w:type="spellEnd"/>
      <w:r w:rsidRPr="00CE0606">
        <w:rPr>
          <w:b/>
          <w:bCs/>
          <w:kern w:val="36"/>
          <w:szCs w:val="24"/>
        </w:rPr>
        <w:t xml:space="preserve"> </w:t>
      </w:r>
    </w:p>
    <w:p w:rsidR="00FB412D" w:rsidRPr="00FB412D" w:rsidRDefault="00FB412D" w:rsidP="00FB412D">
      <w:pPr>
        <w:spacing w:before="180" w:after="180"/>
        <w:textAlignment w:val="top"/>
        <w:rPr>
          <w:szCs w:val="24"/>
          <w:lang w:val="en-US"/>
        </w:rPr>
      </w:pPr>
      <w:r w:rsidRPr="00FB412D">
        <w:rPr>
          <w:szCs w:val="24"/>
          <w:lang w:val="en-US"/>
        </w:rPr>
        <w:t xml:space="preserve">755 W. Big Beaver, Suite 1600, </w:t>
      </w:r>
      <w:proofErr w:type="gramStart"/>
      <w:r w:rsidRPr="00FB412D">
        <w:rPr>
          <w:szCs w:val="24"/>
          <w:lang w:val="en-US"/>
        </w:rPr>
        <w:t>Troy MI 48084</w:t>
      </w:r>
      <w:r w:rsidRPr="00FB412D">
        <w:rPr>
          <w:szCs w:val="24"/>
          <w:lang w:val="en-US"/>
        </w:rPr>
        <w:br/>
        <w:t>Telephone</w:t>
      </w:r>
      <w:proofErr w:type="gramEnd"/>
      <w:r w:rsidRPr="00FB412D">
        <w:rPr>
          <w:szCs w:val="24"/>
          <w:lang w:val="en-US"/>
        </w:rPr>
        <w:t xml:space="preserve"> number: 248/273-2455</w:t>
      </w:r>
      <w:r w:rsidRPr="00FB412D">
        <w:rPr>
          <w:szCs w:val="24"/>
          <w:lang w:val="en-US"/>
        </w:rPr>
        <w:br/>
        <w:t>Fax number: 248/273-2494.</w:t>
      </w:r>
    </w:p>
    <w:p w:rsidR="00FB412D" w:rsidRPr="00FB412D" w:rsidRDefault="00230E49" w:rsidP="00FB412D">
      <w:pPr>
        <w:spacing w:before="180" w:after="180"/>
        <w:textAlignment w:val="top"/>
        <w:rPr>
          <w:szCs w:val="24"/>
          <w:lang w:val="en-US"/>
        </w:rPr>
      </w:pPr>
      <w:hyperlink r:id="rId17" w:history="1">
        <w:r w:rsidR="00FB412D" w:rsidRPr="00FB412D">
          <w:rPr>
            <w:rStyle w:val="Hyperlink"/>
            <w:lang w:val="en-US"/>
          </w:rPr>
          <w:t>Map of Troy, Michigan</w:t>
        </w:r>
      </w:hyperlink>
    </w:p>
    <w:p w:rsidR="00FB412D" w:rsidRPr="00FB412D" w:rsidRDefault="00FB412D" w:rsidP="00FB412D">
      <w:pPr>
        <w:spacing w:before="180" w:after="180"/>
        <w:textAlignment w:val="top"/>
        <w:rPr>
          <w:szCs w:val="24"/>
          <w:lang w:val="en-US"/>
        </w:rPr>
      </w:pPr>
      <w:r w:rsidRPr="00FB412D">
        <w:rPr>
          <w:b/>
          <w:bCs/>
          <w:szCs w:val="24"/>
          <w:lang w:val="en-US"/>
        </w:rPr>
        <w:t>From North</w:t>
      </w:r>
      <w:r w:rsidRPr="00FB412D">
        <w:rPr>
          <w:szCs w:val="24"/>
          <w:lang w:val="en-US"/>
        </w:rPr>
        <w:br/>
        <w:t>Take I-75 South to Exit 69, Big Beaver West. As you exit I-75 onto Big Beaver, stay in the left lane. Make a U-turn at the first possible/legal turn around island. Move to the right lane immediately. Turn right onto Troy Center Drive and make the first left turn into the PNC Center parking lot. Parking is free. PNC Center is the tallest building in the area. It is located on the southwest corner of the I-75/Big Beaver intersection.</w:t>
      </w:r>
    </w:p>
    <w:p w:rsidR="00FB412D" w:rsidRPr="00FB412D" w:rsidRDefault="00FB412D" w:rsidP="00FB412D">
      <w:pPr>
        <w:spacing w:before="180" w:after="180"/>
        <w:textAlignment w:val="top"/>
        <w:rPr>
          <w:szCs w:val="24"/>
          <w:lang w:val="en-US"/>
        </w:rPr>
      </w:pPr>
      <w:r w:rsidRPr="00FB412D">
        <w:rPr>
          <w:b/>
          <w:bCs/>
          <w:szCs w:val="24"/>
          <w:lang w:val="en-US"/>
        </w:rPr>
        <w:t>From the Detroit Metro Airport</w:t>
      </w:r>
      <w:r w:rsidRPr="00FB412D">
        <w:rPr>
          <w:szCs w:val="24"/>
          <w:lang w:val="en-US"/>
        </w:rPr>
        <w:br/>
        <w:t>From the Detroit Metro Airport, take I-94 East to I-75 North to Exit 69, Big Beaver West. As you exit I-75 onto Big Beaver, stay in the left lane. Make a U-turn at the first possible/legal turn around island. Move to the right lane immediately. Turn right onto Troy Center Drive and make the first left turn into the PNC Center parking lot. Parking is free. PNC Center is the tallest building in the area. It is located on the southwest corner of the I-75/Big Beaver intersection.</w:t>
      </w:r>
    </w:p>
    <w:p w:rsidR="00FB412D" w:rsidRPr="00FB412D" w:rsidRDefault="00FB412D" w:rsidP="00FB412D">
      <w:pPr>
        <w:spacing w:before="180" w:after="180"/>
        <w:textAlignment w:val="top"/>
        <w:rPr>
          <w:szCs w:val="24"/>
          <w:lang w:val="en-US"/>
        </w:rPr>
      </w:pPr>
      <w:r w:rsidRPr="00FB412D">
        <w:rPr>
          <w:b/>
          <w:bCs/>
          <w:szCs w:val="24"/>
          <w:lang w:val="en-US"/>
        </w:rPr>
        <w:t>From East</w:t>
      </w:r>
      <w:r w:rsidRPr="00FB412D">
        <w:rPr>
          <w:szCs w:val="24"/>
          <w:lang w:val="en-US"/>
        </w:rPr>
        <w:br/>
        <w:t>Take I-696 West to I-75 North to Exit 69, Big Beaver West. As you exit I-75 onto Big Beaver, stay in the left lane. Make a U-turn at the first possible/legal turn around island. Move to the right lane immediately. Turn right onto Troy Center Drive and make the first left turn into the PNC Center parking lot. Parking is free. PNC Center is the tallest building in the area. It is located on the southwest corner of the I-75/Big Beaver intersection.</w:t>
      </w:r>
    </w:p>
    <w:p w:rsidR="00FB412D" w:rsidRPr="00FB412D" w:rsidRDefault="00FB412D" w:rsidP="00FB412D">
      <w:pPr>
        <w:spacing w:before="180" w:after="180"/>
        <w:textAlignment w:val="top"/>
        <w:rPr>
          <w:szCs w:val="24"/>
          <w:lang w:val="en-US"/>
        </w:rPr>
      </w:pPr>
      <w:r w:rsidRPr="00FB412D">
        <w:rPr>
          <w:b/>
          <w:bCs/>
          <w:szCs w:val="24"/>
          <w:lang w:val="en-US"/>
        </w:rPr>
        <w:t>From West</w:t>
      </w:r>
      <w:r w:rsidRPr="00FB412D">
        <w:rPr>
          <w:szCs w:val="24"/>
          <w:lang w:val="en-US"/>
        </w:rPr>
        <w:br/>
        <w:t>Take I-696 East to I-75 North to Exit 69, Big Beaver West. As you exit I-75 onto Big Beaver, stay in the left lane. Make a U-turn at the first possible/legal turn around island. Move to the right lane immediately. Turn right onto Troy Center Drive and make the first left turn into the PNC Center parking lot. Parking is free. PNC Center is the tallest building in the area. It is located on the southwest corner of the I-75/Big Beaver intersection.</w:t>
      </w:r>
    </w:p>
    <w:p w:rsidR="00FB412D" w:rsidRPr="00FB412D" w:rsidRDefault="00FB412D" w:rsidP="00FB412D">
      <w:pPr>
        <w:rPr>
          <w:b/>
          <w:szCs w:val="24"/>
          <w:lang w:val="en-US"/>
        </w:rPr>
      </w:pPr>
      <w:r w:rsidRPr="00FB412D">
        <w:rPr>
          <w:b/>
          <w:szCs w:val="24"/>
          <w:lang w:val="en-US"/>
        </w:rPr>
        <w:t>Transportation to and from airport</w:t>
      </w:r>
    </w:p>
    <w:p w:rsidR="00FB412D" w:rsidRPr="00FB412D" w:rsidRDefault="00FB412D" w:rsidP="00FB412D">
      <w:pPr>
        <w:rPr>
          <w:szCs w:val="24"/>
          <w:lang w:val="en-US"/>
        </w:rPr>
      </w:pPr>
      <w:r w:rsidRPr="00FB412D">
        <w:rPr>
          <w:szCs w:val="24"/>
          <w:lang w:val="en-US"/>
        </w:rPr>
        <w:t xml:space="preserve">Click on the link below and then click on "ground transportation" for car rental, metro car service, and metro cab service: </w:t>
      </w:r>
      <w:hyperlink r:id="rId18" w:history="1">
        <w:r w:rsidRPr="00FB412D">
          <w:rPr>
            <w:rStyle w:val="Hyperlink"/>
            <w:lang w:val="en-US"/>
          </w:rPr>
          <w:t>http://www.metroairport.com/</w:t>
        </w:r>
      </w:hyperlink>
    </w:p>
    <w:p w:rsidR="00FB412D" w:rsidRPr="00FB412D" w:rsidRDefault="00FB412D" w:rsidP="00FB412D">
      <w:pPr>
        <w:rPr>
          <w:b/>
          <w:szCs w:val="24"/>
          <w:lang w:val="en-US"/>
        </w:rPr>
      </w:pPr>
      <w:r w:rsidRPr="00FB412D">
        <w:rPr>
          <w:lang w:val="en-US"/>
        </w:rPr>
        <w:br w:type="page"/>
      </w:r>
      <w:r w:rsidRPr="00FB412D">
        <w:rPr>
          <w:b/>
          <w:bCs/>
          <w:lang w:val="en-US"/>
        </w:rPr>
        <w:lastRenderedPageBreak/>
        <w:t>3</w:t>
      </w:r>
      <w:r w:rsidRPr="00FB412D">
        <w:rPr>
          <w:b/>
          <w:szCs w:val="24"/>
          <w:lang w:val="en-US"/>
        </w:rPr>
        <w:t xml:space="preserve">. </w:t>
      </w:r>
      <w:r w:rsidRPr="00FB412D">
        <w:rPr>
          <w:b/>
          <w:szCs w:val="24"/>
          <w:lang w:val="en-US"/>
        </w:rPr>
        <w:tab/>
        <w:t>SAE International Corporate Rates (rev 1/10/11)</w:t>
      </w:r>
    </w:p>
    <w:p w:rsidR="00FB412D" w:rsidRPr="00FB412D" w:rsidRDefault="00FB412D" w:rsidP="00FB412D">
      <w:pPr>
        <w:rPr>
          <w:szCs w:val="24"/>
          <w:lang w:val="en-US"/>
        </w:rPr>
      </w:pPr>
    </w:p>
    <w:tbl>
      <w:tblPr>
        <w:tblStyle w:val="TableGrid"/>
        <w:tblW w:w="5000" w:type="pct"/>
        <w:tblLayout w:type="fixed"/>
        <w:tblLook w:val="0000" w:firstRow="0" w:lastRow="0" w:firstColumn="0" w:lastColumn="0" w:noHBand="0" w:noVBand="0"/>
      </w:tblPr>
      <w:tblGrid>
        <w:gridCol w:w="1654"/>
        <w:gridCol w:w="2105"/>
        <w:gridCol w:w="1545"/>
        <w:gridCol w:w="4551"/>
      </w:tblGrid>
      <w:tr w:rsidR="00FB412D" w:rsidRPr="00A95793" w:rsidTr="00D73CA7">
        <w:trPr>
          <w:trHeight w:val="403"/>
        </w:trPr>
        <w:tc>
          <w:tcPr>
            <w:tcW w:w="839" w:type="pct"/>
          </w:tcPr>
          <w:p w:rsidR="00FB412D" w:rsidRPr="00FB412D" w:rsidRDefault="00FB412D" w:rsidP="00D73CA7">
            <w:pPr>
              <w:jc w:val="center"/>
              <w:rPr>
                <w:b/>
                <w:bCs/>
                <w:lang w:val="en-US"/>
              </w:rPr>
            </w:pPr>
          </w:p>
          <w:p w:rsidR="00FB412D" w:rsidRPr="00A95793" w:rsidRDefault="00FB412D" w:rsidP="00D73CA7">
            <w:pPr>
              <w:jc w:val="center"/>
              <w:rPr>
                <w:b/>
                <w:bCs/>
              </w:rPr>
            </w:pPr>
            <w:r w:rsidRPr="00A95793">
              <w:rPr>
                <w:b/>
                <w:bCs/>
              </w:rPr>
              <w:t>HOTEL</w:t>
            </w:r>
          </w:p>
        </w:tc>
        <w:tc>
          <w:tcPr>
            <w:tcW w:w="1068" w:type="pct"/>
          </w:tcPr>
          <w:p w:rsidR="00FB412D" w:rsidRPr="00A95793" w:rsidRDefault="00FB412D" w:rsidP="00D73CA7">
            <w:pPr>
              <w:jc w:val="center"/>
              <w:rPr>
                <w:b/>
                <w:bCs/>
              </w:rPr>
            </w:pPr>
          </w:p>
          <w:p w:rsidR="00FB412D" w:rsidRPr="00A95793" w:rsidRDefault="00FB412D" w:rsidP="00D73CA7">
            <w:pPr>
              <w:jc w:val="center"/>
              <w:rPr>
                <w:b/>
                <w:bCs/>
              </w:rPr>
            </w:pPr>
            <w:r w:rsidRPr="00A95793">
              <w:rPr>
                <w:b/>
                <w:bCs/>
              </w:rPr>
              <w:t>LOCATION</w:t>
            </w:r>
          </w:p>
        </w:tc>
        <w:tc>
          <w:tcPr>
            <w:tcW w:w="784" w:type="pct"/>
          </w:tcPr>
          <w:p w:rsidR="00FB412D" w:rsidRPr="00A95793" w:rsidRDefault="00FB412D" w:rsidP="00D73CA7">
            <w:pPr>
              <w:jc w:val="center"/>
              <w:rPr>
                <w:b/>
                <w:bCs/>
              </w:rPr>
            </w:pPr>
          </w:p>
          <w:p w:rsidR="00FB412D" w:rsidRPr="00A95793" w:rsidRDefault="00FB412D" w:rsidP="00D73CA7">
            <w:pPr>
              <w:jc w:val="center"/>
              <w:rPr>
                <w:b/>
                <w:bCs/>
              </w:rPr>
            </w:pPr>
            <w:r w:rsidRPr="00A95793">
              <w:rPr>
                <w:b/>
                <w:bCs/>
              </w:rPr>
              <w:t>PHONE #</w:t>
            </w:r>
          </w:p>
        </w:tc>
        <w:tc>
          <w:tcPr>
            <w:tcW w:w="2309" w:type="pct"/>
          </w:tcPr>
          <w:p w:rsidR="00FB412D" w:rsidRPr="00A95793" w:rsidRDefault="00FB412D" w:rsidP="00D73CA7">
            <w:pPr>
              <w:jc w:val="center"/>
              <w:rPr>
                <w:b/>
                <w:bCs/>
              </w:rPr>
            </w:pPr>
          </w:p>
        </w:tc>
      </w:tr>
      <w:tr w:rsidR="00FB412D" w:rsidRPr="00230E49" w:rsidTr="00D73CA7">
        <w:trPr>
          <w:trHeight w:val="363"/>
        </w:trPr>
        <w:tc>
          <w:tcPr>
            <w:tcW w:w="839" w:type="pct"/>
          </w:tcPr>
          <w:p w:rsidR="00FB412D" w:rsidRPr="00A95793" w:rsidRDefault="00FB412D" w:rsidP="00D73CA7">
            <w:pPr>
              <w:tabs>
                <w:tab w:val="left" w:pos="737"/>
                <w:tab w:val="left" w:pos="1134"/>
              </w:tabs>
              <w:spacing w:before="100" w:beforeAutospacing="1" w:after="100" w:afterAutospacing="1"/>
              <w:ind w:right="480"/>
              <w:rPr>
                <w:b/>
                <w:bCs/>
                <w:szCs w:val="24"/>
              </w:rPr>
            </w:pPr>
            <w:proofErr w:type="spellStart"/>
            <w:r w:rsidRPr="00F33806">
              <w:rPr>
                <w:rStyle w:val="Strong"/>
                <w:szCs w:val="24"/>
              </w:rPr>
              <w:t>Drury</w:t>
            </w:r>
            <w:proofErr w:type="spellEnd"/>
            <w:r w:rsidRPr="00F33806">
              <w:rPr>
                <w:rStyle w:val="Strong"/>
                <w:szCs w:val="24"/>
              </w:rPr>
              <w:t xml:space="preserve"> </w:t>
            </w:r>
            <w:r>
              <w:rPr>
                <w:rStyle w:val="Strong"/>
                <w:szCs w:val="24"/>
              </w:rPr>
              <w:t>I</w:t>
            </w:r>
            <w:r w:rsidRPr="00F33806">
              <w:rPr>
                <w:rStyle w:val="Strong"/>
                <w:szCs w:val="24"/>
              </w:rPr>
              <w:t>nn</w:t>
            </w:r>
          </w:p>
        </w:tc>
        <w:tc>
          <w:tcPr>
            <w:tcW w:w="1068" w:type="pct"/>
          </w:tcPr>
          <w:p w:rsidR="00FB412D" w:rsidRPr="00FB412D" w:rsidRDefault="00FB412D" w:rsidP="00D73CA7">
            <w:pPr>
              <w:rPr>
                <w:lang w:val="en-US"/>
              </w:rPr>
            </w:pPr>
            <w:r w:rsidRPr="00FB412D">
              <w:rPr>
                <w:lang w:val="en-US"/>
              </w:rPr>
              <w:t>575 W. Big Beaver</w:t>
            </w:r>
          </w:p>
          <w:p w:rsidR="00FB412D" w:rsidRPr="00FB412D" w:rsidRDefault="00FB412D" w:rsidP="00D73CA7">
            <w:pPr>
              <w:rPr>
                <w:lang w:val="en-US"/>
              </w:rPr>
            </w:pPr>
            <w:r w:rsidRPr="00FB412D">
              <w:rPr>
                <w:lang w:val="en-US"/>
              </w:rPr>
              <w:t>Troy, MI 48084</w:t>
            </w:r>
          </w:p>
          <w:p w:rsidR="00FB412D" w:rsidRPr="00A95793" w:rsidRDefault="00FB412D" w:rsidP="00D73CA7">
            <w:r w:rsidRPr="00A95793">
              <w:t>(</w:t>
            </w:r>
            <w:proofErr w:type="spellStart"/>
            <w:r w:rsidRPr="00A95793">
              <w:t>approximately</w:t>
            </w:r>
            <w:proofErr w:type="spellEnd"/>
            <w:r w:rsidRPr="00A95793">
              <w:t xml:space="preserve"> ¼ mile </w:t>
            </w:r>
            <w:proofErr w:type="spellStart"/>
            <w:r w:rsidRPr="00A95793">
              <w:t>from</w:t>
            </w:r>
            <w:proofErr w:type="spellEnd"/>
            <w:r w:rsidRPr="00A95793">
              <w:t xml:space="preserve"> SAE)</w:t>
            </w:r>
          </w:p>
        </w:tc>
        <w:tc>
          <w:tcPr>
            <w:tcW w:w="784" w:type="pct"/>
          </w:tcPr>
          <w:p w:rsidR="00FB412D" w:rsidRPr="00A95793" w:rsidRDefault="00FB412D" w:rsidP="00D73CA7">
            <w:r w:rsidRPr="00A95793">
              <w:t>1-248/528-3330</w:t>
            </w:r>
          </w:p>
          <w:p w:rsidR="00FB412D" w:rsidRPr="00A95793" w:rsidRDefault="00FB412D" w:rsidP="00D73CA7">
            <w:r w:rsidRPr="00A95793">
              <w:t>Fax: 1-248/528-3330</w:t>
            </w:r>
          </w:p>
        </w:tc>
        <w:tc>
          <w:tcPr>
            <w:tcW w:w="2309" w:type="pct"/>
          </w:tcPr>
          <w:p w:rsidR="00FB412D" w:rsidRPr="00FB412D" w:rsidRDefault="00FB412D" w:rsidP="00D73CA7">
            <w:pPr>
              <w:tabs>
                <w:tab w:val="left" w:pos="0"/>
                <w:tab w:val="left" w:pos="737"/>
                <w:tab w:val="left" w:pos="1134"/>
              </w:tabs>
              <w:suppressAutoHyphens/>
              <w:spacing w:line="260" w:lineRule="exact"/>
              <w:rPr>
                <w:szCs w:val="24"/>
                <w:lang w:val="en-US"/>
              </w:rPr>
            </w:pPr>
            <w:r w:rsidRPr="00FB412D">
              <w:rPr>
                <w:b/>
                <w:szCs w:val="24"/>
                <w:lang w:val="en-US"/>
              </w:rPr>
              <w:t>SAE Corporate Rate  2011</w:t>
            </w:r>
            <w:r w:rsidRPr="00FB412D">
              <w:rPr>
                <w:szCs w:val="24"/>
                <w:lang w:val="en-US"/>
              </w:rPr>
              <w:t xml:space="preserve"> </w:t>
            </w:r>
          </w:p>
          <w:p w:rsidR="00FB412D" w:rsidRPr="00FB412D" w:rsidRDefault="00FB412D" w:rsidP="00D73CA7">
            <w:pPr>
              <w:tabs>
                <w:tab w:val="left" w:pos="0"/>
              </w:tabs>
              <w:suppressAutoHyphens/>
              <w:spacing w:line="260" w:lineRule="exact"/>
              <w:rPr>
                <w:szCs w:val="24"/>
                <w:lang w:val="en-US"/>
              </w:rPr>
            </w:pPr>
            <w:r w:rsidRPr="00FB412D">
              <w:rPr>
                <w:szCs w:val="24"/>
                <w:lang w:val="en-US"/>
              </w:rPr>
              <w:t>$88.99 Double</w:t>
            </w:r>
          </w:p>
          <w:p w:rsidR="00FB412D" w:rsidRPr="00FB412D" w:rsidRDefault="00FB412D" w:rsidP="00D73CA7">
            <w:pPr>
              <w:tabs>
                <w:tab w:val="left" w:pos="0"/>
              </w:tabs>
              <w:suppressAutoHyphens/>
              <w:spacing w:line="260" w:lineRule="exact"/>
              <w:rPr>
                <w:szCs w:val="24"/>
                <w:lang w:val="en-US"/>
              </w:rPr>
            </w:pPr>
            <w:r w:rsidRPr="00FB412D">
              <w:rPr>
                <w:szCs w:val="24"/>
                <w:lang w:val="en-US"/>
              </w:rPr>
              <w:t xml:space="preserve">$98.99 King </w:t>
            </w:r>
          </w:p>
          <w:p w:rsidR="00FB412D" w:rsidRPr="00FB412D" w:rsidRDefault="00FB412D" w:rsidP="00D73CA7">
            <w:pPr>
              <w:rPr>
                <w:szCs w:val="24"/>
                <w:lang w:val="en-US"/>
              </w:rPr>
            </w:pPr>
          </w:p>
          <w:p w:rsidR="00FB412D" w:rsidRPr="00FB412D" w:rsidRDefault="00FB412D" w:rsidP="00D73CA7">
            <w:pPr>
              <w:rPr>
                <w:szCs w:val="24"/>
                <w:lang w:val="en-US"/>
              </w:rPr>
            </w:pPr>
            <w:r w:rsidRPr="00FB412D">
              <w:rPr>
                <w:szCs w:val="24"/>
                <w:lang w:val="en-US"/>
              </w:rPr>
              <w:t>Complimentary hot breakfast daily</w:t>
            </w:r>
          </w:p>
          <w:p w:rsidR="00FB412D" w:rsidRPr="00FB412D" w:rsidRDefault="00FB412D" w:rsidP="00D73CA7">
            <w:pPr>
              <w:rPr>
                <w:szCs w:val="24"/>
                <w:lang w:val="en-US"/>
              </w:rPr>
            </w:pPr>
            <w:r w:rsidRPr="00FB412D">
              <w:rPr>
                <w:szCs w:val="24"/>
                <w:lang w:val="en-US"/>
              </w:rPr>
              <w:t>Complimentary appetizers and three free cocktails each evening</w:t>
            </w:r>
          </w:p>
          <w:p w:rsidR="00FB412D" w:rsidRPr="00FB412D" w:rsidRDefault="00FB412D" w:rsidP="00D73CA7">
            <w:pPr>
              <w:rPr>
                <w:szCs w:val="24"/>
                <w:lang w:val="en-US"/>
              </w:rPr>
            </w:pPr>
            <w:r w:rsidRPr="00FB412D">
              <w:rPr>
                <w:szCs w:val="24"/>
                <w:lang w:val="en-US"/>
              </w:rPr>
              <w:t>Free internet</w:t>
            </w:r>
          </w:p>
          <w:p w:rsidR="00FB412D" w:rsidRPr="00FB412D" w:rsidRDefault="00FB412D" w:rsidP="00D73CA7">
            <w:pPr>
              <w:rPr>
                <w:szCs w:val="24"/>
                <w:lang w:val="en-US"/>
              </w:rPr>
            </w:pPr>
            <w:r w:rsidRPr="00FB412D">
              <w:rPr>
                <w:szCs w:val="24"/>
                <w:lang w:val="en-US"/>
              </w:rPr>
              <w:t>Free shuttle service (5 mile radius)</w:t>
            </w:r>
          </w:p>
          <w:p w:rsidR="00FB412D" w:rsidRPr="00FB412D" w:rsidRDefault="00FB412D" w:rsidP="00D73CA7">
            <w:pPr>
              <w:rPr>
                <w:szCs w:val="24"/>
                <w:lang w:val="en-US"/>
              </w:rPr>
            </w:pPr>
          </w:p>
          <w:p w:rsidR="00FB412D" w:rsidRPr="00FB412D" w:rsidRDefault="00FB412D" w:rsidP="00D73CA7">
            <w:pPr>
              <w:rPr>
                <w:szCs w:val="24"/>
                <w:lang w:val="en-US"/>
              </w:rPr>
            </w:pPr>
            <w:r w:rsidRPr="00FB412D">
              <w:rPr>
                <w:szCs w:val="24"/>
                <w:lang w:val="en-US"/>
              </w:rPr>
              <w:t xml:space="preserve">NOTE: </w:t>
            </w:r>
            <w:r w:rsidRPr="00FB412D">
              <w:rPr>
                <w:b/>
                <w:szCs w:val="24"/>
                <w:lang w:val="en-US"/>
              </w:rPr>
              <w:t>Must use</w:t>
            </w:r>
            <w:r w:rsidRPr="00FB412D">
              <w:rPr>
                <w:szCs w:val="24"/>
                <w:lang w:val="en-US"/>
              </w:rPr>
              <w:t xml:space="preserve"> 1-800-DRURYINN (378-7946) and request the SAE International Corporate ID #305431 rate.  </w:t>
            </w:r>
          </w:p>
        </w:tc>
      </w:tr>
      <w:tr w:rsidR="00FB412D" w:rsidRPr="00230E49" w:rsidTr="00D73CA7">
        <w:trPr>
          <w:trHeight w:val="778"/>
        </w:trPr>
        <w:tc>
          <w:tcPr>
            <w:tcW w:w="839" w:type="pct"/>
          </w:tcPr>
          <w:p w:rsidR="00FB412D" w:rsidRPr="00F33806" w:rsidRDefault="00FB412D" w:rsidP="00D73CA7">
            <w:pPr>
              <w:tabs>
                <w:tab w:val="left" w:pos="0"/>
                <w:tab w:val="left" w:pos="737"/>
                <w:tab w:val="left" w:pos="1134"/>
              </w:tabs>
              <w:suppressAutoHyphens/>
              <w:spacing w:line="260" w:lineRule="exact"/>
              <w:ind w:right="480"/>
              <w:rPr>
                <w:b/>
                <w:szCs w:val="24"/>
              </w:rPr>
            </w:pPr>
            <w:proofErr w:type="spellStart"/>
            <w:r w:rsidRPr="00F33806">
              <w:rPr>
                <w:b/>
                <w:szCs w:val="24"/>
              </w:rPr>
              <w:t>Embassy</w:t>
            </w:r>
            <w:proofErr w:type="spellEnd"/>
            <w:r w:rsidRPr="00F33806">
              <w:rPr>
                <w:b/>
                <w:szCs w:val="24"/>
              </w:rPr>
              <w:t xml:space="preserve"> Suites</w:t>
            </w:r>
          </w:p>
        </w:tc>
        <w:tc>
          <w:tcPr>
            <w:tcW w:w="1068" w:type="pct"/>
          </w:tcPr>
          <w:p w:rsidR="00FB412D" w:rsidRPr="00FB412D" w:rsidRDefault="00FB412D" w:rsidP="00D73CA7">
            <w:pPr>
              <w:rPr>
                <w:lang w:val="en-US"/>
              </w:rPr>
            </w:pPr>
            <w:r w:rsidRPr="00FB412D">
              <w:rPr>
                <w:lang w:val="en-US"/>
              </w:rPr>
              <w:t>850 Tower Drive</w:t>
            </w:r>
          </w:p>
          <w:p w:rsidR="00FB412D" w:rsidRPr="00FB412D" w:rsidRDefault="00FB412D" w:rsidP="00D73CA7">
            <w:pPr>
              <w:rPr>
                <w:lang w:val="en-US"/>
              </w:rPr>
            </w:pPr>
            <w:r w:rsidRPr="00FB412D">
              <w:rPr>
                <w:lang w:val="en-US"/>
              </w:rPr>
              <w:t>Troy, MI 48098</w:t>
            </w:r>
          </w:p>
          <w:p w:rsidR="00FB412D" w:rsidRPr="00FB412D" w:rsidRDefault="00FB412D" w:rsidP="00D73CA7">
            <w:pPr>
              <w:rPr>
                <w:lang w:val="en-US"/>
              </w:rPr>
            </w:pPr>
            <w:r w:rsidRPr="00FB412D">
              <w:rPr>
                <w:lang w:val="en-US"/>
              </w:rPr>
              <w:t>(approximately 3.4 miles from SAE)</w:t>
            </w:r>
          </w:p>
        </w:tc>
        <w:tc>
          <w:tcPr>
            <w:tcW w:w="784" w:type="pct"/>
          </w:tcPr>
          <w:p w:rsidR="00FB412D" w:rsidRPr="00A95793" w:rsidRDefault="00FB412D" w:rsidP="00D73CA7">
            <w:r w:rsidRPr="00A95793">
              <w:t>1-248-879-7500</w:t>
            </w:r>
          </w:p>
        </w:tc>
        <w:tc>
          <w:tcPr>
            <w:tcW w:w="2309" w:type="pct"/>
          </w:tcPr>
          <w:p w:rsidR="00FB412D" w:rsidRPr="00FB412D" w:rsidRDefault="00FB412D" w:rsidP="00D73CA7">
            <w:pPr>
              <w:rPr>
                <w:b/>
                <w:bCs/>
                <w:lang w:val="en-US"/>
              </w:rPr>
            </w:pPr>
            <w:r w:rsidRPr="00FB412D">
              <w:rPr>
                <w:b/>
                <w:bCs/>
                <w:lang w:val="en-US"/>
              </w:rPr>
              <w:t>SAE Corporate Rate 2011</w:t>
            </w:r>
          </w:p>
          <w:p w:rsidR="00FB412D" w:rsidRPr="00FB412D" w:rsidRDefault="00FB412D" w:rsidP="00D73CA7">
            <w:pPr>
              <w:rPr>
                <w:lang w:val="en-US"/>
              </w:rPr>
            </w:pPr>
            <w:r w:rsidRPr="00FB412D">
              <w:rPr>
                <w:lang w:val="en-US"/>
              </w:rPr>
              <w:t xml:space="preserve">$119 king suite </w:t>
            </w:r>
          </w:p>
          <w:p w:rsidR="00FB412D" w:rsidRPr="00FB412D" w:rsidRDefault="00FB412D" w:rsidP="00D73CA7">
            <w:pPr>
              <w:rPr>
                <w:lang w:val="en-US"/>
              </w:rPr>
            </w:pPr>
            <w:r w:rsidRPr="00FB412D">
              <w:rPr>
                <w:lang w:val="en-US"/>
              </w:rPr>
              <w:t>Free internet</w:t>
            </w:r>
          </w:p>
          <w:p w:rsidR="00FB412D" w:rsidRPr="00FB412D" w:rsidRDefault="00FB412D" w:rsidP="00D73CA7">
            <w:pPr>
              <w:rPr>
                <w:lang w:val="en-US"/>
              </w:rPr>
            </w:pPr>
            <w:r w:rsidRPr="00FB412D">
              <w:rPr>
                <w:lang w:val="en-US"/>
              </w:rPr>
              <w:t>Complimentary cooked to order breakfast</w:t>
            </w:r>
          </w:p>
          <w:p w:rsidR="00FB412D" w:rsidRPr="00FB412D" w:rsidRDefault="00FB412D" w:rsidP="00D73CA7">
            <w:pPr>
              <w:rPr>
                <w:lang w:val="en-US"/>
              </w:rPr>
            </w:pPr>
            <w:r w:rsidRPr="00FB412D">
              <w:rPr>
                <w:lang w:val="en-US"/>
              </w:rPr>
              <w:t>Complimentary manager’s reception 5:30 to 7:30 pm</w:t>
            </w:r>
          </w:p>
          <w:p w:rsidR="00FB412D" w:rsidRPr="00FB412D" w:rsidRDefault="00FB412D" w:rsidP="00D73CA7">
            <w:pPr>
              <w:rPr>
                <w:lang w:val="en-US"/>
              </w:rPr>
            </w:pPr>
            <w:r w:rsidRPr="00FB412D">
              <w:rPr>
                <w:lang w:val="en-US"/>
              </w:rPr>
              <w:t>Complimentary local shuttle</w:t>
            </w:r>
          </w:p>
          <w:p w:rsidR="00FB412D" w:rsidRPr="00FB412D" w:rsidRDefault="00FB412D" w:rsidP="00D73CA7">
            <w:pPr>
              <w:rPr>
                <w:lang w:val="en-US"/>
              </w:rPr>
            </w:pPr>
          </w:p>
          <w:p w:rsidR="00FB412D" w:rsidRPr="00FB412D" w:rsidRDefault="00FB412D" w:rsidP="00D73CA7">
            <w:pPr>
              <w:rPr>
                <w:lang w:val="en-US"/>
              </w:rPr>
            </w:pPr>
            <w:r w:rsidRPr="00FB412D">
              <w:rPr>
                <w:lang w:val="en-US"/>
              </w:rPr>
              <w:t xml:space="preserve">Online reservations:  </w:t>
            </w:r>
            <w:hyperlink r:id="rId19" w:history="1">
              <w:r w:rsidRPr="00FB412D">
                <w:rPr>
                  <w:rStyle w:val="Hyperlink"/>
                  <w:lang w:val="en-US"/>
                </w:rPr>
                <w:t>www.detroittroy.embassysuites.com</w:t>
              </w:r>
            </w:hyperlink>
            <w:r w:rsidRPr="00FB412D">
              <w:rPr>
                <w:lang w:val="en-US"/>
              </w:rPr>
              <w:t xml:space="preserve"> and enter corporate ID #0560029381</w:t>
            </w:r>
          </w:p>
        </w:tc>
      </w:tr>
    </w:tbl>
    <w:p w:rsidR="00FB412D" w:rsidRPr="00FB412D" w:rsidRDefault="00FB412D" w:rsidP="00FB412D">
      <w:pPr>
        <w:rPr>
          <w:szCs w:val="24"/>
          <w:lang w:val="en-US"/>
        </w:rPr>
      </w:pPr>
    </w:p>
    <w:p w:rsidR="00FB412D" w:rsidRPr="00FB412D" w:rsidRDefault="00FB412D" w:rsidP="00FB412D">
      <w:pPr>
        <w:rPr>
          <w:lang w:val="en-US"/>
        </w:rPr>
      </w:pPr>
    </w:p>
    <w:p w:rsidR="00FB412D" w:rsidRPr="00753B64" w:rsidRDefault="00FB412D" w:rsidP="00FB412D">
      <w:pPr>
        <w:pStyle w:val="Default"/>
        <w:jc w:val="center"/>
      </w:pPr>
      <w:r w:rsidRPr="00753B64">
        <w:rPr>
          <w:rFonts w:asciiTheme="majorBidi" w:hAnsiTheme="majorBidi" w:cstheme="majorBidi"/>
        </w:rPr>
        <w:t>____________</w:t>
      </w:r>
    </w:p>
    <w:p w:rsidR="00FB412D" w:rsidRPr="00CA346B" w:rsidRDefault="00FB412D" w:rsidP="00A877A4">
      <w:pPr>
        <w:spacing w:before="1200"/>
        <w:ind w:right="91"/>
        <w:rPr>
          <w:b/>
          <w:bCs/>
          <w:lang w:val="fr-CH"/>
        </w:rPr>
      </w:pPr>
    </w:p>
    <w:sectPr w:rsidR="00FB412D" w:rsidRPr="00CA346B" w:rsidSect="00092D9A">
      <w:headerReference w:type="even" r:id="rId20"/>
      <w:headerReference w:type="default" r:id="rId21"/>
      <w:footerReference w:type="even" r:id="rId22"/>
      <w:footerReference w:type="default" r:id="rId23"/>
      <w:headerReference w:type="first" r:id="rId24"/>
      <w:footerReference w:type="first" r:id="rId25"/>
      <w:pgSz w:w="11907" w:h="16840" w:code="9"/>
      <w:pgMar w:top="1418" w:right="1134" w:bottom="1418" w:left="1134"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36" w:rsidRDefault="00690A36">
      <w:r>
        <w:separator/>
      </w:r>
    </w:p>
  </w:endnote>
  <w:endnote w:type="continuationSeparator" w:id="0">
    <w:p w:rsidR="00690A36" w:rsidRDefault="0069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8F" w:rsidRDefault="00444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A36" w:rsidRPr="00B17F84" w:rsidRDefault="00B17F84" w:rsidP="00B17F84">
    <w:pPr>
      <w:pStyle w:val="Footer"/>
      <w:rPr>
        <w:lang w:val="fr-CH"/>
      </w:rPr>
    </w:pPr>
    <w:r w:rsidRPr="007D4CC2">
      <w:rPr>
        <w:lang w:val="fr-CH"/>
      </w:rPr>
      <w:t>ITU-T\BUREAU\CIRC\255</w:t>
    </w:r>
    <w:r>
      <w:rPr>
        <w:lang w:val="fr-CH"/>
      </w:rPr>
      <w:t>F</w:t>
    </w:r>
    <w:r w:rsidRPr="007D4CC2">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410"/>
      <w:gridCol w:w="2229"/>
    </w:tblGrid>
    <w:tr w:rsidR="00197830" w:rsidRPr="00230E49">
      <w:trPr>
        <w:cantSplit/>
      </w:trPr>
      <w:tc>
        <w:tcPr>
          <w:tcW w:w="1062" w:type="pct"/>
          <w:tcBorders>
            <w:top w:val="single" w:sz="6" w:space="0" w:color="auto"/>
          </w:tcBorders>
          <w:tcMar>
            <w:top w:w="57" w:type="dxa"/>
          </w:tcMar>
        </w:tcPr>
        <w:p w:rsidR="00197830" w:rsidRDefault="00197830">
          <w:pPr>
            <w:pStyle w:val="itu"/>
          </w:pPr>
          <w:r>
            <w:t>Place des Nations</w:t>
          </w:r>
        </w:p>
      </w:tc>
      <w:tc>
        <w:tcPr>
          <w:tcW w:w="1584" w:type="pct"/>
          <w:tcBorders>
            <w:top w:val="single" w:sz="6" w:space="0" w:color="auto"/>
          </w:tcBorders>
          <w:tcMar>
            <w:top w:w="57" w:type="dxa"/>
          </w:tcMar>
        </w:tcPr>
        <w:p w:rsidR="00197830" w:rsidRDefault="00197830">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197830" w:rsidRDefault="00197830">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197830" w:rsidRDefault="00197830">
          <w:pPr>
            <w:pStyle w:val="itu"/>
          </w:pPr>
          <w:r>
            <w:t>E-mail:</w:t>
          </w:r>
          <w:r>
            <w:tab/>
            <w:t>itumail@itu.int</w:t>
          </w:r>
        </w:p>
      </w:tc>
    </w:tr>
    <w:tr w:rsidR="00197830">
      <w:trPr>
        <w:cantSplit/>
      </w:trPr>
      <w:tc>
        <w:tcPr>
          <w:tcW w:w="1062" w:type="pct"/>
        </w:tcPr>
        <w:p w:rsidR="00197830" w:rsidRDefault="00197830">
          <w:pPr>
            <w:pStyle w:val="itu"/>
          </w:pPr>
          <w:r>
            <w:t>CH-1211 Genève 20</w:t>
          </w:r>
        </w:p>
      </w:tc>
      <w:tc>
        <w:tcPr>
          <w:tcW w:w="1584" w:type="pct"/>
        </w:tcPr>
        <w:p w:rsidR="00197830" w:rsidRDefault="00197830">
          <w:pPr>
            <w:pStyle w:val="itu"/>
          </w:pPr>
          <w:proofErr w:type="spellStart"/>
          <w:r>
            <w:t>Téléfax</w:t>
          </w:r>
          <w:proofErr w:type="spellEnd"/>
          <w:r>
            <w:tab/>
            <w:t>Gr3:</w:t>
          </w:r>
          <w:r>
            <w:tab/>
            <w:t>+41 22 733 72 56</w:t>
          </w:r>
        </w:p>
      </w:tc>
      <w:tc>
        <w:tcPr>
          <w:tcW w:w="1223" w:type="pct"/>
        </w:tcPr>
        <w:p w:rsidR="00197830" w:rsidRDefault="00197830">
          <w:pPr>
            <w:pStyle w:val="itu"/>
          </w:pPr>
          <w:proofErr w:type="spellStart"/>
          <w:r>
            <w:t>Télégramme</w:t>
          </w:r>
          <w:proofErr w:type="spellEnd"/>
          <w:r>
            <w:t xml:space="preserve"> ITU GENEVE</w:t>
          </w:r>
        </w:p>
      </w:tc>
      <w:tc>
        <w:tcPr>
          <w:tcW w:w="1131" w:type="pct"/>
        </w:tcPr>
        <w:p w:rsidR="00197830" w:rsidRDefault="00197830">
          <w:pPr>
            <w:pStyle w:val="itu"/>
          </w:pPr>
          <w:r>
            <w:tab/>
            <w:t>www.itu.int</w:t>
          </w:r>
        </w:p>
      </w:tc>
    </w:tr>
    <w:tr w:rsidR="00197830">
      <w:trPr>
        <w:cantSplit/>
      </w:trPr>
      <w:tc>
        <w:tcPr>
          <w:tcW w:w="1062" w:type="pct"/>
        </w:tcPr>
        <w:p w:rsidR="00197830" w:rsidRDefault="00197830">
          <w:pPr>
            <w:pStyle w:val="itu"/>
          </w:pPr>
          <w:r>
            <w:t>Suisse</w:t>
          </w:r>
        </w:p>
      </w:tc>
      <w:tc>
        <w:tcPr>
          <w:tcW w:w="1584" w:type="pct"/>
        </w:tcPr>
        <w:p w:rsidR="00197830" w:rsidRDefault="00197830">
          <w:pPr>
            <w:pStyle w:val="itu"/>
          </w:pPr>
          <w:r>
            <w:tab/>
            <w:t>Gr4:</w:t>
          </w:r>
          <w:r>
            <w:tab/>
            <w:t>+41 22 730 65 00</w:t>
          </w:r>
        </w:p>
      </w:tc>
      <w:tc>
        <w:tcPr>
          <w:tcW w:w="1223" w:type="pct"/>
        </w:tcPr>
        <w:p w:rsidR="00197830" w:rsidRDefault="00197830">
          <w:pPr>
            <w:pStyle w:val="itu"/>
          </w:pPr>
        </w:p>
      </w:tc>
      <w:tc>
        <w:tcPr>
          <w:tcW w:w="1131" w:type="pct"/>
        </w:tcPr>
        <w:p w:rsidR="00197830" w:rsidRDefault="00197830">
          <w:pPr>
            <w:pStyle w:val="itu"/>
          </w:pPr>
        </w:p>
      </w:tc>
    </w:tr>
  </w:tbl>
  <w:p w:rsidR="00197830" w:rsidRDefault="00197830" w:rsidP="008B327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36" w:rsidRDefault="00690A36">
      <w:r>
        <w:t>____________________</w:t>
      </w:r>
    </w:p>
  </w:footnote>
  <w:footnote w:type="continuationSeparator" w:id="0">
    <w:p w:rsidR="00690A36" w:rsidRDefault="0069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8F" w:rsidRDefault="00444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902422"/>
      <w:docPartObj>
        <w:docPartGallery w:val="Page Numbers (Top of Page)"/>
        <w:docPartUnique/>
      </w:docPartObj>
    </w:sdtPr>
    <w:sdtEndPr>
      <w:rPr>
        <w:noProof/>
        <w:sz w:val="18"/>
        <w:szCs w:val="18"/>
      </w:rPr>
    </w:sdtEndPr>
    <w:sdtContent>
      <w:p w:rsidR="00690A36" w:rsidRPr="006427A1" w:rsidRDefault="00690A36">
        <w:pPr>
          <w:pStyle w:val="Header"/>
          <w:rPr>
            <w:sz w:val="18"/>
            <w:szCs w:val="18"/>
          </w:rPr>
        </w:pPr>
        <w:r w:rsidRPr="006427A1">
          <w:rPr>
            <w:sz w:val="18"/>
            <w:szCs w:val="18"/>
          </w:rPr>
          <w:fldChar w:fldCharType="begin"/>
        </w:r>
        <w:r w:rsidRPr="006427A1">
          <w:rPr>
            <w:sz w:val="18"/>
            <w:szCs w:val="18"/>
          </w:rPr>
          <w:instrText xml:space="preserve"> PAGE   \* MERGEFORMAT </w:instrText>
        </w:r>
        <w:r w:rsidRPr="006427A1">
          <w:rPr>
            <w:sz w:val="18"/>
            <w:szCs w:val="18"/>
          </w:rPr>
          <w:fldChar w:fldCharType="separate"/>
        </w:r>
        <w:r w:rsidR="00230E49">
          <w:rPr>
            <w:noProof/>
            <w:sz w:val="18"/>
            <w:szCs w:val="18"/>
          </w:rPr>
          <w:t>6</w:t>
        </w:r>
        <w:r w:rsidRPr="006427A1">
          <w:rPr>
            <w:noProof/>
            <w:sz w:val="18"/>
            <w:szCs w:val="18"/>
          </w:rPr>
          <w:fldChar w:fldCharType="end"/>
        </w:r>
      </w:p>
    </w:sdtContent>
  </w:sdt>
  <w:p w:rsidR="00690A36" w:rsidRPr="006427A1" w:rsidRDefault="00690A36">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A36" w:rsidRPr="006427A1" w:rsidRDefault="00690A36" w:rsidP="00B85604">
    <w:pPr>
      <w:pStyle w:val="Header"/>
      <w:rPr>
        <w:sz w:val="18"/>
        <w:szCs w:val="18"/>
      </w:rPr>
    </w:pPr>
  </w:p>
  <w:p w:rsidR="00690A36" w:rsidRPr="006427A1" w:rsidRDefault="00690A36">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14D31BAE"/>
    <w:multiLevelType w:val="hybridMultilevel"/>
    <w:tmpl w:val="8FFC5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nsid w:val="406D5674"/>
    <w:multiLevelType w:val="multilevel"/>
    <w:tmpl w:val="858AA8FC"/>
    <w:lvl w:ilvl="0">
      <w:start w:val="1"/>
      <w:numFmt w:val="decimal"/>
      <w:lvlRestart w:val="0"/>
      <w:lvlText w:val="%1"/>
      <w:lvlJc w:val="left"/>
      <w:pPr>
        <w:ind w:left="360" w:hanging="360"/>
      </w:pPr>
      <w:rPr>
        <w:rFonts w:ascii="Arial" w:hAnsi="Arial" w:cs="Times New Roman" w:hint="default"/>
      </w:rPr>
    </w:lvl>
    <w:lvl w:ilvl="1">
      <w:start w:val="1"/>
      <w:numFmt w:val="lowerLetter"/>
      <w:lvlText w:val="%2"/>
      <w:lvlJc w:val="left"/>
      <w:pPr>
        <w:ind w:left="720" w:hanging="360"/>
      </w:pPr>
      <w:rPr>
        <w:rFonts w:ascii="Arial" w:hAnsi="Arial" w:cs="Courier New" w:hint="default"/>
      </w:rPr>
    </w:lvl>
    <w:lvl w:ilvl="2">
      <w:start w:val="1"/>
      <w:numFmt w:val="lowerRoman"/>
      <w:lvlText w:val="%3"/>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FA25FC"/>
    <w:multiLevelType w:val="multilevel"/>
    <w:tmpl w:val="858AA8FC"/>
    <w:lvl w:ilvl="0">
      <w:start w:val="1"/>
      <w:numFmt w:val="decimal"/>
      <w:lvlRestart w:val="0"/>
      <w:lvlText w:val="%1"/>
      <w:lvlJc w:val="left"/>
      <w:pPr>
        <w:ind w:left="360" w:hanging="360"/>
      </w:pPr>
      <w:rPr>
        <w:rFonts w:ascii="Arial" w:hAnsi="Arial" w:cs="Times New Roman" w:hint="default"/>
      </w:rPr>
    </w:lvl>
    <w:lvl w:ilvl="1">
      <w:start w:val="1"/>
      <w:numFmt w:val="lowerLetter"/>
      <w:lvlText w:val="%2"/>
      <w:lvlJc w:val="left"/>
      <w:pPr>
        <w:ind w:left="720" w:hanging="360"/>
      </w:pPr>
      <w:rPr>
        <w:rFonts w:ascii="Arial" w:hAnsi="Arial" w:cs="Courier New" w:hint="default"/>
      </w:rPr>
    </w:lvl>
    <w:lvl w:ilvl="2">
      <w:start w:val="1"/>
      <w:numFmt w:val="lowerRoman"/>
      <w:lvlText w:val="%3"/>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4"/>
    <w:lvlOverride w:ilvl="0">
      <w:lvl w:ilvl="0">
        <w:start w:val="1"/>
        <w:numFmt w:val="decimal"/>
        <w:lvlRestart w:val="0"/>
        <w:lvlText w:val="%1"/>
        <w:lvlJc w:val="left"/>
        <w:pPr>
          <w:ind w:left="360" w:hanging="360"/>
        </w:pPr>
        <w:rPr>
          <w:rFonts w:asciiTheme="majorBidi" w:hAnsiTheme="majorBidi" w:cstheme="majorBidi" w:hint="default"/>
        </w:rPr>
      </w:lvl>
    </w:lvlOverride>
    <w:lvlOverride w:ilvl="1">
      <w:lvl w:ilvl="1">
        <w:start w:val="1"/>
        <w:numFmt w:val="lowerLetter"/>
        <w:lvlText w:val="%2"/>
        <w:lvlJc w:val="left"/>
        <w:pPr>
          <w:ind w:left="720" w:hanging="360"/>
        </w:pPr>
        <w:rPr>
          <w:rFonts w:asciiTheme="majorBidi" w:hAnsiTheme="majorBidi" w:cstheme="majorBidi"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DD"/>
    <w:rsid w:val="000039EE"/>
    <w:rsid w:val="00005622"/>
    <w:rsid w:val="0002519E"/>
    <w:rsid w:val="00035B43"/>
    <w:rsid w:val="000636CD"/>
    <w:rsid w:val="000758B3"/>
    <w:rsid w:val="00092D9A"/>
    <w:rsid w:val="000A7BA8"/>
    <w:rsid w:val="000B0D96"/>
    <w:rsid w:val="000B10D8"/>
    <w:rsid w:val="000B2501"/>
    <w:rsid w:val="000B59D8"/>
    <w:rsid w:val="000C56BE"/>
    <w:rsid w:val="001026FD"/>
    <w:rsid w:val="00115DD7"/>
    <w:rsid w:val="001218F4"/>
    <w:rsid w:val="00153781"/>
    <w:rsid w:val="00167472"/>
    <w:rsid w:val="00167F92"/>
    <w:rsid w:val="00173738"/>
    <w:rsid w:val="00197830"/>
    <w:rsid w:val="001A5D41"/>
    <w:rsid w:val="001B79A3"/>
    <w:rsid w:val="002152A3"/>
    <w:rsid w:val="00217777"/>
    <w:rsid w:val="00224696"/>
    <w:rsid w:val="00224D7B"/>
    <w:rsid w:val="00230E49"/>
    <w:rsid w:val="00265B7C"/>
    <w:rsid w:val="002B21D3"/>
    <w:rsid w:val="00325D52"/>
    <w:rsid w:val="00332208"/>
    <w:rsid w:val="00333A80"/>
    <w:rsid w:val="00346DAF"/>
    <w:rsid w:val="00353DEB"/>
    <w:rsid w:val="003559F6"/>
    <w:rsid w:val="00364E95"/>
    <w:rsid w:val="0036556D"/>
    <w:rsid w:val="00372875"/>
    <w:rsid w:val="0039553F"/>
    <w:rsid w:val="003B1E80"/>
    <w:rsid w:val="003B66E8"/>
    <w:rsid w:val="004033F1"/>
    <w:rsid w:val="00404A02"/>
    <w:rsid w:val="00414B0C"/>
    <w:rsid w:val="004257AC"/>
    <w:rsid w:val="00430B1D"/>
    <w:rsid w:val="0043711B"/>
    <w:rsid w:val="0044478F"/>
    <w:rsid w:val="00451736"/>
    <w:rsid w:val="0045348B"/>
    <w:rsid w:val="004B732E"/>
    <w:rsid w:val="004D51F4"/>
    <w:rsid w:val="004D64E0"/>
    <w:rsid w:val="0051210D"/>
    <w:rsid w:val="005136D2"/>
    <w:rsid w:val="00517A03"/>
    <w:rsid w:val="00547142"/>
    <w:rsid w:val="005925C3"/>
    <w:rsid w:val="005A3DD9"/>
    <w:rsid w:val="005B1DFC"/>
    <w:rsid w:val="005E7F70"/>
    <w:rsid w:val="005F7CDA"/>
    <w:rsid w:val="006015B6"/>
    <w:rsid w:val="00601682"/>
    <w:rsid w:val="006333F7"/>
    <w:rsid w:val="00641309"/>
    <w:rsid w:val="006427A1"/>
    <w:rsid w:val="00644741"/>
    <w:rsid w:val="00650ED8"/>
    <w:rsid w:val="00681E50"/>
    <w:rsid w:val="00690A36"/>
    <w:rsid w:val="0069705B"/>
    <w:rsid w:val="006A383F"/>
    <w:rsid w:val="006A6FFE"/>
    <w:rsid w:val="006C5A91"/>
    <w:rsid w:val="006C7371"/>
    <w:rsid w:val="006C78AF"/>
    <w:rsid w:val="00716BBC"/>
    <w:rsid w:val="0072417F"/>
    <w:rsid w:val="00731BE7"/>
    <w:rsid w:val="007321BC"/>
    <w:rsid w:val="00753B64"/>
    <w:rsid w:val="00760063"/>
    <w:rsid w:val="00764486"/>
    <w:rsid w:val="00775E4B"/>
    <w:rsid w:val="0079553B"/>
    <w:rsid w:val="007A40FE"/>
    <w:rsid w:val="007F7AE2"/>
    <w:rsid w:val="00810105"/>
    <w:rsid w:val="008124F4"/>
    <w:rsid w:val="008157E0"/>
    <w:rsid w:val="00820417"/>
    <w:rsid w:val="00822E6D"/>
    <w:rsid w:val="008305C2"/>
    <w:rsid w:val="00832D11"/>
    <w:rsid w:val="00854E1D"/>
    <w:rsid w:val="00863CA3"/>
    <w:rsid w:val="00887FA6"/>
    <w:rsid w:val="008B3275"/>
    <w:rsid w:val="008C4397"/>
    <w:rsid w:val="008C465A"/>
    <w:rsid w:val="008F2C9B"/>
    <w:rsid w:val="00923CD6"/>
    <w:rsid w:val="00930B46"/>
    <w:rsid w:val="00935AA8"/>
    <w:rsid w:val="00971C9A"/>
    <w:rsid w:val="009A6C2A"/>
    <w:rsid w:val="009A6D03"/>
    <w:rsid w:val="009C3690"/>
    <w:rsid w:val="009D51FA"/>
    <w:rsid w:val="009D6D71"/>
    <w:rsid w:val="009E1EA3"/>
    <w:rsid w:val="009E3707"/>
    <w:rsid w:val="009F1E23"/>
    <w:rsid w:val="00A03F3E"/>
    <w:rsid w:val="00A06BCF"/>
    <w:rsid w:val="00A15179"/>
    <w:rsid w:val="00A465BA"/>
    <w:rsid w:val="00A51537"/>
    <w:rsid w:val="00A5280F"/>
    <w:rsid w:val="00A558BA"/>
    <w:rsid w:val="00A60FC1"/>
    <w:rsid w:val="00A761CF"/>
    <w:rsid w:val="00A81BA7"/>
    <w:rsid w:val="00A877A4"/>
    <w:rsid w:val="00A97C37"/>
    <w:rsid w:val="00AC37B5"/>
    <w:rsid w:val="00AD752F"/>
    <w:rsid w:val="00B17F84"/>
    <w:rsid w:val="00B27B41"/>
    <w:rsid w:val="00B57511"/>
    <w:rsid w:val="00B85604"/>
    <w:rsid w:val="00B8573E"/>
    <w:rsid w:val="00BA71E4"/>
    <w:rsid w:val="00BB24C0"/>
    <w:rsid w:val="00BF4540"/>
    <w:rsid w:val="00C26F2E"/>
    <w:rsid w:val="00C376F3"/>
    <w:rsid w:val="00C44A35"/>
    <w:rsid w:val="00C45376"/>
    <w:rsid w:val="00C4677F"/>
    <w:rsid w:val="00C9028F"/>
    <w:rsid w:val="00C95ADD"/>
    <w:rsid w:val="00CA0416"/>
    <w:rsid w:val="00CB1125"/>
    <w:rsid w:val="00CB407D"/>
    <w:rsid w:val="00CB52AD"/>
    <w:rsid w:val="00CD042E"/>
    <w:rsid w:val="00CF2560"/>
    <w:rsid w:val="00CF5B46"/>
    <w:rsid w:val="00D16E9D"/>
    <w:rsid w:val="00D46B68"/>
    <w:rsid w:val="00D542A5"/>
    <w:rsid w:val="00DC3D47"/>
    <w:rsid w:val="00DD2DFA"/>
    <w:rsid w:val="00DD77DA"/>
    <w:rsid w:val="00E00DAB"/>
    <w:rsid w:val="00E06C61"/>
    <w:rsid w:val="00E13DB3"/>
    <w:rsid w:val="00E2408B"/>
    <w:rsid w:val="00E72AE1"/>
    <w:rsid w:val="00ED6A7A"/>
    <w:rsid w:val="00EE340A"/>
    <w:rsid w:val="00F346CE"/>
    <w:rsid w:val="00F34F98"/>
    <w:rsid w:val="00F40540"/>
    <w:rsid w:val="00F54A5B"/>
    <w:rsid w:val="00F9451D"/>
    <w:rsid w:val="00FB412D"/>
    <w:rsid w:val="00FC3A4E"/>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AnnexNotitle">
    <w:name w:val="Annex_No &amp; title"/>
    <w:basedOn w:val="Normal"/>
    <w:next w:val="Normal"/>
    <w:rsid w:val="00C95ADD"/>
    <w:pPr>
      <w:keepNext/>
      <w:keepLines/>
      <w:spacing w:before="480"/>
      <w:jc w:val="center"/>
    </w:pPr>
    <w:rPr>
      <w:b/>
      <w:sz w:val="28"/>
      <w:lang w:val="en-GB"/>
    </w:rPr>
  </w:style>
  <w:style w:type="paragraph" w:customStyle="1" w:styleId="Headingb0">
    <w:name w:val="Heading_b"/>
    <w:basedOn w:val="Normal"/>
    <w:next w:val="Normal"/>
    <w:rsid w:val="00C95ADD"/>
    <w:pPr>
      <w:keepNext/>
      <w:spacing w:before="160"/>
    </w:pPr>
    <w:rPr>
      <w:b/>
    </w:rPr>
  </w:style>
  <w:style w:type="paragraph" w:customStyle="1" w:styleId="Reasons">
    <w:name w:val="Reasons"/>
    <w:basedOn w:val="Normal"/>
    <w:qFormat/>
    <w:rsid w:val="00A465BA"/>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i">
    <w:name w:val="Ti"/>
    <w:basedOn w:val="Normal"/>
    <w:rsid w:val="00E00DAB"/>
  </w:style>
  <w:style w:type="character" w:customStyle="1" w:styleId="FootnoteTextChar">
    <w:name w:val="Footnote Text Char"/>
    <w:basedOn w:val="DefaultParagraphFont"/>
    <w:link w:val="FootnoteText"/>
    <w:uiPriority w:val="99"/>
    <w:semiHidden/>
    <w:rsid w:val="006A383F"/>
    <w:rPr>
      <w:rFonts w:ascii="Times New Roman" w:hAnsi="Times New Roman"/>
      <w:sz w:val="24"/>
      <w:lang w:val="fr-FR" w:eastAsia="en-US"/>
    </w:rPr>
  </w:style>
  <w:style w:type="paragraph" w:customStyle="1" w:styleId="Title4">
    <w:name w:val="Title 4"/>
    <w:basedOn w:val="Normal"/>
    <w:next w:val="Heading1"/>
    <w:rsid w:val="00C376F3"/>
    <w:pPr>
      <w:tabs>
        <w:tab w:val="clear" w:pos="794"/>
        <w:tab w:val="clear" w:pos="1191"/>
        <w:tab w:val="clear" w:pos="1588"/>
        <w:tab w:val="clear" w:pos="1985"/>
        <w:tab w:val="left" w:pos="567"/>
        <w:tab w:val="left" w:pos="1134"/>
        <w:tab w:val="left" w:pos="1701"/>
        <w:tab w:val="left" w:pos="2268"/>
        <w:tab w:val="left" w:pos="2835"/>
      </w:tabs>
      <w:spacing w:before="240"/>
      <w:jc w:val="center"/>
    </w:pPr>
    <w:rPr>
      <w:b/>
      <w:sz w:val="28"/>
      <w:lang w:val="en-GB"/>
    </w:rPr>
  </w:style>
  <w:style w:type="character" w:styleId="FollowedHyperlink">
    <w:name w:val="FollowedHyperlink"/>
    <w:basedOn w:val="DefaultParagraphFont"/>
    <w:rsid w:val="008124F4"/>
    <w:rPr>
      <w:color w:val="800080" w:themeColor="followedHyperlink"/>
      <w:u w:val="single"/>
    </w:rPr>
  </w:style>
  <w:style w:type="paragraph" w:styleId="BalloonText">
    <w:name w:val="Balloon Text"/>
    <w:basedOn w:val="Normal"/>
    <w:link w:val="BalloonTextChar"/>
    <w:rsid w:val="00FB412D"/>
    <w:pPr>
      <w:spacing w:before="0"/>
    </w:pPr>
    <w:rPr>
      <w:rFonts w:ascii="Tahoma" w:hAnsi="Tahoma" w:cs="Tahoma"/>
      <w:sz w:val="16"/>
      <w:szCs w:val="16"/>
    </w:rPr>
  </w:style>
  <w:style w:type="character" w:customStyle="1" w:styleId="BalloonTextChar">
    <w:name w:val="Balloon Text Char"/>
    <w:basedOn w:val="DefaultParagraphFont"/>
    <w:link w:val="BalloonText"/>
    <w:rsid w:val="00FB412D"/>
    <w:rPr>
      <w:rFonts w:ascii="Tahoma" w:hAnsi="Tahoma" w:cs="Tahoma"/>
      <w:sz w:val="16"/>
      <w:szCs w:val="16"/>
      <w:lang w:val="fr-FR" w:eastAsia="en-US"/>
    </w:rPr>
  </w:style>
  <w:style w:type="character" w:styleId="Strong">
    <w:name w:val="Strong"/>
    <w:basedOn w:val="DefaultParagraphFont"/>
    <w:uiPriority w:val="22"/>
    <w:qFormat/>
    <w:rsid w:val="00FB412D"/>
    <w:rPr>
      <w:b/>
      <w:bCs/>
    </w:rPr>
  </w:style>
  <w:style w:type="paragraph" w:styleId="ListParagraph">
    <w:name w:val="List Paragraph"/>
    <w:basedOn w:val="Normal"/>
    <w:uiPriority w:val="34"/>
    <w:qFormat/>
    <w:rsid w:val="00FB412D"/>
    <w:pPr>
      <w:tabs>
        <w:tab w:val="clear" w:pos="794"/>
        <w:tab w:val="clear" w:pos="1191"/>
        <w:tab w:val="clear" w:pos="1588"/>
        <w:tab w:val="clear" w:pos="1985"/>
      </w:tabs>
      <w:overflowPunct/>
      <w:autoSpaceDE/>
      <w:autoSpaceDN/>
      <w:adjustRightInd/>
      <w:spacing w:before="0"/>
      <w:ind w:left="720"/>
      <w:contextualSpacing/>
      <w:textAlignment w:val="auto"/>
    </w:pPr>
    <w:rPr>
      <w:rFonts w:eastAsia="MS Mincho"/>
      <w:szCs w:val="24"/>
      <w:lang w:val="en-US"/>
    </w:rPr>
  </w:style>
  <w:style w:type="table" w:styleId="TableGrid">
    <w:name w:val="Table Grid"/>
    <w:basedOn w:val="TableNormal"/>
    <w:rsid w:val="00FB412D"/>
    <w:pPr>
      <w:tabs>
        <w:tab w:val="left" w:pos="794"/>
        <w:tab w:val="left" w:pos="1191"/>
        <w:tab w:val="left" w:pos="1588"/>
        <w:tab w:val="left" w:pos="1985"/>
      </w:tabs>
      <w:spacing w:before="12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412D"/>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AnnexNotitle">
    <w:name w:val="Annex_No &amp; title"/>
    <w:basedOn w:val="Normal"/>
    <w:next w:val="Normal"/>
    <w:rsid w:val="00C95ADD"/>
    <w:pPr>
      <w:keepNext/>
      <w:keepLines/>
      <w:spacing w:before="480"/>
      <w:jc w:val="center"/>
    </w:pPr>
    <w:rPr>
      <w:b/>
      <w:sz w:val="28"/>
      <w:lang w:val="en-GB"/>
    </w:rPr>
  </w:style>
  <w:style w:type="paragraph" w:customStyle="1" w:styleId="Headingb0">
    <w:name w:val="Heading_b"/>
    <w:basedOn w:val="Normal"/>
    <w:next w:val="Normal"/>
    <w:rsid w:val="00C95ADD"/>
    <w:pPr>
      <w:keepNext/>
      <w:spacing w:before="160"/>
    </w:pPr>
    <w:rPr>
      <w:b/>
    </w:rPr>
  </w:style>
  <w:style w:type="paragraph" w:customStyle="1" w:styleId="Reasons">
    <w:name w:val="Reasons"/>
    <w:basedOn w:val="Normal"/>
    <w:qFormat/>
    <w:rsid w:val="00A465BA"/>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i">
    <w:name w:val="Ti"/>
    <w:basedOn w:val="Normal"/>
    <w:rsid w:val="00E00DAB"/>
  </w:style>
  <w:style w:type="character" w:customStyle="1" w:styleId="FootnoteTextChar">
    <w:name w:val="Footnote Text Char"/>
    <w:basedOn w:val="DefaultParagraphFont"/>
    <w:link w:val="FootnoteText"/>
    <w:uiPriority w:val="99"/>
    <w:semiHidden/>
    <w:rsid w:val="006A383F"/>
    <w:rPr>
      <w:rFonts w:ascii="Times New Roman" w:hAnsi="Times New Roman"/>
      <w:sz w:val="24"/>
      <w:lang w:val="fr-FR" w:eastAsia="en-US"/>
    </w:rPr>
  </w:style>
  <w:style w:type="paragraph" w:customStyle="1" w:styleId="Title4">
    <w:name w:val="Title 4"/>
    <w:basedOn w:val="Normal"/>
    <w:next w:val="Heading1"/>
    <w:rsid w:val="00C376F3"/>
    <w:pPr>
      <w:tabs>
        <w:tab w:val="clear" w:pos="794"/>
        <w:tab w:val="clear" w:pos="1191"/>
        <w:tab w:val="clear" w:pos="1588"/>
        <w:tab w:val="clear" w:pos="1985"/>
        <w:tab w:val="left" w:pos="567"/>
        <w:tab w:val="left" w:pos="1134"/>
        <w:tab w:val="left" w:pos="1701"/>
        <w:tab w:val="left" w:pos="2268"/>
        <w:tab w:val="left" w:pos="2835"/>
      </w:tabs>
      <w:spacing w:before="240"/>
      <w:jc w:val="center"/>
    </w:pPr>
    <w:rPr>
      <w:b/>
      <w:sz w:val="28"/>
      <w:lang w:val="en-GB"/>
    </w:rPr>
  </w:style>
  <w:style w:type="character" w:styleId="FollowedHyperlink">
    <w:name w:val="FollowedHyperlink"/>
    <w:basedOn w:val="DefaultParagraphFont"/>
    <w:rsid w:val="008124F4"/>
    <w:rPr>
      <w:color w:val="800080" w:themeColor="followedHyperlink"/>
      <w:u w:val="single"/>
    </w:rPr>
  </w:style>
  <w:style w:type="paragraph" w:styleId="BalloonText">
    <w:name w:val="Balloon Text"/>
    <w:basedOn w:val="Normal"/>
    <w:link w:val="BalloonTextChar"/>
    <w:rsid w:val="00FB412D"/>
    <w:pPr>
      <w:spacing w:before="0"/>
    </w:pPr>
    <w:rPr>
      <w:rFonts w:ascii="Tahoma" w:hAnsi="Tahoma" w:cs="Tahoma"/>
      <w:sz w:val="16"/>
      <w:szCs w:val="16"/>
    </w:rPr>
  </w:style>
  <w:style w:type="character" w:customStyle="1" w:styleId="BalloonTextChar">
    <w:name w:val="Balloon Text Char"/>
    <w:basedOn w:val="DefaultParagraphFont"/>
    <w:link w:val="BalloonText"/>
    <w:rsid w:val="00FB412D"/>
    <w:rPr>
      <w:rFonts w:ascii="Tahoma" w:hAnsi="Tahoma" w:cs="Tahoma"/>
      <w:sz w:val="16"/>
      <w:szCs w:val="16"/>
      <w:lang w:val="fr-FR" w:eastAsia="en-US"/>
    </w:rPr>
  </w:style>
  <w:style w:type="character" w:styleId="Strong">
    <w:name w:val="Strong"/>
    <w:basedOn w:val="DefaultParagraphFont"/>
    <w:uiPriority w:val="22"/>
    <w:qFormat/>
    <w:rsid w:val="00FB412D"/>
    <w:rPr>
      <w:b/>
      <w:bCs/>
    </w:rPr>
  </w:style>
  <w:style w:type="paragraph" w:styleId="ListParagraph">
    <w:name w:val="List Paragraph"/>
    <w:basedOn w:val="Normal"/>
    <w:uiPriority w:val="34"/>
    <w:qFormat/>
    <w:rsid w:val="00FB412D"/>
    <w:pPr>
      <w:tabs>
        <w:tab w:val="clear" w:pos="794"/>
        <w:tab w:val="clear" w:pos="1191"/>
        <w:tab w:val="clear" w:pos="1588"/>
        <w:tab w:val="clear" w:pos="1985"/>
      </w:tabs>
      <w:overflowPunct/>
      <w:autoSpaceDE/>
      <w:autoSpaceDN/>
      <w:adjustRightInd/>
      <w:spacing w:before="0"/>
      <w:ind w:left="720"/>
      <w:contextualSpacing/>
      <w:textAlignment w:val="auto"/>
    </w:pPr>
    <w:rPr>
      <w:rFonts w:eastAsia="MS Mincho"/>
      <w:szCs w:val="24"/>
      <w:lang w:val="en-US"/>
    </w:rPr>
  </w:style>
  <w:style w:type="table" w:styleId="TableGrid">
    <w:name w:val="Table Grid"/>
    <w:basedOn w:val="TableNormal"/>
    <w:rsid w:val="00FB412D"/>
    <w:pPr>
      <w:tabs>
        <w:tab w:val="left" w:pos="794"/>
        <w:tab w:val="left" w:pos="1191"/>
        <w:tab w:val="left" w:pos="1588"/>
        <w:tab w:val="left" w:pos="1985"/>
      </w:tabs>
      <w:spacing w:before="12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412D"/>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en/ITU-T/extcoop/cits/" TargetMode="External"/><Relationship Id="rId18" Type="http://schemas.openxmlformats.org/officeDocument/2006/relationships/hyperlink" Target="http://www.metroairpor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itu.int/reg/tmisc/3000355" TargetMode="External"/><Relationship Id="rId17" Type="http://schemas.openxmlformats.org/officeDocument/2006/relationships/hyperlink" Target="http://www.sae.org/about/contact/map1.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brussow@sa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en/ITU-T/extcoop/cit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itu.int/en/ITU-T/extcoop/cits/" TargetMode="External"/><Relationship Id="rId23" Type="http://schemas.openxmlformats.org/officeDocument/2006/relationships/footer" Target="footer2.xml"/><Relationship Id="rId10" Type="http://schemas.openxmlformats.org/officeDocument/2006/relationships/hyperlink" Target="mailto:tsbdir@itu.int" TargetMode="External"/><Relationship Id="rId19" Type="http://schemas.openxmlformats.org/officeDocument/2006/relationships/hyperlink" Target="http://www.detroittroy.embassysuit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sbcits@itu.int"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8550-6B96-4E8F-86F1-E5BBD5B7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PF_TSBCIRC1.dotm</Template>
  <TotalTime>0</TotalTime>
  <Pages>6</Pages>
  <Words>1816</Words>
  <Characters>10357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12149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Drouiller, Isabelle</dc:creator>
  <cp:lastModifiedBy>Bettini, Nadine</cp:lastModifiedBy>
  <cp:revision>2</cp:revision>
  <cp:lastPrinted>2012-01-31T14:33:00Z</cp:lastPrinted>
  <dcterms:created xsi:type="dcterms:W3CDTF">2012-02-10T07:34:00Z</dcterms:created>
  <dcterms:modified xsi:type="dcterms:W3CDTF">2012-02-10T07:34:00Z</dcterms:modified>
</cp:coreProperties>
</file>