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506F9E" w:rsidRPr="00506F9E">
        <w:t>14 de febrero de 2012</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506F9E" w:rsidRDefault="00C34772" w:rsidP="00303D62">
            <w:pPr>
              <w:tabs>
                <w:tab w:val="left" w:pos="4111"/>
              </w:tabs>
              <w:spacing w:before="0"/>
              <w:ind w:left="57"/>
              <w:rPr>
                <w:b/>
                <w:lang w:val="en-US"/>
              </w:rPr>
            </w:pPr>
            <w:r w:rsidRPr="00506F9E">
              <w:rPr>
                <w:b/>
                <w:lang w:val="en-US"/>
              </w:rPr>
              <w:t xml:space="preserve">Circular TSB </w:t>
            </w:r>
            <w:r w:rsidR="00506F9E" w:rsidRPr="00506F9E">
              <w:rPr>
                <w:b/>
                <w:bCs/>
                <w:szCs w:val="24"/>
                <w:lang w:val="en-US"/>
              </w:rPr>
              <w:t>253</w:t>
            </w:r>
          </w:p>
          <w:p w:rsidR="00C34772" w:rsidRPr="00506F9E" w:rsidRDefault="00506F9E" w:rsidP="00303D62">
            <w:pPr>
              <w:tabs>
                <w:tab w:val="left" w:pos="4111"/>
              </w:tabs>
              <w:spacing w:before="0"/>
              <w:ind w:left="57"/>
              <w:rPr>
                <w:b/>
                <w:lang w:val="en-US"/>
              </w:rPr>
            </w:pPr>
            <w:r w:rsidRPr="00506F9E">
              <w:rPr>
                <w:szCs w:val="24"/>
                <w:lang w:val="en-US"/>
              </w:rPr>
              <w:t>FG Innovation/VM</w:t>
            </w:r>
          </w:p>
          <w:p w:rsidR="00C34772" w:rsidRPr="00506F9E" w:rsidRDefault="00C34772" w:rsidP="00303D62">
            <w:pPr>
              <w:tabs>
                <w:tab w:val="left" w:pos="4111"/>
              </w:tabs>
              <w:spacing w:before="0"/>
              <w:ind w:left="57"/>
              <w:rPr>
                <w:lang w:val="en-US"/>
              </w:rPr>
            </w:pPr>
          </w:p>
          <w:p w:rsidR="00C34772" w:rsidRPr="00506F9E" w:rsidRDefault="00C34772" w:rsidP="00303D62">
            <w:pPr>
              <w:tabs>
                <w:tab w:val="left" w:pos="4111"/>
              </w:tabs>
              <w:spacing w:before="0"/>
              <w:ind w:left="57"/>
              <w:rPr>
                <w:lang w:val="en-US"/>
              </w:rPr>
            </w:pPr>
            <w:r w:rsidRPr="00506F9E">
              <w:rPr>
                <w:lang w:val="en-US"/>
              </w:rPr>
              <w:t>+41 22 730</w:t>
            </w:r>
            <w:r w:rsidR="00506F9E">
              <w:rPr>
                <w:lang w:val="en-US"/>
              </w:rPr>
              <w:t xml:space="preserve"> </w:t>
            </w:r>
            <w:r w:rsidR="00506F9E" w:rsidRPr="00464B4C">
              <w:rPr>
                <w:szCs w:val="24"/>
                <w:lang w:val="en-US"/>
              </w:rPr>
              <w:t>5591</w:t>
            </w:r>
            <w:r w:rsidRPr="00506F9E">
              <w:rPr>
                <w:lang w:val="en-US"/>
              </w:rPr>
              <w:br/>
              <w:t>+41 22 730 5853</w:t>
            </w:r>
          </w:p>
        </w:tc>
        <w:tc>
          <w:tcPr>
            <w:tcW w:w="5329" w:type="dxa"/>
          </w:tcPr>
          <w:p w:rsidR="00506F9E" w:rsidRDefault="00506F9E" w:rsidP="00506F9E">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 de la Unión;</w:t>
            </w:r>
          </w:p>
          <w:p w:rsidR="00506F9E" w:rsidRDefault="00506F9E" w:rsidP="00506F9E">
            <w:pPr>
              <w:tabs>
                <w:tab w:val="clear" w:pos="794"/>
                <w:tab w:val="clear" w:pos="1191"/>
                <w:tab w:val="clear" w:pos="1588"/>
                <w:tab w:val="clear" w:pos="1985"/>
                <w:tab w:val="left" w:pos="284"/>
              </w:tabs>
              <w:spacing w:before="0"/>
              <w:ind w:left="284" w:hanging="227"/>
            </w:pPr>
            <w:r>
              <w:t>-</w:t>
            </w:r>
            <w:r>
              <w:tab/>
              <w:t>A los Miembros del Sector UIT-T;</w:t>
            </w:r>
          </w:p>
          <w:p w:rsidR="00506F9E" w:rsidRDefault="00506F9E" w:rsidP="00506F9E">
            <w:pPr>
              <w:tabs>
                <w:tab w:val="clear" w:pos="794"/>
                <w:tab w:val="clear" w:pos="1191"/>
                <w:tab w:val="clear" w:pos="1588"/>
                <w:tab w:val="clear" w:pos="1985"/>
                <w:tab w:val="left" w:pos="284"/>
              </w:tabs>
              <w:spacing w:before="0"/>
              <w:ind w:left="284" w:hanging="227"/>
            </w:pPr>
            <w:r>
              <w:t>-</w:t>
            </w:r>
            <w:r>
              <w:tab/>
              <w:t>A los Asociados del UIT-T;</w:t>
            </w:r>
          </w:p>
          <w:p w:rsidR="00C34772" w:rsidRDefault="00506F9E" w:rsidP="00506F9E">
            <w:pPr>
              <w:tabs>
                <w:tab w:val="clear" w:pos="794"/>
                <w:tab w:val="clear" w:pos="1191"/>
                <w:tab w:val="clear" w:pos="1588"/>
                <w:tab w:val="clear" w:pos="1985"/>
                <w:tab w:val="left" w:pos="284"/>
              </w:tabs>
              <w:spacing w:before="0"/>
              <w:ind w:left="284" w:hanging="227"/>
            </w:pPr>
            <w:r>
              <w:t>-</w:t>
            </w:r>
            <w:r>
              <w:tab/>
              <w:t>A las Instituciones Académicas del UIT-T</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C26052" w:rsidP="00303D62">
            <w:pPr>
              <w:tabs>
                <w:tab w:val="left" w:pos="4111"/>
              </w:tabs>
              <w:spacing w:before="0"/>
              <w:ind w:left="57"/>
            </w:pPr>
            <w:hyperlink r:id="rId10" w:history="1">
              <w:r w:rsidR="00506F9E" w:rsidRPr="0028364E">
                <w:rPr>
                  <w:color w:val="0000FF"/>
                  <w:szCs w:val="24"/>
                  <w:u w:val="single"/>
                  <w:lang w:val="es-ES"/>
                </w:rPr>
                <w:t>tsbfginnovation@itu.int</w:t>
              </w:r>
            </w:hyperlink>
          </w:p>
        </w:tc>
        <w:tc>
          <w:tcPr>
            <w:tcW w:w="5329" w:type="dxa"/>
          </w:tcPr>
          <w:p w:rsidR="00C34772" w:rsidRDefault="00C34772" w:rsidP="00303D62">
            <w:pPr>
              <w:tabs>
                <w:tab w:val="left" w:pos="4111"/>
              </w:tabs>
              <w:spacing w:before="0"/>
            </w:pPr>
            <w:r>
              <w:rPr>
                <w:b/>
              </w:rPr>
              <w:t>Copia</w:t>
            </w:r>
            <w:r>
              <w:t>:</w:t>
            </w:r>
          </w:p>
          <w:p w:rsidR="00506F9E" w:rsidRDefault="00506F9E" w:rsidP="00C56969">
            <w:pPr>
              <w:tabs>
                <w:tab w:val="clear" w:pos="794"/>
                <w:tab w:val="clear" w:pos="1191"/>
                <w:tab w:val="clear" w:pos="1588"/>
                <w:tab w:val="clear" w:pos="1985"/>
                <w:tab w:val="left" w:pos="284"/>
              </w:tabs>
              <w:spacing w:before="0"/>
              <w:ind w:left="284" w:hanging="227"/>
            </w:pPr>
            <w:r>
              <w:t>-</w:t>
            </w:r>
            <w:r>
              <w:tab/>
              <w:t>A los Presidentes y Vicepresidentes de todas las Comisiones de Estudio del UIT</w:t>
            </w:r>
            <w:r w:rsidR="00C56969">
              <w:t>-</w:t>
            </w:r>
            <w:r>
              <w:t>T;</w:t>
            </w:r>
          </w:p>
          <w:p w:rsidR="00506F9E" w:rsidRDefault="00506F9E" w:rsidP="00506F9E">
            <w:pPr>
              <w:tabs>
                <w:tab w:val="clear" w:pos="794"/>
                <w:tab w:val="clear" w:pos="1191"/>
                <w:tab w:val="clear" w:pos="1588"/>
                <w:tab w:val="clear" w:pos="1985"/>
                <w:tab w:val="left" w:pos="284"/>
              </w:tabs>
              <w:spacing w:before="0"/>
              <w:ind w:left="284" w:hanging="227"/>
            </w:pPr>
            <w:r>
              <w:t>-</w:t>
            </w:r>
            <w:r>
              <w:tab/>
              <w:t>Al Director de la Oficina de Desarrollo de las Telecomunicaciones;</w:t>
            </w:r>
          </w:p>
          <w:p w:rsidR="00C34772" w:rsidRDefault="00506F9E" w:rsidP="00506F9E">
            <w:pPr>
              <w:tabs>
                <w:tab w:val="clear" w:pos="794"/>
                <w:tab w:val="clear" w:pos="1191"/>
                <w:tab w:val="clear" w:pos="1588"/>
                <w:tab w:val="clear" w:pos="1985"/>
                <w:tab w:val="left" w:pos="284"/>
              </w:tabs>
              <w:spacing w:before="0"/>
              <w:ind w:left="284" w:hanging="227"/>
            </w:pPr>
            <w:r>
              <w:t>-</w:t>
            </w:r>
            <w:r>
              <w:tab/>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534"/>
      </w:tblGrid>
      <w:tr w:rsidR="00C34772" w:rsidTr="00506F9E">
        <w:trPr>
          <w:cantSplit/>
        </w:trPr>
        <w:tc>
          <w:tcPr>
            <w:tcW w:w="822" w:type="dxa"/>
          </w:tcPr>
          <w:p w:rsidR="00C34772" w:rsidRDefault="00C34772" w:rsidP="00303D62">
            <w:pPr>
              <w:tabs>
                <w:tab w:val="left" w:pos="4111"/>
              </w:tabs>
              <w:spacing w:before="10"/>
              <w:ind w:left="57"/>
              <w:rPr>
                <w:sz w:val="22"/>
              </w:rPr>
            </w:pPr>
            <w:r>
              <w:rPr>
                <w:sz w:val="22"/>
              </w:rPr>
              <w:t>Asunto:</w:t>
            </w:r>
          </w:p>
        </w:tc>
        <w:tc>
          <w:tcPr>
            <w:tcW w:w="7534" w:type="dxa"/>
          </w:tcPr>
          <w:p w:rsidR="00506F9E" w:rsidRPr="00506F9E" w:rsidRDefault="00506F9E" w:rsidP="00506F9E">
            <w:pPr>
              <w:tabs>
                <w:tab w:val="left" w:pos="4111"/>
              </w:tabs>
              <w:spacing w:before="0"/>
              <w:rPr>
                <w:b/>
              </w:rPr>
            </w:pPr>
            <w:r w:rsidRPr="00506F9E">
              <w:rPr>
                <w:b/>
              </w:rPr>
              <w:t>Creación de un nuevo Grupo Temático "Reducción de la brecha: de la innovación a la normas (FG Innovation)";</w:t>
            </w:r>
          </w:p>
          <w:p w:rsidR="00C34772" w:rsidRDefault="00506F9E" w:rsidP="00506F9E">
            <w:pPr>
              <w:tabs>
                <w:tab w:val="left" w:pos="4111"/>
              </w:tabs>
              <w:spacing w:before="0"/>
              <w:rPr>
                <w:b/>
              </w:rPr>
            </w:pPr>
            <w:r w:rsidRPr="00506F9E">
              <w:rPr>
                <w:b/>
              </w:rPr>
              <w:t>Primera reunión del Grupo Temático sobre innovación, Ginebra (Suiza) y Taller sobre innovación en las TIC, 19-21 de marzo de 2012</w:t>
            </w:r>
          </w:p>
        </w:tc>
      </w:tr>
    </w:tbl>
    <w:p w:rsidR="00C34772" w:rsidRDefault="00C34772" w:rsidP="00303D62">
      <w:bookmarkStart w:id="2" w:name="StartTyping_S"/>
      <w:bookmarkStart w:id="3" w:name="suitetext"/>
      <w:bookmarkStart w:id="4" w:name="text"/>
      <w:bookmarkEnd w:id="2"/>
      <w:bookmarkEnd w:id="3"/>
      <w:bookmarkEnd w:id="4"/>
    </w:p>
    <w:p w:rsidR="00C34772" w:rsidRDefault="00C34772" w:rsidP="00303D62">
      <w:r>
        <w:t>Muy Señora mía/Muy Señor mío:</w:t>
      </w:r>
    </w:p>
    <w:p w:rsidR="00506F9E" w:rsidRPr="0028364E" w:rsidRDefault="00506F9E" w:rsidP="00C56969">
      <w:pPr>
        <w:ind w:right="-454"/>
        <w:rPr>
          <w:lang w:val="es-ES"/>
        </w:rPr>
      </w:pPr>
      <w:r w:rsidRPr="0028364E">
        <w:rPr>
          <w:lang w:val="es-ES"/>
        </w:rPr>
        <w:t>1</w:t>
      </w:r>
      <w:r w:rsidRPr="0028364E">
        <w:rPr>
          <w:lang w:val="es-ES"/>
        </w:rPr>
        <w:tab/>
        <w:t>Me complace informarle de la creación del Grupo Temático del ITU-T sobre Reducción de la brecha: de la innovación a las normas (FG Innovation</w:t>
      </w:r>
      <w:r>
        <w:rPr>
          <w:lang w:val="es-ES"/>
        </w:rPr>
        <w:t xml:space="preserve">, </w:t>
      </w:r>
      <w:r w:rsidRPr="0028364E">
        <w:rPr>
          <w:lang w:val="es-ES"/>
        </w:rPr>
        <w:t>Grupo Temático sobre innovación) tras el acuerdo alcanzado por el GANT del UIT-T en su reunión celebrada en Ginebra, 10-13 de enero de</w:t>
      </w:r>
      <w:r>
        <w:rPr>
          <w:lang w:val="es-ES"/>
        </w:rPr>
        <w:t> </w:t>
      </w:r>
      <w:r w:rsidRPr="0028364E">
        <w:rPr>
          <w:lang w:val="es-ES"/>
        </w:rPr>
        <w:t>2012.</w:t>
      </w:r>
    </w:p>
    <w:p w:rsidR="00506F9E" w:rsidRPr="0028364E" w:rsidRDefault="00506F9E" w:rsidP="00506F9E">
      <w:pPr>
        <w:rPr>
          <w:color w:val="000000"/>
          <w:lang w:val="es-ES"/>
        </w:rPr>
      </w:pPr>
      <w:r w:rsidRPr="0028364E">
        <w:rPr>
          <w:lang w:val="es-ES"/>
        </w:rPr>
        <w:t>2</w:t>
      </w:r>
      <w:r w:rsidRPr="0028364E">
        <w:rPr>
          <w:lang w:val="es-ES"/>
        </w:rPr>
        <w:tab/>
      </w:r>
      <w:r w:rsidRPr="0028364E">
        <w:rPr>
          <w:color w:val="000000"/>
          <w:lang w:val="es-ES"/>
        </w:rPr>
        <w:t xml:space="preserve">Este Grupo Temático proporciona una plataforma desde la cual se reconozcan y se identifiquen las innovaciones que surgen en los países en desarrollo susceptibles de beneficiarse de la normalización. El objetivo principal es respaldar las actividades de las Comisiones de Estudio del </w:t>
      </w:r>
      <w:r>
        <w:rPr>
          <w:color w:val="000000"/>
          <w:lang w:val="es-ES"/>
        </w:rPr>
        <w:t>UIT</w:t>
      </w:r>
      <w:r w:rsidRPr="0028364E">
        <w:rPr>
          <w:color w:val="000000"/>
          <w:lang w:val="es-ES"/>
        </w:rPr>
        <w:t>-T para contribuir mejor a la innovación y cerrar la brecha digital (Resolución 71 de la PP-10).</w:t>
      </w:r>
      <w:r w:rsidRPr="0028364E">
        <w:rPr>
          <w:lang w:val="es-ES"/>
        </w:rPr>
        <w:t xml:space="preserve"> </w:t>
      </w:r>
    </w:p>
    <w:p w:rsidR="00506F9E" w:rsidRPr="0028364E" w:rsidRDefault="00506F9E" w:rsidP="00506F9E">
      <w:pPr>
        <w:rPr>
          <w:lang w:val="es-ES"/>
        </w:rPr>
      </w:pPr>
      <w:r w:rsidRPr="0028364E">
        <w:rPr>
          <w:lang w:val="es-ES"/>
        </w:rPr>
        <w:t>3</w:t>
      </w:r>
      <w:r w:rsidRPr="0028364E">
        <w:rPr>
          <w:lang w:val="es-ES"/>
        </w:rPr>
        <w:tab/>
        <w:t xml:space="preserve">El Grupo Temático realizará sus trabajos con arreglo a los procedimientos previstos en la Recomendación UIT-T A.7 y tendrá como grupo tutor al GANT. En el </w:t>
      </w:r>
      <w:r w:rsidRPr="0028364E">
        <w:rPr>
          <w:b/>
          <w:bCs/>
          <w:lang w:val="es-ES"/>
        </w:rPr>
        <w:t>Anexo 1</w:t>
      </w:r>
      <w:r w:rsidRPr="0028364E">
        <w:rPr>
          <w:lang w:val="es-ES"/>
        </w:rPr>
        <w:t xml:space="preserve"> se reproduce el mandato acordado para el Grupo Temático sobre innovación. El Sr. Ajay Ranjan Mishra (Nokia Siemens Networks) será el Presidente del nuevo Grupo Temático. Estoy convencido de que, al crear el Grupo Temático, el UIT-T cumplirá las expectativas de sus miembros y demostrará su capacidad para abordar los temas que requieren una atención urgente.</w:t>
      </w:r>
    </w:p>
    <w:p w:rsidR="00506F9E" w:rsidRPr="0028364E" w:rsidRDefault="00506F9E" w:rsidP="00506F9E">
      <w:pPr>
        <w:tabs>
          <w:tab w:val="left" w:pos="1843"/>
        </w:tabs>
        <w:rPr>
          <w:lang w:val="es-ES"/>
        </w:rPr>
      </w:pPr>
      <w:r w:rsidRPr="0028364E">
        <w:rPr>
          <w:lang w:val="es-ES"/>
        </w:rPr>
        <w:t>4</w:t>
      </w:r>
      <w:r w:rsidRPr="0028364E">
        <w:rPr>
          <w:lang w:val="es-ES"/>
        </w:rPr>
        <w:tab/>
        <w:t>La participación en el Grupo Temático sobre innovación está abierta a los Estados Miembros, a los Miembros de Sector, a los Asociados y a las Instituciones Académicas de la UIT, y a cualquier persona de un país Miembro de la UIT que desee contribuir a los trabajos, en particular las personas que también sean miembros o representantes de organizaciones de normalización interesadas.</w:t>
      </w:r>
    </w:p>
    <w:p w:rsidR="00506F9E" w:rsidRPr="0028364E" w:rsidRDefault="00506F9E" w:rsidP="00FD14FA">
      <w:pPr>
        <w:keepLines/>
        <w:rPr>
          <w:lang w:val="es-ES"/>
        </w:rPr>
      </w:pPr>
      <w:r w:rsidRPr="0028364E">
        <w:rPr>
          <w:lang w:val="es-ES"/>
        </w:rPr>
        <w:t>5</w:t>
      </w:r>
      <w:r w:rsidRPr="0028364E">
        <w:rPr>
          <w:lang w:val="es-ES"/>
        </w:rPr>
        <w:tab/>
        <w:t xml:space="preserve">Está previsto celebrar la primera reunión del Grupo Temático sobre innovación en la sede de la UIT en Ginebra, Suiza, los días </w:t>
      </w:r>
      <w:r w:rsidRPr="0028364E">
        <w:rPr>
          <w:b/>
          <w:bCs/>
          <w:u w:val="single"/>
          <w:lang w:val="es-ES"/>
        </w:rPr>
        <w:t>19 y 21 de marzo de 2012</w:t>
      </w:r>
      <w:r w:rsidRPr="0028364E">
        <w:rPr>
          <w:lang w:val="es-ES"/>
        </w:rPr>
        <w:t xml:space="preserve">. Se celebrará un taller sobre innovaciones en las TIC los días </w:t>
      </w:r>
      <w:r w:rsidRPr="0028364E">
        <w:rPr>
          <w:b/>
          <w:bCs/>
          <w:u w:val="single"/>
          <w:lang w:val="es-ES"/>
        </w:rPr>
        <w:t>20 y 21 de marzo de 2012</w:t>
      </w:r>
      <w:r w:rsidRPr="0028364E">
        <w:rPr>
          <w:lang w:val="es-ES"/>
        </w:rPr>
        <w:t>. En el</w:t>
      </w:r>
      <w:r w:rsidRPr="0028364E">
        <w:rPr>
          <w:b/>
          <w:bCs/>
          <w:lang w:val="es-ES"/>
        </w:rPr>
        <w:t xml:space="preserve"> Anexo 3</w:t>
      </w:r>
      <w:r w:rsidRPr="0028364E">
        <w:rPr>
          <w:lang w:val="es-ES"/>
        </w:rPr>
        <w:t xml:space="preserve"> se proporciona el programa detallado del taller.</w:t>
      </w:r>
    </w:p>
    <w:p w:rsidR="00506F9E" w:rsidRPr="0028364E" w:rsidRDefault="00506F9E" w:rsidP="00506F9E">
      <w:pPr>
        <w:rPr>
          <w:lang w:val="es-ES"/>
        </w:rPr>
      </w:pPr>
      <w:r w:rsidRPr="0028364E">
        <w:rPr>
          <w:lang w:val="es-ES"/>
        </w:rPr>
        <w:lastRenderedPageBreak/>
        <w:t>6</w:t>
      </w:r>
      <w:r w:rsidRPr="0028364E">
        <w:rPr>
          <w:lang w:val="es-ES"/>
        </w:rPr>
        <w:tab/>
        <w:t xml:space="preserve">Se invita a todos y cada uno de los participantes a participar activamente en la sesión de trabajo que se desarrollará durante la tarde del 20 de marzo acerca de las preguntas y temas claves del taller. Dado el carácter innovador del taller, </w:t>
      </w:r>
      <w:r w:rsidRPr="0028364E">
        <w:rPr>
          <w:color w:val="000000"/>
          <w:shd w:val="clear" w:color="auto" w:fill="FFFFFF"/>
          <w:lang w:val="es-ES"/>
        </w:rPr>
        <w:t xml:space="preserve">las sesiones se realizarán mediante la metodología del café mundial (world café), una manera eficaz de entablar conversaciones participativas y animadas. </w:t>
      </w:r>
      <w:r w:rsidRPr="0028364E">
        <w:rPr>
          <w:lang w:val="es-ES"/>
        </w:rPr>
        <w:t>Esta técnica de diálogo compartido facilita los intercambios intensivos entre pares, estimula la innovación y constituye un excelente medio de consolidar una red abierta de reconocidos expertos en el tema. Los resultados del café mundial serán recogidos en el momento y se compartirán con los participantes.</w:t>
      </w:r>
    </w:p>
    <w:p w:rsidR="00506F9E" w:rsidRPr="0028364E" w:rsidRDefault="00506F9E" w:rsidP="00E258FE">
      <w:pPr>
        <w:rPr>
          <w:rFonts w:eastAsia="MS Mincho"/>
          <w:lang w:val="es-ES" w:eastAsia="ja-JP"/>
        </w:rPr>
      </w:pPr>
      <w:r w:rsidRPr="0028364E">
        <w:rPr>
          <w:lang w:val="es-ES"/>
        </w:rPr>
        <w:t>7</w:t>
      </w:r>
      <w:r w:rsidRPr="0028364E">
        <w:rPr>
          <w:lang w:val="es-ES"/>
        </w:rPr>
        <w:tab/>
        <w:t>La reunión del Grupo Temático se celebrará durante la misma semana que la del Grupo Temático sobre la Capa de servicios M2M (FG M2M). Pueden obtenerse más detalles acerca del Grupo Temático sobre la Capa de servicios M2M en</w:t>
      </w:r>
      <w:r w:rsidR="00E258FE">
        <w:rPr>
          <w:lang w:val="es-ES"/>
        </w:rPr>
        <w:br/>
      </w:r>
      <w:r w:rsidRPr="0028364E">
        <w:rPr>
          <w:lang w:val="es-ES"/>
        </w:rPr>
        <w:t xml:space="preserve"> </w:t>
      </w:r>
      <w:hyperlink r:id="rId11" w:history="1">
        <w:r w:rsidR="00E258FE" w:rsidRPr="001F3AE7">
          <w:rPr>
            <w:rStyle w:val="Hyperlink"/>
            <w:lang w:val="es-ES"/>
          </w:rPr>
          <w:t>http://itu.int/en/ITU-T/focusgroups/m2m/</w:t>
        </w:r>
      </w:hyperlink>
      <w:r w:rsidRPr="0028364E">
        <w:rPr>
          <w:lang w:val="es-ES"/>
        </w:rPr>
        <w:t xml:space="preserve">. </w:t>
      </w:r>
    </w:p>
    <w:p w:rsidR="00506F9E" w:rsidRPr="0028364E" w:rsidRDefault="00506F9E" w:rsidP="00E258FE">
      <w:pPr>
        <w:rPr>
          <w:lang w:val="es-ES"/>
        </w:rPr>
      </w:pPr>
      <w:r w:rsidRPr="0028364E">
        <w:rPr>
          <w:lang w:val="es-ES"/>
        </w:rPr>
        <w:t>8</w:t>
      </w:r>
      <w:r w:rsidRPr="0028364E">
        <w:rPr>
          <w:lang w:val="es-ES"/>
        </w:rPr>
        <w:tab/>
        <w:t xml:space="preserve">Para las sesiones plenarias de la reunión, los días 19 y 21 de marzo de 2012, se posibilitará la participación a distancia, así como para las sesiones de la mañana del taller sobre innovación en las TIC, el 20 y el 21 de marzo de 2012. Se publicará más información sobre la participación a distancia en la página web de Grupo Temático: </w:t>
      </w:r>
      <w:r w:rsidR="00E258FE">
        <w:rPr>
          <w:lang w:val="es-ES"/>
        </w:rPr>
        <w:br/>
      </w:r>
      <w:hyperlink r:id="rId12" w:history="1">
        <w:r w:rsidR="00E258FE" w:rsidRPr="001F3AE7">
          <w:rPr>
            <w:rStyle w:val="Hyperlink"/>
            <w:lang w:val="es-ES"/>
          </w:rPr>
          <w:t>http://itu.int/en/ITU-T/focusgroups/innovation/</w:t>
        </w:r>
      </w:hyperlink>
      <w:r w:rsidRPr="0028364E">
        <w:rPr>
          <w:lang w:val="es-ES"/>
        </w:rPr>
        <w:t xml:space="preserve">. </w:t>
      </w:r>
    </w:p>
    <w:p w:rsidR="00506F9E" w:rsidRPr="0028364E" w:rsidRDefault="00506F9E" w:rsidP="00506F9E">
      <w:pPr>
        <w:rPr>
          <w:lang w:val="es-ES"/>
        </w:rPr>
      </w:pPr>
      <w:r w:rsidRPr="0028364E">
        <w:rPr>
          <w:lang w:val="es-ES"/>
        </w:rPr>
        <w:t>9</w:t>
      </w:r>
      <w:r w:rsidRPr="0028364E">
        <w:rPr>
          <w:lang w:val="es-ES"/>
        </w:rPr>
        <w:tab/>
        <w:t xml:space="preserve">Los temas de debate de la reunión se publicarán en la página web del Grupo Temático: </w:t>
      </w:r>
      <w:hyperlink r:id="rId13" w:history="1">
        <w:r w:rsidR="00E258FE" w:rsidRPr="001F3AE7">
          <w:rPr>
            <w:rStyle w:val="Hyperlink"/>
            <w:lang w:val="es-ES"/>
          </w:rPr>
          <w:t>http://itu.int/en/ITU-T/focusgroups/innovation/</w:t>
        </w:r>
      </w:hyperlink>
      <w:r w:rsidRPr="0028364E">
        <w:rPr>
          <w:lang w:val="es-ES"/>
        </w:rPr>
        <w:t xml:space="preserve">. En el </w:t>
      </w:r>
      <w:r w:rsidRPr="0028364E">
        <w:rPr>
          <w:b/>
          <w:bCs/>
          <w:lang w:val="es-ES"/>
        </w:rPr>
        <w:t>Anexo 2</w:t>
      </w:r>
      <w:r w:rsidRPr="0028364E">
        <w:rPr>
          <w:lang w:val="es-ES"/>
        </w:rPr>
        <w:t xml:space="preserve"> figura un proyecto de orden del día preparado por la dirección del Grupo Temático. La información relacionada con la reunión y las contribuciones recibidas también podrán consultarse en la página web del Grupo Temático.</w:t>
      </w:r>
    </w:p>
    <w:p w:rsidR="00506F9E" w:rsidRPr="0028364E" w:rsidRDefault="00506F9E" w:rsidP="00506F9E">
      <w:pPr>
        <w:rPr>
          <w:lang w:val="es-ES"/>
        </w:rPr>
      </w:pPr>
      <w:r w:rsidRPr="0028364E">
        <w:rPr>
          <w:lang w:val="es-ES"/>
        </w:rPr>
        <w:t>La reunión comenzará a las 14.00 horas del 19 de marzo de 2012. La inscripción de los participantes comenzará a las 13.30 horas en la entrada de Montbrillant. En las pantallas situadas en las puertas de entrada de la Sede de la UIT se dará información detallada sobre las salas de reunión. No hay cuota de inscripción para participar en esta reunión.</w:t>
      </w:r>
    </w:p>
    <w:p w:rsidR="00506F9E" w:rsidRPr="0028364E" w:rsidRDefault="00506F9E" w:rsidP="00506F9E">
      <w:pPr>
        <w:rPr>
          <w:lang w:val="es-ES"/>
        </w:rPr>
      </w:pPr>
      <w:r w:rsidRPr="0028364E">
        <w:rPr>
          <w:lang w:val="es-ES"/>
        </w:rPr>
        <w:t>Los debates se celebrarán exclusivamente en inglés.</w:t>
      </w:r>
    </w:p>
    <w:p w:rsidR="00506F9E" w:rsidRPr="0028364E" w:rsidRDefault="00506F9E" w:rsidP="00506F9E">
      <w:pPr>
        <w:rPr>
          <w:lang w:val="es-ES"/>
        </w:rPr>
      </w:pPr>
      <w:r w:rsidRPr="0028364E">
        <w:rPr>
          <w:lang w:val="es-ES"/>
        </w:rPr>
        <w:t>Los documentos para esta reunión se pondrán a disposición del público. Al preparar los documentos, utilice la plantilla básica para documentos de los Grupos Temáticos que encontrará en la página web del Grupo Temático. Los participantes presentarán sus contribuciones al Grupo Temático sobre innovación en formato electrónico mediante el procedimiento siguiente:</w:t>
      </w:r>
    </w:p>
    <w:p w:rsidR="00506F9E" w:rsidRPr="0028364E" w:rsidRDefault="00506F9E" w:rsidP="00506F9E">
      <w:pPr>
        <w:pStyle w:val="enumlev1"/>
        <w:rPr>
          <w:lang w:val="es-ES"/>
        </w:rPr>
      </w:pPr>
      <w:r w:rsidRPr="0028364E">
        <w:rPr>
          <w:lang w:val="es-ES"/>
        </w:rPr>
        <w:t>–</w:t>
      </w:r>
      <w:r w:rsidRPr="0028364E">
        <w:rPr>
          <w:lang w:val="es-ES"/>
        </w:rPr>
        <w:tab/>
        <w:t xml:space="preserve">comuníquese con la TSB en la dirección </w:t>
      </w:r>
      <w:hyperlink r:id="rId14" w:history="1">
        <w:r w:rsidRPr="0028364E">
          <w:rPr>
            <w:rStyle w:val="Hyperlink"/>
            <w:lang w:val="es-ES"/>
          </w:rPr>
          <w:t>tsbfginnovation@itu.int</w:t>
        </w:r>
      </w:hyperlink>
      <w:r w:rsidRPr="0028364E">
        <w:rPr>
          <w:lang w:val="es-ES"/>
        </w:rPr>
        <w:t xml:space="preserve"> a fin de que se le asigne un número (nnnn) a cada documento;</w:t>
      </w:r>
    </w:p>
    <w:p w:rsidR="00506F9E" w:rsidRPr="0028364E" w:rsidRDefault="00506F9E" w:rsidP="00506F9E">
      <w:pPr>
        <w:pStyle w:val="enumlev1"/>
        <w:rPr>
          <w:lang w:val="es-ES"/>
        </w:rPr>
      </w:pPr>
      <w:r w:rsidRPr="0028364E">
        <w:rPr>
          <w:lang w:val="es-ES"/>
        </w:rPr>
        <w:t>–</w:t>
      </w:r>
      <w:r w:rsidRPr="0028364E">
        <w:rPr>
          <w:lang w:val="es-ES"/>
        </w:rPr>
        <w:tab/>
        <w:t>prepare los documentos con el siguiente formato de nombre de archivo: innovation-i-nnnn (con la extensión de archivo que corresponda);</w:t>
      </w:r>
    </w:p>
    <w:p w:rsidR="00506F9E" w:rsidRPr="0028364E" w:rsidRDefault="00506F9E" w:rsidP="00506F9E">
      <w:pPr>
        <w:pStyle w:val="enumlev1"/>
        <w:rPr>
          <w:lang w:val="es-ES"/>
        </w:rPr>
      </w:pPr>
      <w:r w:rsidRPr="0028364E">
        <w:rPr>
          <w:lang w:val="es-ES"/>
        </w:rPr>
        <w:t>–</w:t>
      </w:r>
      <w:r w:rsidRPr="0028364E">
        <w:rPr>
          <w:lang w:val="es-ES"/>
        </w:rPr>
        <w:tab/>
        <w:t xml:space="preserve">utilizando un cliente FTP cargue el documento en la carpeta desplegable de documentos situada en la zona FTP del FG-Innovation: </w:t>
      </w:r>
    </w:p>
    <w:p w:rsidR="00506F9E" w:rsidRPr="0028364E" w:rsidRDefault="00506F9E" w:rsidP="00506F9E">
      <w:pPr>
        <w:pStyle w:val="enumlev1"/>
        <w:rPr>
          <w:lang w:val="es-ES"/>
        </w:rPr>
      </w:pPr>
      <w:r w:rsidRPr="0028364E">
        <w:rPr>
          <w:lang w:val="es-ES"/>
        </w:rPr>
        <w:tab/>
      </w:r>
      <w:r w:rsidRPr="0028364E">
        <w:rPr>
          <w:lang w:val="es-ES"/>
        </w:rPr>
        <w:tab/>
      </w:r>
      <w:r w:rsidRPr="0028364E">
        <w:rPr>
          <w:b/>
          <w:bCs/>
          <w:lang w:val="es-ES"/>
        </w:rPr>
        <w:t>Nombre de la computadora central (Host name):</w:t>
      </w:r>
      <w:r w:rsidRPr="0028364E">
        <w:rPr>
          <w:lang w:val="es-ES"/>
        </w:rPr>
        <w:t xml:space="preserve"> ifa.itu.int</w:t>
      </w:r>
      <w:r w:rsidRPr="0028364E">
        <w:rPr>
          <w:lang w:val="es-ES"/>
        </w:rPr>
        <w:br/>
      </w:r>
      <w:r w:rsidRPr="0028364E">
        <w:rPr>
          <w:lang w:val="es-ES"/>
        </w:rPr>
        <w:tab/>
      </w:r>
      <w:r w:rsidRPr="0028364E">
        <w:rPr>
          <w:b/>
          <w:bCs/>
          <w:lang w:val="es-ES"/>
        </w:rPr>
        <w:t>Ruta de acceso:</w:t>
      </w:r>
      <w:r w:rsidRPr="0028364E">
        <w:rPr>
          <w:lang w:val="es-ES"/>
        </w:rPr>
        <w:t xml:space="preserve"> /t/fg/innovation/docs/incoming</w:t>
      </w:r>
    </w:p>
    <w:p w:rsidR="00506F9E" w:rsidRPr="0028364E" w:rsidRDefault="00506F9E" w:rsidP="00506F9E">
      <w:pPr>
        <w:rPr>
          <w:lang w:val="es-ES"/>
        </w:rPr>
      </w:pPr>
      <w:r w:rsidRPr="0028364E">
        <w:rPr>
          <w:szCs w:val="24"/>
          <w:lang w:val="es-ES"/>
        </w:rPr>
        <w:t xml:space="preserve">NOTA – El contenido de la carpeta desplegable de documentos puede leerse con un explorador web en la dirección: </w:t>
      </w:r>
      <w:hyperlink r:id="rId15" w:history="1">
        <w:r w:rsidRPr="0028364E">
          <w:rPr>
            <w:rStyle w:val="Hyperlink"/>
            <w:lang w:val="es-ES"/>
          </w:rPr>
          <w:t>http://ifa.itu.int/t/fg/innovation/docs/incoming/</w:t>
        </w:r>
      </w:hyperlink>
      <w:r w:rsidRPr="0028364E">
        <w:rPr>
          <w:szCs w:val="24"/>
          <w:lang w:val="es-ES"/>
        </w:rPr>
        <w:t xml:space="preserve">. </w:t>
      </w:r>
    </w:p>
    <w:p w:rsidR="00506F9E" w:rsidRPr="0028364E" w:rsidRDefault="00506F9E" w:rsidP="00506F9E">
      <w:pPr>
        <w:tabs>
          <w:tab w:val="left" w:pos="1418"/>
          <w:tab w:val="left" w:pos="1702"/>
          <w:tab w:val="left" w:pos="2160"/>
        </w:tabs>
        <w:ind w:right="92"/>
        <w:rPr>
          <w:lang w:val="es-ES"/>
        </w:rPr>
      </w:pPr>
      <w:r w:rsidRPr="0028364E">
        <w:rPr>
          <w:szCs w:val="24"/>
          <w:lang w:val="es-ES"/>
        </w:rPr>
        <w:t xml:space="preserve">Los documentos serán tramitados por la TSB y trasladados a la carpeta correspondiente (lectura solamente): </w:t>
      </w:r>
      <w:hyperlink r:id="rId16" w:history="1">
        <w:r w:rsidRPr="0028364E">
          <w:rPr>
            <w:rStyle w:val="Hyperlink"/>
            <w:lang w:val="es-ES"/>
          </w:rPr>
          <w:t>http://ifa.itu.int/t/fg/innovation/docs/1203-gva/in/</w:t>
        </w:r>
      </w:hyperlink>
      <w:r w:rsidRPr="0028364E">
        <w:rPr>
          <w:szCs w:val="24"/>
          <w:lang w:val="es-ES"/>
        </w:rPr>
        <w:t xml:space="preserve"> </w:t>
      </w:r>
    </w:p>
    <w:p w:rsidR="00506F9E" w:rsidRPr="0028364E" w:rsidRDefault="00506F9E" w:rsidP="00506F9E">
      <w:pPr>
        <w:tabs>
          <w:tab w:val="left" w:pos="1418"/>
          <w:tab w:val="left" w:pos="1702"/>
          <w:tab w:val="left" w:pos="2160"/>
        </w:tabs>
        <w:ind w:right="92"/>
        <w:rPr>
          <w:lang w:val="es-ES"/>
        </w:rPr>
      </w:pPr>
      <w:r w:rsidRPr="0028364E">
        <w:rPr>
          <w:szCs w:val="24"/>
          <w:lang w:val="es-ES"/>
        </w:rPr>
        <w:t xml:space="preserve">De acuerdo con el equipo de dirección del Grupo Temático, el plazo para la presentación de documentos destinados a esta primera reunión vence el </w:t>
      </w:r>
      <w:r w:rsidRPr="0028364E">
        <w:rPr>
          <w:b/>
          <w:bCs/>
          <w:szCs w:val="24"/>
          <w:lang w:val="es-ES"/>
        </w:rPr>
        <w:t>12 de marzo de 2012.</w:t>
      </w:r>
      <w:r w:rsidRPr="0028364E">
        <w:rPr>
          <w:szCs w:val="24"/>
          <w:lang w:val="es-ES"/>
        </w:rPr>
        <w:t xml:space="preserve"> Rogamos tenga presente que no se utilizarán documentos impresos durante la reunión.</w:t>
      </w:r>
    </w:p>
    <w:p w:rsidR="00506F9E" w:rsidRPr="0028364E" w:rsidRDefault="00506F9E" w:rsidP="00506F9E">
      <w:pPr>
        <w:rPr>
          <w:lang w:val="es-ES"/>
        </w:rPr>
      </w:pPr>
      <w:r w:rsidRPr="0028364E">
        <w:rPr>
          <w:lang w:val="es-ES"/>
        </w:rPr>
        <w:t>10</w:t>
      </w:r>
      <w:r w:rsidRPr="0028364E">
        <w:rPr>
          <w:lang w:val="es-ES"/>
        </w:rPr>
        <w:tab/>
        <w:t xml:space="preserve">Los delegados disponen de instalaciones de red de área local inalámbrica en las zonas aledañas a las principales salas de conferencias de la UIT y en el Centro Internacional de </w:t>
      </w:r>
      <w:r w:rsidRPr="0028364E">
        <w:rPr>
          <w:lang w:val="es-ES"/>
        </w:rPr>
        <w:lastRenderedPageBreak/>
        <w:t>Conferencias de Ginebra (CICG). El acceso alámbrico sigue estando disponible en el edificio Montbrillant de la UIT. En la dirección web del UIT-T (</w:t>
      </w:r>
      <w:hyperlink r:id="rId17" w:history="1">
        <w:r w:rsidRPr="0028364E">
          <w:rPr>
            <w:rStyle w:val="Hyperlink"/>
            <w:lang w:val="es-ES"/>
          </w:rPr>
          <w:t>http://itu.int/ITU-T/edh/faqs-support.html</w:t>
        </w:r>
      </w:hyperlink>
      <w:r w:rsidRPr="0028364E">
        <w:rPr>
          <w:lang w:val="es-ES"/>
        </w:rPr>
        <w:t>) se puede encontrar información más detallada al respecto.</w:t>
      </w:r>
    </w:p>
    <w:p w:rsidR="00506F9E" w:rsidRPr="0028364E" w:rsidRDefault="00506F9E" w:rsidP="00506F9E">
      <w:pPr>
        <w:rPr>
          <w:lang w:val="es-ES"/>
        </w:rPr>
      </w:pPr>
      <w:r w:rsidRPr="0028364E">
        <w:rPr>
          <w:lang w:val="es-ES"/>
        </w:rPr>
        <w:t>11</w:t>
      </w:r>
      <w:r w:rsidRPr="0028364E">
        <w:rPr>
          <w:lang w:val="es-ES"/>
        </w:rPr>
        <w:tab/>
        <w:t xml:space="preserve">A fin de facilitar sus trámites, se adjunta como </w:t>
      </w:r>
      <w:r w:rsidRPr="0028364E">
        <w:rPr>
          <w:b/>
          <w:bCs/>
          <w:lang w:val="es-ES"/>
        </w:rPr>
        <w:t xml:space="preserve">Anexo 4 </w:t>
      </w:r>
      <w:r w:rsidRPr="0028364E">
        <w:rPr>
          <w:lang w:val="es-ES"/>
        </w:rPr>
        <w:t xml:space="preserve">un formulario de confirmación de hotel (véase </w:t>
      </w:r>
      <w:hyperlink r:id="rId18" w:history="1">
        <w:r w:rsidRPr="0028364E">
          <w:rPr>
            <w:rStyle w:val="Hyperlink"/>
            <w:lang w:val="es-ES"/>
          </w:rPr>
          <w:t>http://itu.int/travel/</w:t>
        </w:r>
      </w:hyperlink>
      <w:r w:rsidRPr="0028364E">
        <w:rPr>
          <w:lang w:val="es-ES"/>
        </w:rPr>
        <w:t xml:space="preserve"> para la lista de hoteles).</w:t>
      </w:r>
    </w:p>
    <w:p w:rsidR="00506F9E" w:rsidRPr="0028364E" w:rsidRDefault="00506F9E" w:rsidP="00506F9E">
      <w:pPr>
        <w:ind w:right="91"/>
        <w:rPr>
          <w:b/>
          <w:bCs/>
          <w:i/>
          <w:iCs/>
          <w:lang w:val="es-ES"/>
        </w:rPr>
      </w:pPr>
      <w:r w:rsidRPr="0028364E">
        <w:rPr>
          <w:szCs w:val="24"/>
          <w:lang w:val="es-ES"/>
        </w:rPr>
        <w:t>12</w:t>
      </w:r>
      <w:r w:rsidRPr="0028364E">
        <w:rPr>
          <w:szCs w:val="24"/>
          <w:lang w:val="es-ES"/>
        </w:rPr>
        <w:tab/>
        <w:t>A fin de que la TSB pueda tomar las disposiciones necesarias para la organización de la reunión del Grupo Temático, le ruego se inscriba a la mayor brevedad posible por medio del formulario en línea (</w:t>
      </w:r>
      <w:hyperlink r:id="rId19" w:history="1">
        <w:r w:rsidRPr="0028364E">
          <w:rPr>
            <w:color w:val="0000FF"/>
            <w:szCs w:val="24"/>
            <w:u w:val="single"/>
            <w:lang w:val="es-ES"/>
          </w:rPr>
          <w:t>http://itu.int/reg/tsg/3000358</w:t>
        </w:r>
      </w:hyperlink>
      <w:r w:rsidRPr="0028364E">
        <w:rPr>
          <w:szCs w:val="24"/>
          <w:lang w:val="es-ES"/>
        </w:rPr>
        <w:t xml:space="preserve">), y </w:t>
      </w:r>
      <w:r w:rsidRPr="0028364E">
        <w:rPr>
          <w:b/>
          <w:bCs/>
          <w:szCs w:val="24"/>
          <w:lang w:val="es-ES"/>
        </w:rPr>
        <w:t>a más tardar el 5 de marzo de 2012</w:t>
      </w:r>
      <w:r w:rsidRPr="0028364E">
        <w:rPr>
          <w:b/>
          <w:bCs/>
          <w:i/>
          <w:iCs/>
          <w:szCs w:val="24"/>
          <w:lang w:val="es-ES"/>
        </w:rPr>
        <w:t>.</w:t>
      </w:r>
      <w:r w:rsidRPr="0028364E">
        <w:rPr>
          <w:szCs w:val="24"/>
          <w:lang w:val="es-ES"/>
        </w:rPr>
        <w:t xml:space="preserve"> </w:t>
      </w:r>
      <w:r w:rsidRPr="0028364E">
        <w:rPr>
          <w:b/>
          <w:bCs/>
          <w:szCs w:val="24"/>
          <w:lang w:val="es-ES"/>
        </w:rPr>
        <w:t xml:space="preserve">Le ruego que tome nota de que la preinscripción de los participantes en la reunión se lleva a cabo exclusivamente </w:t>
      </w:r>
      <w:r w:rsidRPr="0028364E">
        <w:rPr>
          <w:b/>
          <w:bCs/>
          <w:i/>
          <w:iCs/>
          <w:szCs w:val="24"/>
          <w:lang w:val="es-ES"/>
        </w:rPr>
        <w:t xml:space="preserve">en línea. </w:t>
      </w:r>
      <w:r w:rsidRPr="0028364E">
        <w:rPr>
          <w:szCs w:val="24"/>
          <w:lang w:val="es-ES"/>
        </w:rPr>
        <w:t xml:space="preserve">A fin de que podamos enviarle la información más reciente sobre la planificación de la </w:t>
      </w:r>
      <w:r>
        <w:rPr>
          <w:szCs w:val="24"/>
          <w:lang w:val="es-ES"/>
        </w:rPr>
        <w:t xml:space="preserve">reunión, le rogamos indique su </w:t>
      </w:r>
      <w:r w:rsidRPr="0028364E">
        <w:rPr>
          <w:szCs w:val="24"/>
          <w:lang w:val="es-ES"/>
        </w:rPr>
        <w:t>dirección de correo-e en el formulario de inscripción.</w:t>
      </w:r>
    </w:p>
    <w:p w:rsidR="00506F9E" w:rsidRPr="0028364E" w:rsidRDefault="00506F9E" w:rsidP="00506F9E">
      <w:pPr>
        <w:rPr>
          <w:lang w:val="es-ES"/>
        </w:rPr>
      </w:pPr>
      <w:r w:rsidRPr="0028364E">
        <w:rPr>
          <w:lang w:val="es-ES"/>
        </w:rPr>
        <w:t>13</w:t>
      </w:r>
      <w:r w:rsidRPr="0028364E">
        <w:rPr>
          <w:lang w:val="es-ES"/>
        </w:rPr>
        <w:tab/>
        <w:t>Le recordamos que los ciudadanos procedentes de ciertos países necesitan visado para entrar y permanecer en Suiza.</w:t>
      </w:r>
      <w:r w:rsidRPr="0028364E">
        <w:rPr>
          <w:b/>
          <w:bCs/>
          <w:lang w:val="es-ES"/>
        </w:rPr>
        <w:t xml:space="preserve"> Ese visado debe solicitarse al menos cuatro (4) semanas antes de la fecha de inicio de la reunión </w:t>
      </w:r>
      <w:r w:rsidRPr="0028364E">
        <w:rPr>
          <w:lang w:val="es-ES"/>
        </w:rPr>
        <w:t>en la oficina (embajada o consulado) que representa a Suiza en su país o, en su defecto, en la más próxima a su país de partida.</w:t>
      </w:r>
    </w:p>
    <w:p w:rsidR="00506F9E" w:rsidRPr="0028364E" w:rsidRDefault="00506F9E" w:rsidP="00506F9E">
      <w:pPr>
        <w:rPr>
          <w:lang w:val="es-ES"/>
        </w:rPr>
      </w:pPr>
      <w:r w:rsidRPr="0028364E">
        <w:rPr>
          <w:lang w:val="es-ES"/>
        </w:rPr>
        <w:t xml:space="preserve">Si un </w:t>
      </w:r>
      <w:r w:rsidRPr="0028364E">
        <w:rPr>
          <w:b/>
          <w:bCs/>
          <w:lang w:val="es-ES"/>
        </w:rPr>
        <w:t>Estado Miembro, un Miembro de Sector, un Asociado o una Institución Académica</w:t>
      </w:r>
      <w:r w:rsidRPr="0028364E">
        <w:rPr>
          <w:lang w:val="es-ES"/>
        </w:rPr>
        <w:t xml:space="preserve"> de la UIT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UIT-T correspondiente, y remitirse a la TSB con la indicación </w:t>
      </w:r>
      <w:r w:rsidRPr="0028364E">
        <w:rPr>
          <w:b/>
          <w:bCs/>
          <w:lang w:val="es-ES"/>
        </w:rPr>
        <w:t>"solicitud de visado"</w:t>
      </w:r>
      <w:r>
        <w:rPr>
          <w:lang w:val="es-ES"/>
        </w:rPr>
        <w:t>, por fax (</w:t>
      </w:r>
      <w:r w:rsidRPr="0028364E">
        <w:rPr>
          <w:lang w:val="es-ES"/>
        </w:rPr>
        <w:t>+41 22 730 5853) o correo electrónico (</w:t>
      </w:r>
      <w:hyperlink r:id="rId20" w:history="1">
        <w:r w:rsidRPr="0028364E">
          <w:rPr>
            <w:color w:val="0000FF"/>
            <w:u w:val="single"/>
            <w:lang w:val="es-ES"/>
          </w:rPr>
          <w:t>tsbreg@itu.int</w:t>
        </w:r>
      </w:hyperlink>
      <w:r w:rsidRPr="0028364E">
        <w:rPr>
          <w:lang w:val="es-ES"/>
        </w:rPr>
        <w:t>).</w:t>
      </w:r>
      <w:r w:rsidRPr="0028364E">
        <w:rPr>
          <w:b/>
          <w:bCs/>
          <w:u w:val="single"/>
          <w:lang w:val="es-ES"/>
        </w:rPr>
        <w:t xml:space="preserve"> Sírvase tomar nota de que la UIT puede ayudar únicamente a los representantes de los Estados Miembros, Miembros de Sector, Asociados o Instituciones Académicas de la UIT</w:t>
      </w:r>
      <w:r w:rsidRPr="0028364E">
        <w:rPr>
          <w:b/>
          <w:bCs/>
          <w:lang w:val="es-ES"/>
        </w:rPr>
        <w:t>.</w:t>
      </w:r>
    </w:p>
    <w:p w:rsidR="00506F9E" w:rsidRPr="0028364E" w:rsidRDefault="00506F9E" w:rsidP="00506F9E">
      <w:pPr>
        <w:spacing w:before="480"/>
        <w:ind w:right="92"/>
        <w:rPr>
          <w:lang w:val="es-ES"/>
        </w:rPr>
      </w:pPr>
      <w:r w:rsidRPr="0028364E">
        <w:rPr>
          <w:szCs w:val="24"/>
          <w:lang w:val="es-ES"/>
        </w:rPr>
        <w:t>Con este motivo, lo saluda atentamente.</w:t>
      </w:r>
    </w:p>
    <w:p w:rsidR="00506F9E" w:rsidRDefault="00506F9E" w:rsidP="00506F9E">
      <w:pPr>
        <w:pStyle w:val="BodyText3"/>
        <w:spacing w:before="1680"/>
        <w:rPr>
          <w:rFonts w:eastAsia="Times New Roman"/>
          <w:sz w:val="24"/>
          <w:szCs w:val="24"/>
          <w:lang w:val="es-ES"/>
        </w:rPr>
      </w:pPr>
      <w:r w:rsidRPr="0028364E">
        <w:rPr>
          <w:rFonts w:eastAsia="Times New Roman"/>
          <w:sz w:val="24"/>
          <w:szCs w:val="24"/>
          <w:lang w:val="es-ES"/>
        </w:rPr>
        <w:t>Malcolm Johnson</w:t>
      </w:r>
      <w:r w:rsidRPr="0028364E">
        <w:rPr>
          <w:rFonts w:eastAsia="Times New Roman"/>
          <w:sz w:val="24"/>
          <w:szCs w:val="24"/>
          <w:lang w:val="es-ES"/>
        </w:rPr>
        <w:br/>
        <w:t>Director de la Oficina de Normalización</w:t>
      </w:r>
      <w:r w:rsidRPr="0028364E">
        <w:rPr>
          <w:rFonts w:eastAsia="Times New Roman"/>
          <w:sz w:val="24"/>
          <w:szCs w:val="24"/>
          <w:lang w:val="es-ES"/>
        </w:rPr>
        <w:br/>
        <w:t>de las Telecomunicaciones</w:t>
      </w:r>
    </w:p>
    <w:p w:rsidR="00506F9E" w:rsidRDefault="00506F9E" w:rsidP="00506F9E">
      <w:pPr>
        <w:rPr>
          <w:lang w:val="es-ES"/>
        </w:rPr>
      </w:pPr>
    </w:p>
    <w:p w:rsidR="00506F9E" w:rsidRDefault="00506F9E" w:rsidP="00506F9E">
      <w:pPr>
        <w:rPr>
          <w:lang w:val="es-ES"/>
        </w:rPr>
      </w:pPr>
    </w:p>
    <w:p w:rsidR="00506F9E" w:rsidRDefault="00506F9E" w:rsidP="00506F9E">
      <w:pPr>
        <w:rPr>
          <w:lang w:val="es-ES"/>
        </w:rPr>
      </w:pPr>
      <w:r w:rsidRPr="001F7528">
        <w:rPr>
          <w:b/>
          <w:bCs/>
          <w:lang w:val="es-ES"/>
        </w:rPr>
        <w:t>Anexos:</w:t>
      </w:r>
      <w:r>
        <w:rPr>
          <w:lang w:val="es-ES"/>
        </w:rPr>
        <w:t xml:space="preserve"> 4</w:t>
      </w:r>
    </w:p>
    <w:p w:rsidR="00506F9E" w:rsidRPr="001F7528" w:rsidRDefault="00506F9E" w:rsidP="00506F9E">
      <w:pPr>
        <w:pStyle w:val="BodyText3"/>
        <w:spacing w:before="0"/>
        <w:rPr>
          <w:sz w:val="10"/>
          <w:szCs w:val="10"/>
          <w:lang w:val="es-ES"/>
        </w:rPr>
      </w:pPr>
    </w:p>
    <w:p w:rsidR="00506F9E" w:rsidRPr="001F7528" w:rsidRDefault="00506F9E" w:rsidP="00506F9E">
      <w:pPr>
        <w:spacing w:before="0"/>
        <w:rPr>
          <w:sz w:val="10"/>
          <w:szCs w:val="10"/>
          <w:lang w:val="es-ES"/>
        </w:rPr>
        <w:sectPr w:rsidR="00506F9E" w:rsidRPr="001F7528" w:rsidSect="000C5C84">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567" w:footer="567" w:gutter="0"/>
          <w:paperSrc w:first="15" w:other="15"/>
          <w:pgNumType w:start="1"/>
          <w:cols w:space="720"/>
          <w:titlePg/>
        </w:sectPr>
      </w:pPr>
    </w:p>
    <w:p w:rsidR="00506F9E" w:rsidRPr="0028364E" w:rsidRDefault="00506F9E" w:rsidP="00506F9E">
      <w:pPr>
        <w:pStyle w:val="Annex"/>
        <w:rPr>
          <w:lang w:val="es-ES"/>
        </w:rPr>
      </w:pPr>
      <w:r w:rsidRPr="0028364E">
        <w:rPr>
          <w:lang w:val="es-ES"/>
        </w:rPr>
        <w:lastRenderedPageBreak/>
        <w:t>ANEXO 1</w:t>
      </w:r>
      <w:r w:rsidRPr="0028364E">
        <w:rPr>
          <w:lang w:val="es-ES"/>
        </w:rPr>
        <w:br/>
        <w:t>(</w:t>
      </w:r>
      <w:r w:rsidRPr="0028364E">
        <w:rPr>
          <w:caps w:val="0"/>
          <w:lang w:val="es-ES"/>
        </w:rPr>
        <w:t xml:space="preserve">a la Circular </w:t>
      </w:r>
      <w:r w:rsidRPr="0028364E">
        <w:rPr>
          <w:lang w:val="es-ES"/>
        </w:rPr>
        <w:t>TSB 253)</w:t>
      </w:r>
    </w:p>
    <w:p w:rsidR="00506F9E" w:rsidRPr="0028364E" w:rsidRDefault="00506F9E" w:rsidP="00506F9E">
      <w:pPr>
        <w:pStyle w:val="AnnexTitle"/>
        <w:rPr>
          <w:lang w:val="es-ES" w:eastAsia="ko-KR"/>
        </w:rPr>
      </w:pPr>
      <w:r w:rsidRPr="0028364E">
        <w:rPr>
          <w:lang w:val="es-ES" w:eastAsia="ko-KR"/>
        </w:rPr>
        <w:t>Mandato del Grupo Temático "Reducción de la brecha:</w:t>
      </w:r>
      <w:r w:rsidRPr="0028364E">
        <w:rPr>
          <w:lang w:val="es-ES" w:eastAsia="ko-KR"/>
        </w:rPr>
        <w:br/>
        <w:t>de la innovación a las normas"</w:t>
      </w:r>
    </w:p>
    <w:p w:rsidR="00506F9E" w:rsidRPr="0028364E" w:rsidRDefault="00506F9E" w:rsidP="00506F9E">
      <w:pPr>
        <w:pStyle w:val="Normalaftertitle"/>
        <w:rPr>
          <w:lang w:val="es-ES" w:eastAsia="ko-KR"/>
        </w:rPr>
      </w:pPr>
      <w:r w:rsidRPr="0028364E">
        <w:rPr>
          <w:lang w:val="es-ES" w:eastAsia="ko-KR"/>
        </w:rPr>
        <w:t xml:space="preserve">El Grupo Temático se establece de conformidad con la Recomendación UIT-T A.7. </w:t>
      </w:r>
    </w:p>
    <w:p w:rsidR="00506F9E" w:rsidRPr="0028364E" w:rsidRDefault="00506F9E" w:rsidP="00506F9E">
      <w:pPr>
        <w:pStyle w:val="Heading1"/>
        <w:rPr>
          <w:lang w:val="es-ES" w:eastAsia="en-CA"/>
        </w:rPr>
      </w:pPr>
      <w:r w:rsidRPr="0028364E">
        <w:rPr>
          <w:lang w:val="es-ES" w:eastAsia="en-CA"/>
        </w:rPr>
        <w:t>1</w:t>
      </w:r>
      <w:r w:rsidRPr="0028364E">
        <w:rPr>
          <w:lang w:val="es-ES" w:eastAsia="en-CA"/>
        </w:rPr>
        <w:tab/>
        <w:t>Justificación y alcance</w:t>
      </w:r>
    </w:p>
    <w:p w:rsidR="00506F9E" w:rsidRPr="0028364E" w:rsidRDefault="00506F9E" w:rsidP="00506F9E">
      <w:pPr>
        <w:rPr>
          <w:szCs w:val="24"/>
          <w:lang w:val="es-ES"/>
        </w:rPr>
      </w:pPr>
      <w:r w:rsidRPr="0028364E">
        <w:rPr>
          <w:szCs w:val="24"/>
          <w:lang w:val="es-ES"/>
        </w:rPr>
        <w:t>Las TIC son fundamentales para posibilitar que los países en desarrollo satisfagan los Objetivos de Desarrollo del Milenio (ODM) y para reducir la brecha digital. El desarrollo de las TIC que producen las innovaciones y las normas es un factor importante que puede facilitar el crecimiento socioeconómico. Las innovaciones en las TIC y las normas relacionadas pueden reducir la brecha digital y repercutir positivamente en las vidas de las personas.</w:t>
      </w:r>
    </w:p>
    <w:p w:rsidR="00506F9E" w:rsidRPr="0028364E" w:rsidRDefault="00506F9E" w:rsidP="00506F9E">
      <w:pPr>
        <w:tabs>
          <w:tab w:val="left" w:pos="720"/>
        </w:tabs>
        <w:overflowPunct/>
        <w:rPr>
          <w:szCs w:val="24"/>
          <w:lang w:val="es-ES"/>
        </w:rPr>
      </w:pPr>
      <w:r w:rsidRPr="0028364E">
        <w:rPr>
          <w:szCs w:val="24"/>
          <w:lang w:val="es-ES"/>
        </w:rPr>
        <w:t xml:space="preserve">Este Grupo Temático proporciona una plataforma desde la cual se reconozcan y se identifiquen las innovaciones que surgen en los países en desarrollo susceptibles de beneficiarse de la normalización y del apoyo que ofrece el Sector UIT-T en dicha normalización. </w:t>
      </w:r>
    </w:p>
    <w:p w:rsidR="00506F9E" w:rsidRPr="0028364E" w:rsidRDefault="00506F9E" w:rsidP="00506F9E">
      <w:pPr>
        <w:rPr>
          <w:lang w:val="es-ES"/>
        </w:rPr>
      </w:pPr>
      <w:r w:rsidRPr="0028364E">
        <w:rPr>
          <w:lang w:val="es-ES"/>
        </w:rPr>
        <w:t xml:space="preserve">El objetivo principal es respaldar las actividades de las Comisiones de Estudio del </w:t>
      </w:r>
      <w:r>
        <w:rPr>
          <w:lang w:val="es-ES"/>
        </w:rPr>
        <w:t>UIT</w:t>
      </w:r>
      <w:r w:rsidRPr="0028364E">
        <w:rPr>
          <w:lang w:val="es-ES"/>
        </w:rPr>
        <w:t xml:space="preserve">-T para contribuir mejor a la innovación y cerrar la brecha digital (Resolución 71 de la PP-10). </w:t>
      </w:r>
    </w:p>
    <w:p w:rsidR="00506F9E" w:rsidRPr="0028364E" w:rsidRDefault="00506F9E" w:rsidP="00506F9E">
      <w:pPr>
        <w:rPr>
          <w:b/>
          <w:bCs/>
          <w:lang w:val="es-ES" w:eastAsia="en-CA"/>
        </w:rPr>
      </w:pPr>
      <w:r w:rsidRPr="0028364E">
        <w:rPr>
          <w:lang w:val="es-ES" w:eastAsia="en-CA"/>
        </w:rPr>
        <w:t>Este Grupo Temático no tiene la intención de duplicar los esfuerzos de los demás, se beneficiará del trabajo y la experiencia existentes. Este Grupo Temático cooperará intensamente con proyectos dentro del UIT-T, como Tech Watch, y de fuera, especialmente con el UIT-D, en particular con sus actividades sobre innovación y con el contacto CE 2 Q.9-3 del UIT-D. Este Grupo Temático se pondrá en contacto, según proceda, por conducto del Director de la TSB con el GADT.</w:t>
      </w:r>
    </w:p>
    <w:p w:rsidR="00506F9E" w:rsidRPr="0028364E" w:rsidRDefault="00506F9E" w:rsidP="00506F9E">
      <w:pPr>
        <w:pStyle w:val="Heading1"/>
        <w:rPr>
          <w:lang w:val="es-ES" w:eastAsia="en-CA"/>
        </w:rPr>
      </w:pPr>
      <w:r w:rsidRPr="0028364E">
        <w:rPr>
          <w:lang w:val="es-ES" w:eastAsia="en-CA"/>
        </w:rPr>
        <w:t>2</w:t>
      </w:r>
      <w:r w:rsidRPr="0028364E">
        <w:rPr>
          <w:lang w:val="es-ES" w:eastAsia="en-CA"/>
        </w:rPr>
        <w:tab/>
        <w:t>Plan de acción</w:t>
      </w:r>
    </w:p>
    <w:p w:rsidR="00506F9E" w:rsidRPr="0028364E" w:rsidRDefault="00506F9E" w:rsidP="00506F9E">
      <w:pPr>
        <w:rPr>
          <w:lang w:val="es-ES" w:eastAsia="en-CA"/>
        </w:rPr>
      </w:pPr>
      <w:r w:rsidRPr="0028364E">
        <w:rPr>
          <w:lang w:val="es-ES" w:eastAsia="en-CA"/>
        </w:rPr>
        <w:t>El Grupo Temático aborda los siguientes temas:</w:t>
      </w:r>
    </w:p>
    <w:p w:rsidR="00506F9E" w:rsidRPr="0028364E" w:rsidRDefault="00506F9E" w:rsidP="00506F9E">
      <w:pPr>
        <w:pStyle w:val="enumlev1"/>
        <w:rPr>
          <w:lang w:val="es-ES"/>
        </w:rPr>
      </w:pPr>
      <w:r w:rsidRPr="0028364E">
        <w:rPr>
          <w:lang w:val="es-ES"/>
        </w:rPr>
        <w:t>–</w:t>
      </w:r>
      <w:r w:rsidRPr="0028364E">
        <w:rPr>
          <w:lang w:val="es-ES"/>
        </w:rPr>
        <w:tab/>
        <w:t>En cooperación con el UIT-D, documenta estudios de caso</w:t>
      </w:r>
      <w:r>
        <w:rPr>
          <w:lang w:val="es-ES"/>
        </w:rPr>
        <w:t>s</w:t>
      </w:r>
      <w:r w:rsidRPr="0028364E">
        <w:rPr>
          <w:lang w:val="es-ES"/>
        </w:rPr>
        <w:t xml:space="preserve"> que representan ejemplos de éxito sobre innovaciones en las TIC, incluidos los que han surgido en los países en desarrollo, e identifica las lagunas de normalización pertinentes. Se prestará especial atención al impacto socioeconómico provocado por las innovaciones en las TIC que hayan surgido en los países en desarrollo.</w:t>
      </w:r>
    </w:p>
    <w:p w:rsidR="00506F9E" w:rsidRPr="0028364E" w:rsidRDefault="00506F9E" w:rsidP="00506F9E">
      <w:pPr>
        <w:pStyle w:val="enumlev1"/>
        <w:rPr>
          <w:lang w:val="es-ES"/>
        </w:rPr>
      </w:pPr>
      <w:r w:rsidRPr="0028364E">
        <w:rPr>
          <w:lang w:val="es-ES"/>
        </w:rPr>
        <w:t>–</w:t>
      </w:r>
      <w:r w:rsidRPr="0028364E">
        <w:rPr>
          <w:lang w:val="es-ES"/>
        </w:rPr>
        <w:tab/>
        <w:t>Analiza las innovaciones que pueden ser objeto de normalización e identifican las mejores prácticas que pueden facilitar la aplicación de tales innovaciones en otras partes del mundo.</w:t>
      </w:r>
    </w:p>
    <w:p w:rsidR="00506F9E" w:rsidRPr="0028364E" w:rsidRDefault="00506F9E" w:rsidP="00506F9E">
      <w:pPr>
        <w:pStyle w:val="enumlev1"/>
        <w:rPr>
          <w:lang w:val="es-ES"/>
        </w:rPr>
      </w:pPr>
      <w:r w:rsidRPr="0028364E">
        <w:rPr>
          <w:lang w:val="es-ES"/>
        </w:rPr>
        <w:t>–</w:t>
      </w:r>
      <w:r w:rsidRPr="0028364E">
        <w:rPr>
          <w:lang w:val="es-ES"/>
        </w:rPr>
        <w:tab/>
        <w:t>Identifica algunos estudios de casos que, en particular, pueden aplicar los países en desarrollo para aumentar sus capacidades de innovación en las TIC y de normalización con el fin de mejorar su desarrollo socioeconómico.</w:t>
      </w:r>
    </w:p>
    <w:p w:rsidR="00506F9E" w:rsidRPr="0028364E" w:rsidRDefault="00506F9E" w:rsidP="00506F9E">
      <w:pPr>
        <w:pStyle w:val="enumlev1"/>
        <w:rPr>
          <w:lang w:val="es-ES"/>
        </w:rPr>
      </w:pPr>
      <w:r w:rsidRPr="0028364E">
        <w:rPr>
          <w:lang w:val="es-ES"/>
        </w:rPr>
        <w:t>–</w:t>
      </w:r>
      <w:r w:rsidRPr="0028364E">
        <w:rPr>
          <w:lang w:val="es-ES"/>
        </w:rPr>
        <w:tab/>
        <w:t xml:space="preserve">Identifica los problemas que los países en desarrollo puede estar enfrentando para traer sus innovaciones en las TIC al </w:t>
      </w:r>
      <w:r>
        <w:rPr>
          <w:lang w:val="es-ES"/>
        </w:rPr>
        <w:t>UIT</w:t>
      </w:r>
      <w:r w:rsidRPr="0028364E">
        <w:rPr>
          <w:lang w:val="es-ES"/>
        </w:rPr>
        <w:t>-T.</w:t>
      </w:r>
    </w:p>
    <w:p w:rsidR="00506F9E" w:rsidRPr="0028364E" w:rsidRDefault="00506F9E" w:rsidP="00506F9E">
      <w:pPr>
        <w:pStyle w:val="enumlev1"/>
        <w:rPr>
          <w:lang w:val="es-ES"/>
        </w:rPr>
      </w:pPr>
      <w:r w:rsidRPr="0028364E">
        <w:rPr>
          <w:lang w:val="es-ES"/>
        </w:rPr>
        <w:t>–</w:t>
      </w:r>
      <w:r w:rsidRPr="0028364E">
        <w:rPr>
          <w:lang w:val="es-ES"/>
        </w:rPr>
        <w:tab/>
        <w:t xml:space="preserve">Sugiere futuros temas de estudio del </w:t>
      </w:r>
      <w:r>
        <w:rPr>
          <w:lang w:val="es-ES"/>
        </w:rPr>
        <w:t>UIT</w:t>
      </w:r>
      <w:r w:rsidRPr="0028364E">
        <w:rPr>
          <w:lang w:val="es-ES"/>
        </w:rPr>
        <w:t>-T y acciones relacionadas.</w:t>
      </w:r>
    </w:p>
    <w:p w:rsidR="00506F9E" w:rsidRPr="0028364E" w:rsidRDefault="00506F9E" w:rsidP="00506F9E">
      <w:pPr>
        <w:pStyle w:val="enumlev1"/>
        <w:rPr>
          <w:lang w:val="es-ES"/>
        </w:rPr>
      </w:pPr>
      <w:r w:rsidRPr="0028364E">
        <w:rPr>
          <w:lang w:val="es-ES"/>
        </w:rPr>
        <w:t>–</w:t>
      </w:r>
      <w:r w:rsidRPr="0028364E">
        <w:rPr>
          <w:lang w:val="es-ES"/>
        </w:rPr>
        <w:tab/>
        <w:t>Examina cómo otras organizaciones de normalización, foros y consorcios abordan la innovación en las TIC y las integran en sus actividades de normalización.</w:t>
      </w:r>
    </w:p>
    <w:p w:rsidR="00506F9E" w:rsidRPr="0028364E" w:rsidRDefault="00506F9E" w:rsidP="00506F9E">
      <w:pPr>
        <w:pStyle w:val="enumlev1"/>
        <w:rPr>
          <w:lang w:val="es-ES" w:eastAsia="en-CA"/>
        </w:rPr>
      </w:pPr>
      <w:r w:rsidRPr="0028364E">
        <w:rPr>
          <w:lang w:val="es-ES"/>
        </w:rPr>
        <w:t>–</w:t>
      </w:r>
      <w:r w:rsidRPr="0028364E">
        <w:rPr>
          <w:lang w:val="es-ES"/>
        </w:rPr>
        <w:tab/>
      </w:r>
      <w:r w:rsidRPr="0028364E">
        <w:rPr>
          <w:lang w:val="es-ES" w:eastAsia="en-CA"/>
        </w:rPr>
        <w:t>Promueve su actividad en la reunión de la Asamblea Mundial de Normalización de las Telecomunicaciones (AMNT) de noviembre de 2012.</w:t>
      </w:r>
    </w:p>
    <w:p w:rsidR="00506F9E" w:rsidRPr="0028364E" w:rsidRDefault="00506F9E" w:rsidP="00506F9E">
      <w:pPr>
        <w:pStyle w:val="Heading1"/>
        <w:rPr>
          <w:lang w:val="es-ES" w:eastAsia="en-CA"/>
        </w:rPr>
      </w:pPr>
      <w:r w:rsidRPr="0028364E">
        <w:rPr>
          <w:lang w:val="es-ES" w:eastAsia="en-CA"/>
        </w:rPr>
        <w:lastRenderedPageBreak/>
        <w:t>3</w:t>
      </w:r>
      <w:r w:rsidRPr="0028364E">
        <w:rPr>
          <w:lang w:val="es-ES" w:eastAsia="en-CA"/>
        </w:rPr>
        <w:tab/>
        <w:t>Grupo tutor</w:t>
      </w:r>
    </w:p>
    <w:p w:rsidR="00506F9E" w:rsidRPr="0028364E" w:rsidRDefault="00506F9E" w:rsidP="00506F9E">
      <w:pPr>
        <w:rPr>
          <w:b/>
          <w:bCs/>
          <w:lang w:val="es-ES" w:eastAsia="en-CA"/>
        </w:rPr>
      </w:pPr>
      <w:r w:rsidRPr="0028364E">
        <w:rPr>
          <w:lang w:val="es-ES" w:eastAsia="en-CA"/>
        </w:rPr>
        <w:t>El grupo tutor es el GANT.</w:t>
      </w:r>
    </w:p>
    <w:p w:rsidR="00506F9E" w:rsidRPr="0028364E" w:rsidRDefault="00506F9E" w:rsidP="00506F9E">
      <w:pPr>
        <w:pStyle w:val="Heading1"/>
        <w:rPr>
          <w:lang w:val="es-ES" w:eastAsia="en-CA"/>
        </w:rPr>
      </w:pPr>
      <w:r w:rsidRPr="0028364E">
        <w:rPr>
          <w:lang w:val="es-ES" w:eastAsia="en-CA"/>
        </w:rPr>
        <w:t>4</w:t>
      </w:r>
      <w:r w:rsidRPr="0028364E">
        <w:rPr>
          <w:lang w:val="es-ES" w:eastAsia="en-CA"/>
        </w:rPr>
        <w:tab/>
        <w:t>Resultados previstos</w:t>
      </w:r>
    </w:p>
    <w:p w:rsidR="00506F9E" w:rsidRPr="0028364E" w:rsidRDefault="00506F9E" w:rsidP="00506F9E">
      <w:pPr>
        <w:rPr>
          <w:lang w:val="es-ES" w:eastAsia="en-CA"/>
        </w:rPr>
      </w:pPr>
      <w:r w:rsidRPr="0028364E">
        <w:rPr>
          <w:lang w:val="es-ES" w:eastAsia="en-CA"/>
        </w:rPr>
        <w:t>Se espera que Grupo Temático produzca lo siguiente:</w:t>
      </w:r>
    </w:p>
    <w:p w:rsidR="00506F9E" w:rsidRPr="0028364E" w:rsidRDefault="00506F9E" w:rsidP="00506F9E">
      <w:pPr>
        <w:pStyle w:val="enumlev1"/>
        <w:rPr>
          <w:lang w:val="es-ES" w:eastAsia="en-CA"/>
        </w:rPr>
      </w:pPr>
      <w:r w:rsidRPr="0028364E">
        <w:rPr>
          <w:lang w:val="es-ES"/>
        </w:rPr>
        <w:t>–</w:t>
      </w:r>
      <w:r w:rsidRPr="0028364E">
        <w:rPr>
          <w:lang w:val="es-ES"/>
        </w:rPr>
        <w:tab/>
      </w:r>
      <w:r w:rsidRPr="0028364E">
        <w:rPr>
          <w:lang w:val="es-ES" w:eastAsia="en-CA"/>
        </w:rPr>
        <w:t>Informe sobre casos de éxito de innovaciones en las TIC en distintos sectores económicos de diversas zonas geográficas que pueden beneficiarse de la normalización en el UIT-T (Informe sobre innovaciones).</w:t>
      </w:r>
    </w:p>
    <w:p w:rsidR="00506F9E" w:rsidRPr="0028364E" w:rsidRDefault="00506F9E" w:rsidP="00506F9E">
      <w:pPr>
        <w:pStyle w:val="enumlev1"/>
        <w:rPr>
          <w:lang w:val="es-ES" w:eastAsia="en-CA"/>
        </w:rPr>
      </w:pPr>
      <w:r w:rsidRPr="0028364E">
        <w:rPr>
          <w:lang w:val="es-ES"/>
        </w:rPr>
        <w:t>–</w:t>
      </w:r>
      <w:r w:rsidRPr="0028364E">
        <w:rPr>
          <w:lang w:val="es-ES"/>
        </w:rPr>
        <w:tab/>
      </w:r>
      <w:r w:rsidRPr="0028364E">
        <w:rPr>
          <w:lang w:val="es-ES" w:eastAsia="en-CA"/>
        </w:rPr>
        <w:t>Propuestas sobre nuevas actividades de normalización para el UIT-T, según corresponda.</w:t>
      </w:r>
    </w:p>
    <w:p w:rsidR="00506F9E" w:rsidRPr="0028364E" w:rsidRDefault="00506F9E" w:rsidP="00506F9E">
      <w:pPr>
        <w:pStyle w:val="enumlev1"/>
        <w:rPr>
          <w:lang w:val="es-ES" w:eastAsia="en-CA"/>
        </w:rPr>
      </w:pPr>
      <w:r w:rsidRPr="0028364E">
        <w:rPr>
          <w:lang w:val="es-ES"/>
        </w:rPr>
        <w:t>–</w:t>
      </w:r>
      <w:r w:rsidRPr="0028364E">
        <w:rPr>
          <w:lang w:val="es-ES"/>
        </w:rPr>
        <w:tab/>
      </w:r>
      <w:r w:rsidRPr="0028364E">
        <w:rPr>
          <w:lang w:val="es-ES" w:eastAsia="en-CA"/>
        </w:rPr>
        <w:t>Apoyo a la TSB para organizar un evento paralelo en la AMNT-12 sobre "Reducción de la brecha: de las innovaciones a las normas" en el que se muestren las conclusiones del Grupo Temático, y para generar un informe sobre las medidas propuestas recomendadas durante el evento paralelo.</w:t>
      </w:r>
    </w:p>
    <w:p w:rsidR="00506F9E" w:rsidRPr="0028364E" w:rsidRDefault="00506F9E" w:rsidP="00506F9E">
      <w:pPr>
        <w:pStyle w:val="Heading1"/>
        <w:rPr>
          <w:lang w:val="es-ES" w:eastAsia="en-CA"/>
        </w:rPr>
      </w:pPr>
      <w:r w:rsidRPr="0028364E">
        <w:rPr>
          <w:lang w:val="es-ES" w:eastAsia="en-CA"/>
        </w:rPr>
        <w:t>5</w:t>
      </w:r>
      <w:r w:rsidRPr="0028364E">
        <w:rPr>
          <w:lang w:val="es-ES" w:eastAsia="en-CA"/>
        </w:rPr>
        <w:tab/>
        <w:t>Plazo de finalización</w:t>
      </w:r>
    </w:p>
    <w:p w:rsidR="00506F9E" w:rsidRPr="0028364E" w:rsidRDefault="00506F9E" w:rsidP="00506F9E">
      <w:pPr>
        <w:rPr>
          <w:lang w:val="es-ES" w:eastAsia="en-CA"/>
        </w:rPr>
      </w:pPr>
      <w:r w:rsidRPr="0028364E">
        <w:rPr>
          <w:lang w:val="es-ES" w:eastAsia="en-CA"/>
        </w:rPr>
        <w:t xml:space="preserve">La duración del Grupo Temático va de enero de 2012 a la reunión del GANT de 2013. El Grupo Temático trabajará predominantemente por medios electrónicos. Las reuniones presenciales serán coordinadas con otras reuniones para maximizar la participación. Se ofrecerá la participación a distancia tanto como sea posible. </w:t>
      </w:r>
    </w:p>
    <w:p w:rsidR="00506F9E" w:rsidRPr="0028364E" w:rsidRDefault="00506F9E" w:rsidP="00506F9E">
      <w:pPr>
        <w:rPr>
          <w:lang w:val="es-ES" w:eastAsia="en-CA"/>
        </w:rPr>
      </w:pPr>
      <w:r w:rsidRPr="0028364E">
        <w:rPr>
          <w:lang w:val="es-ES" w:eastAsia="en-CA"/>
        </w:rPr>
        <w:t>Éstas son algunas de las fechas importantes:</w:t>
      </w:r>
    </w:p>
    <w:p w:rsidR="00506F9E" w:rsidRPr="0028364E" w:rsidRDefault="00506F9E" w:rsidP="00506F9E">
      <w:pPr>
        <w:pStyle w:val="enumlev1"/>
        <w:rPr>
          <w:lang w:val="es-ES" w:eastAsia="en-CA"/>
        </w:rPr>
      </w:pPr>
      <w:r w:rsidRPr="0028364E">
        <w:rPr>
          <w:lang w:val="es-ES"/>
        </w:rPr>
        <w:t>–</w:t>
      </w:r>
      <w:r w:rsidRPr="0028364E">
        <w:rPr>
          <w:lang w:val="es-ES"/>
        </w:rPr>
        <w:tab/>
      </w:r>
      <w:r w:rsidRPr="0028364E">
        <w:rPr>
          <w:lang w:val="es-ES" w:eastAsia="en-CA"/>
        </w:rPr>
        <w:t>Reunión de partida, febrero de 2012.</w:t>
      </w:r>
    </w:p>
    <w:p w:rsidR="00506F9E" w:rsidRPr="0028364E" w:rsidRDefault="00506F9E" w:rsidP="00506F9E">
      <w:pPr>
        <w:pStyle w:val="enumlev1"/>
        <w:rPr>
          <w:lang w:val="es-ES" w:eastAsia="en-CA"/>
        </w:rPr>
      </w:pPr>
      <w:r w:rsidRPr="0028364E">
        <w:rPr>
          <w:lang w:val="es-ES"/>
        </w:rPr>
        <w:t>–</w:t>
      </w:r>
      <w:r w:rsidRPr="0028364E">
        <w:rPr>
          <w:lang w:val="es-ES"/>
        </w:rPr>
        <w:tab/>
      </w:r>
      <w:r w:rsidRPr="0028364E">
        <w:rPr>
          <w:lang w:val="es-ES" w:eastAsia="en-CA"/>
        </w:rPr>
        <w:t>Evento paralelo en la AMNT-12: "Reducción de la brecha: de las innovaciones a las normas", noviembre de 2012.</w:t>
      </w:r>
    </w:p>
    <w:p w:rsidR="00506F9E" w:rsidRPr="0028364E" w:rsidRDefault="00506F9E" w:rsidP="00506F9E">
      <w:pPr>
        <w:pStyle w:val="enumlev1"/>
        <w:rPr>
          <w:lang w:val="es-ES" w:eastAsia="en-CA"/>
        </w:rPr>
      </w:pPr>
      <w:r w:rsidRPr="0028364E">
        <w:rPr>
          <w:lang w:val="es-ES"/>
        </w:rPr>
        <w:t>–</w:t>
      </w:r>
      <w:r w:rsidRPr="0028364E">
        <w:rPr>
          <w:lang w:val="es-ES"/>
        </w:rPr>
        <w:tab/>
      </w:r>
      <w:r w:rsidRPr="0028364E">
        <w:rPr>
          <w:lang w:val="es-ES" w:eastAsia="en-CA"/>
        </w:rPr>
        <w:t>Finalización del Informe sobre innovaciones, enero de 2013.</w:t>
      </w:r>
    </w:p>
    <w:p w:rsidR="00506F9E" w:rsidRPr="0028364E" w:rsidRDefault="00506F9E" w:rsidP="00506F9E">
      <w:pPr>
        <w:pStyle w:val="enumlev1"/>
        <w:rPr>
          <w:lang w:val="es-ES" w:eastAsia="en-CA"/>
        </w:rPr>
      </w:pPr>
      <w:r w:rsidRPr="0028364E">
        <w:rPr>
          <w:lang w:val="es-ES"/>
        </w:rPr>
        <w:t>–</w:t>
      </w:r>
      <w:r w:rsidRPr="0028364E">
        <w:rPr>
          <w:lang w:val="es-ES"/>
        </w:rPr>
        <w:tab/>
      </w:r>
      <w:r w:rsidRPr="0028364E">
        <w:rPr>
          <w:lang w:val="es-ES" w:eastAsia="en-CA"/>
        </w:rPr>
        <w:t>Finalización de las propuestas sobre nuevas actividades de normalización para el UIT-T, enero de 2013.</w:t>
      </w:r>
    </w:p>
    <w:p w:rsidR="00506F9E" w:rsidRPr="0028364E" w:rsidRDefault="00506F9E" w:rsidP="00506F9E">
      <w:pPr>
        <w:tabs>
          <w:tab w:val="left" w:pos="720"/>
        </w:tabs>
        <w:overflowPunct/>
        <w:rPr>
          <w:szCs w:val="24"/>
          <w:lang w:val="es-ES" w:eastAsia="en-CA"/>
        </w:rPr>
      </w:pPr>
      <w:r w:rsidRPr="0028364E">
        <w:rPr>
          <w:szCs w:val="24"/>
          <w:lang w:val="es-ES" w:eastAsia="en-CA"/>
        </w:rPr>
        <w:t>Estas fechas pueden cambiar debido a modificaciones del plan de trabajo solicitadas por los miembros del Grupo Temático o a las contribuciones.</w:t>
      </w:r>
    </w:p>
    <w:p w:rsidR="00506F9E" w:rsidRPr="0028364E" w:rsidRDefault="00506F9E" w:rsidP="00506F9E">
      <w:pPr>
        <w:pStyle w:val="Heading1"/>
        <w:rPr>
          <w:lang w:val="es-ES" w:eastAsia="en-CA"/>
        </w:rPr>
      </w:pPr>
      <w:r w:rsidRPr="0028364E">
        <w:rPr>
          <w:lang w:val="es-ES" w:eastAsia="en-CA"/>
        </w:rPr>
        <w:t>6</w:t>
      </w:r>
      <w:r w:rsidRPr="0028364E">
        <w:rPr>
          <w:lang w:val="es-ES" w:eastAsia="en-CA"/>
        </w:rPr>
        <w:tab/>
        <w:t>Relaciones</w:t>
      </w:r>
    </w:p>
    <w:p w:rsidR="00506F9E" w:rsidRPr="0028364E" w:rsidRDefault="00506F9E" w:rsidP="00506F9E">
      <w:pPr>
        <w:rPr>
          <w:lang w:val="es-ES"/>
        </w:rPr>
      </w:pPr>
      <w:r w:rsidRPr="0028364E">
        <w:rPr>
          <w:lang w:val="es-ES" w:eastAsia="en-CA"/>
        </w:rPr>
        <w:t>La colaboración con organismos de normalización, foros gubernamentales/privados, empresas, instituciones académicas, institutos de investigación y expertos en la materia es fundamental para el éxito de este Grupo Temático. El Grupo Temático determinará otras entidades competentes con las que colaborar, y el tipo de colaboración correspondiente. También será necesaria una estrecha colaboración con el UIT-D y el UIT-R.</w:t>
      </w:r>
    </w:p>
    <w:p w:rsidR="00506F9E" w:rsidRPr="0028364E" w:rsidRDefault="00506F9E" w:rsidP="00506F9E">
      <w:pPr>
        <w:pStyle w:val="Heading1"/>
        <w:rPr>
          <w:lang w:val="es-ES" w:eastAsia="en-CA"/>
        </w:rPr>
      </w:pPr>
      <w:r w:rsidRPr="0028364E">
        <w:rPr>
          <w:lang w:val="es-ES" w:eastAsia="en-CA"/>
        </w:rPr>
        <w:t>7</w:t>
      </w:r>
      <w:r w:rsidRPr="0028364E">
        <w:rPr>
          <w:lang w:val="es-ES" w:eastAsia="en-CA"/>
        </w:rPr>
        <w:tab/>
        <w:t>Otros temas</w:t>
      </w:r>
    </w:p>
    <w:p w:rsidR="00506F9E" w:rsidRPr="0028364E" w:rsidRDefault="00506F9E" w:rsidP="00506F9E">
      <w:pPr>
        <w:pStyle w:val="headingb"/>
        <w:rPr>
          <w:lang w:val="es-ES"/>
        </w:rPr>
      </w:pPr>
      <w:bookmarkStart w:id="5" w:name="_Toc216843705"/>
      <w:r w:rsidRPr="0028364E">
        <w:rPr>
          <w:lang w:val="es-ES"/>
        </w:rPr>
        <w:t>Dirección</w:t>
      </w:r>
      <w:bookmarkEnd w:id="5"/>
    </w:p>
    <w:p w:rsidR="00506F9E" w:rsidRPr="0028364E" w:rsidRDefault="00506F9E" w:rsidP="00506F9E">
      <w:pPr>
        <w:rPr>
          <w:lang w:val="es-ES"/>
        </w:rPr>
      </w:pPr>
      <w:bookmarkStart w:id="6" w:name="_Toc216843706"/>
      <w:r w:rsidRPr="0028364E">
        <w:rPr>
          <w:lang w:val="es-ES"/>
        </w:rPr>
        <w:t>Con arreglo a la Recomendación A.7, párrafo 2.3</w:t>
      </w:r>
    </w:p>
    <w:p w:rsidR="00506F9E" w:rsidRPr="0028364E" w:rsidRDefault="00506F9E" w:rsidP="00506F9E">
      <w:pPr>
        <w:pStyle w:val="headingb"/>
        <w:rPr>
          <w:lang w:val="es-ES"/>
        </w:rPr>
      </w:pPr>
      <w:r w:rsidRPr="0028364E">
        <w:rPr>
          <w:lang w:val="es-ES"/>
        </w:rPr>
        <w:t>Participación</w:t>
      </w:r>
      <w:bookmarkEnd w:id="6"/>
    </w:p>
    <w:p w:rsidR="00506F9E" w:rsidRPr="0028364E" w:rsidRDefault="00506F9E" w:rsidP="00506F9E">
      <w:pPr>
        <w:rPr>
          <w:szCs w:val="24"/>
          <w:lang w:val="es-ES"/>
        </w:rPr>
      </w:pPr>
      <w:bookmarkStart w:id="7" w:name="_Toc216843707"/>
      <w:r w:rsidRPr="0028364E">
        <w:rPr>
          <w:szCs w:val="24"/>
          <w:lang w:val="es-ES"/>
        </w:rPr>
        <w:t>Con arreglo a la Recomendación A.7, párrafo 3</w:t>
      </w:r>
    </w:p>
    <w:p w:rsidR="00506F9E" w:rsidRPr="0028364E" w:rsidRDefault="00506F9E" w:rsidP="00506F9E">
      <w:pPr>
        <w:pStyle w:val="headingb"/>
        <w:rPr>
          <w:lang w:val="es-ES"/>
        </w:rPr>
      </w:pPr>
      <w:r w:rsidRPr="0028364E">
        <w:rPr>
          <w:lang w:val="es-ES"/>
        </w:rPr>
        <w:lastRenderedPageBreak/>
        <w:t>Financiación del Grupo Temático</w:t>
      </w:r>
      <w:bookmarkEnd w:id="7"/>
    </w:p>
    <w:p w:rsidR="00506F9E" w:rsidRPr="0028364E" w:rsidRDefault="00506F9E" w:rsidP="00506F9E">
      <w:pPr>
        <w:rPr>
          <w:szCs w:val="24"/>
          <w:lang w:val="es-ES"/>
        </w:rPr>
      </w:pPr>
      <w:bookmarkStart w:id="8" w:name="_Toc216843708"/>
      <w:r w:rsidRPr="0028364E">
        <w:rPr>
          <w:szCs w:val="24"/>
          <w:lang w:val="es-ES"/>
        </w:rPr>
        <w:t>Con arreglo a la Recomendación A.7, párrafo 4; también se tratará la cuestión de la financiación con el UIT-D</w:t>
      </w:r>
    </w:p>
    <w:p w:rsidR="00506F9E" w:rsidRPr="0028364E" w:rsidRDefault="00506F9E" w:rsidP="00506F9E">
      <w:pPr>
        <w:pStyle w:val="headingb"/>
        <w:rPr>
          <w:lang w:val="es-ES"/>
        </w:rPr>
      </w:pPr>
      <w:r w:rsidRPr="0028364E">
        <w:rPr>
          <w:lang w:val="es-ES"/>
        </w:rPr>
        <w:t>Financiación de las reuniones</w:t>
      </w:r>
      <w:bookmarkEnd w:id="8"/>
    </w:p>
    <w:p w:rsidR="00506F9E" w:rsidRPr="0028364E" w:rsidRDefault="00506F9E" w:rsidP="00506F9E">
      <w:pPr>
        <w:rPr>
          <w:szCs w:val="24"/>
          <w:lang w:val="es-ES"/>
        </w:rPr>
      </w:pPr>
      <w:bookmarkStart w:id="9" w:name="_Toc216843709"/>
      <w:r w:rsidRPr="0028364E">
        <w:rPr>
          <w:szCs w:val="24"/>
          <w:lang w:val="es-ES"/>
        </w:rPr>
        <w:t>Con arreglo a la Recomendación A.7, párrafo 4.1</w:t>
      </w:r>
    </w:p>
    <w:p w:rsidR="00506F9E" w:rsidRPr="0028364E" w:rsidRDefault="00506F9E" w:rsidP="00506F9E">
      <w:pPr>
        <w:pStyle w:val="headingb"/>
        <w:rPr>
          <w:lang w:val="es-ES"/>
        </w:rPr>
      </w:pPr>
      <w:r w:rsidRPr="0028364E">
        <w:rPr>
          <w:lang w:val="es-ES"/>
        </w:rPr>
        <w:t>Apoyo administrativo</w:t>
      </w:r>
      <w:bookmarkEnd w:id="9"/>
    </w:p>
    <w:p w:rsidR="00506F9E" w:rsidRPr="0028364E" w:rsidRDefault="00506F9E" w:rsidP="00506F9E">
      <w:pPr>
        <w:rPr>
          <w:szCs w:val="24"/>
          <w:lang w:val="es-ES"/>
        </w:rPr>
      </w:pPr>
      <w:bookmarkStart w:id="10" w:name="_Toc216843710"/>
      <w:r w:rsidRPr="0028364E">
        <w:rPr>
          <w:szCs w:val="24"/>
          <w:lang w:val="es-ES"/>
        </w:rPr>
        <w:t>Con arreglo a la Recomendación A.7, párrafo 5</w:t>
      </w:r>
    </w:p>
    <w:p w:rsidR="00506F9E" w:rsidRPr="0028364E" w:rsidRDefault="00506F9E" w:rsidP="00506F9E">
      <w:pPr>
        <w:pStyle w:val="headingb"/>
        <w:rPr>
          <w:lang w:val="es-ES"/>
        </w:rPr>
      </w:pPr>
      <w:r w:rsidRPr="0028364E">
        <w:rPr>
          <w:lang w:val="es-ES"/>
        </w:rPr>
        <w:t>Logística de las reuniones</w:t>
      </w:r>
      <w:bookmarkEnd w:id="10"/>
    </w:p>
    <w:p w:rsidR="00506F9E" w:rsidRPr="0028364E" w:rsidRDefault="00506F9E" w:rsidP="00506F9E">
      <w:pPr>
        <w:rPr>
          <w:szCs w:val="24"/>
          <w:lang w:val="es-ES"/>
        </w:rPr>
      </w:pPr>
      <w:bookmarkStart w:id="11" w:name="_Toc216843711"/>
      <w:r w:rsidRPr="0028364E">
        <w:rPr>
          <w:szCs w:val="24"/>
          <w:lang w:val="es-ES"/>
        </w:rPr>
        <w:t>Con arreglo a la Recomendación A.7, párrafo 6</w:t>
      </w:r>
    </w:p>
    <w:p w:rsidR="00506F9E" w:rsidRPr="0028364E" w:rsidRDefault="00506F9E" w:rsidP="00506F9E">
      <w:pPr>
        <w:pStyle w:val="headingb"/>
        <w:rPr>
          <w:lang w:val="es-ES"/>
        </w:rPr>
      </w:pPr>
      <w:r w:rsidRPr="0028364E">
        <w:rPr>
          <w:lang w:val="es-ES"/>
        </w:rPr>
        <w:t>Idioma de trabajo</w:t>
      </w:r>
      <w:bookmarkEnd w:id="11"/>
    </w:p>
    <w:p w:rsidR="00506F9E" w:rsidRPr="0028364E" w:rsidRDefault="00506F9E" w:rsidP="00506F9E">
      <w:pPr>
        <w:rPr>
          <w:szCs w:val="24"/>
          <w:lang w:val="es-ES"/>
        </w:rPr>
      </w:pPr>
      <w:bookmarkStart w:id="12" w:name="_Toc216843712"/>
      <w:r w:rsidRPr="0028364E">
        <w:rPr>
          <w:szCs w:val="24"/>
          <w:lang w:val="es-ES"/>
        </w:rPr>
        <w:t>Con arreglo a la Recomendación A.7, párrafo 7</w:t>
      </w:r>
    </w:p>
    <w:p w:rsidR="00506F9E" w:rsidRPr="0028364E" w:rsidRDefault="00506F9E" w:rsidP="00506F9E">
      <w:pPr>
        <w:pStyle w:val="headingb"/>
        <w:rPr>
          <w:lang w:val="es-ES"/>
        </w:rPr>
      </w:pPr>
      <w:r w:rsidRPr="0028364E">
        <w:rPr>
          <w:lang w:val="es-ES"/>
        </w:rPr>
        <w:t>Contribuciones técnicas</w:t>
      </w:r>
      <w:bookmarkEnd w:id="12"/>
    </w:p>
    <w:p w:rsidR="00506F9E" w:rsidRPr="0028364E" w:rsidRDefault="00506F9E" w:rsidP="00506F9E">
      <w:pPr>
        <w:rPr>
          <w:szCs w:val="24"/>
          <w:lang w:val="es-ES"/>
        </w:rPr>
      </w:pPr>
      <w:bookmarkStart w:id="13" w:name="_Toc216843713"/>
      <w:r w:rsidRPr="0028364E">
        <w:rPr>
          <w:szCs w:val="24"/>
          <w:lang w:val="es-ES"/>
        </w:rPr>
        <w:t>Con arreglo a la Recomendación A.7, párrafo 8</w:t>
      </w:r>
    </w:p>
    <w:p w:rsidR="00506F9E" w:rsidRPr="0028364E" w:rsidRDefault="00506F9E" w:rsidP="00506F9E">
      <w:pPr>
        <w:pStyle w:val="headingb"/>
        <w:rPr>
          <w:lang w:val="es-ES"/>
        </w:rPr>
      </w:pPr>
      <w:r w:rsidRPr="0028364E">
        <w:rPr>
          <w:lang w:val="es-ES"/>
        </w:rPr>
        <w:t>Derechos de propiedad intelectual</w:t>
      </w:r>
      <w:bookmarkEnd w:id="13"/>
    </w:p>
    <w:p w:rsidR="00506F9E" w:rsidRPr="0028364E" w:rsidRDefault="00506F9E" w:rsidP="00506F9E">
      <w:pPr>
        <w:rPr>
          <w:szCs w:val="24"/>
          <w:lang w:val="es-ES"/>
        </w:rPr>
      </w:pPr>
      <w:bookmarkStart w:id="14" w:name="_Toc216843714"/>
      <w:r w:rsidRPr="0028364E">
        <w:rPr>
          <w:szCs w:val="24"/>
          <w:lang w:val="es-ES"/>
        </w:rPr>
        <w:t>Con arreglo a la Recomendación A.7, párrafo 9</w:t>
      </w:r>
    </w:p>
    <w:p w:rsidR="00506F9E" w:rsidRPr="0028364E" w:rsidRDefault="00506F9E" w:rsidP="00506F9E">
      <w:pPr>
        <w:pStyle w:val="headingb"/>
        <w:rPr>
          <w:lang w:val="es-ES"/>
        </w:rPr>
      </w:pPr>
      <w:r w:rsidRPr="0028364E">
        <w:rPr>
          <w:lang w:val="es-ES"/>
        </w:rPr>
        <w:t>Productos</w:t>
      </w:r>
      <w:bookmarkEnd w:id="14"/>
    </w:p>
    <w:p w:rsidR="00506F9E" w:rsidRPr="0028364E" w:rsidRDefault="00506F9E" w:rsidP="00506F9E">
      <w:pPr>
        <w:rPr>
          <w:szCs w:val="24"/>
          <w:lang w:val="es-ES"/>
        </w:rPr>
      </w:pPr>
      <w:bookmarkStart w:id="15" w:name="_Toc216843715"/>
      <w:r w:rsidRPr="0028364E">
        <w:rPr>
          <w:szCs w:val="24"/>
          <w:lang w:val="es-ES"/>
        </w:rPr>
        <w:t>Con arreglo a la Recomendación A.7, párrafo 10</w:t>
      </w:r>
    </w:p>
    <w:p w:rsidR="00506F9E" w:rsidRPr="0028364E" w:rsidRDefault="00506F9E" w:rsidP="00506F9E">
      <w:pPr>
        <w:pStyle w:val="headingb"/>
        <w:rPr>
          <w:lang w:val="es-ES"/>
        </w:rPr>
      </w:pPr>
      <w:r w:rsidRPr="0028364E">
        <w:rPr>
          <w:lang w:val="es-ES"/>
        </w:rPr>
        <w:t>Aprobación de los productos</w:t>
      </w:r>
      <w:bookmarkEnd w:id="15"/>
    </w:p>
    <w:p w:rsidR="00506F9E" w:rsidRPr="0028364E" w:rsidRDefault="00506F9E" w:rsidP="00506F9E">
      <w:pPr>
        <w:rPr>
          <w:szCs w:val="24"/>
          <w:lang w:val="es-ES"/>
        </w:rPr>
      </w:pPr>
      <w:bookmarkStart w:id="16" w:name="_Toc216843716"/>
      <w:r w:rsidRPr="0028364E">
        <w:rPr>
          <w:szCs w:val="24"/>
          <w:lang w:val="es-ES"/>
        </w:rPr>
        <w:t>Con arreglo a la Recomendación A.7, párrafo 10.1</w:t>
      </w:r>
    </w:p>
    <w:p w:rsidR="00506F9E" w:rsidRPr="0028364E" w:rsidRDefault="00506F9E" w:rsidP="00506F9E">
      <w:pPr>
        <w:pStyle w:val="headingb"/>
        <w:rPr>
          <w:lang w:val="es-ES"/>
        </w:rPr>
      </w:pPr>
      <w:r w:rsidRPr="0028364E">
        <w:rPr>
          <w:lang w:val="es-ES"/>
        </w:rPr>
        <w:t>Impresión y distribución de los productos</w:t>
      </w:r>
      <w:bookmarkEnd w:id="16"/>
    </w:p>
    <w:p w:rsidR="00506F9E" w:rsidRPr="0028364E" w:rsidRDefault="00506F9E" w:rsidP="00506F9E">
      <w:pPr>
        <w:rPr>
          <w:szCs w:val="24"/>
          <w:lang w:val="es-ES"/>
        </w:rPr>
      </w:pPr>
      <w:bookmarkStart w:id="17" w:name="_Toc216843717"/>
      <w:r w:rsidRPr="0028364E">
        <w:rPr>
          <w:szCs w:val="24"/>
          <w:lang w:val="es-ES"/>
        </w:rPr>
        <w:t>Con arreglo a la Recomendación A.7, párrafo 10.2</w:t>
      </w:r>
    </w:p>
    <w:p w:rsidR="00506F9E" w:rsidRPr="0028364E" w:rsidRDefault="00506F9E" w:rsidP="00506F9E">
      <w:pPr>
        <w:pStyle w:val="headingb"/>
        <w:rPr>
          <w:lang w:val="es-ES"/>
        </w:rPr>
      </w:pPr>
      <w:r w:rsidRPr="0028364E">
        <w:rPr>
          <w:lang w:val="es-ES"/>
        </w:rPr>
        <w:t>Informes sobre la marcha de los trabajos</w:t>
      </w:r>
      <w:bookmarkEnd w:id="17"/>
    </w:p>
    <w:p w:rsidR="00506F9E" w:rsidRPr="0028364E" w:rsidRDefault="00506F9E" w:rsidP="00506F9E">
      <w:pPr>
        <w:rPr>
          <w:szCs w:val="24"/>
          <w:lang w:val="es-ES"/>
        </w:rPr>
      </w:pPr>
      <w:bookmarkStart w:id="18" w:name="_Toc216843718"/>
      <w:r w:rsidRPr="0028364E">
        <w:rPr>
          <w:szCs w:val="24"/>
          <w:lang w:val="es-ES"/>
        </w:rPr>
        <w:t>Con arreglo a la Recomendación A.7, párrafo 11</w:t>
      </w:r>
    </w:p>
    <w:p w:rsidR="00506F9E" w:rsidRPr="0028364E" w:rsidRDefault="00506F9E" w:rsidP="00506F9E">
      <w:pPr>
        <w:pStyle w:val="headingb"/>
        <w:rPr>
          <w:lang w:val="es-ES"/>
        </w:rPr>
      </w:pPr>
      <w:r w:rsidRPr="0028364E">
        <w:rPr>
          <w:lang w:val="es-ES"/>
        </w:rPr>
        <w:t>Anuncios de reunión</w:t>
      </w:r>
      <w:bookmarkEnd w:id="18"/>
    </w:p>
    <w:p w:rsidR="00506F9E" w:rsidRPr="0028364E" w:rsidRDefault="00506F9E" w:rsidP="00506F9E">
      <w:pPr>
        <w:rPr>
          <w:szCs w:val="24"/>
          <w:lang w:val="es-ES"/>
        </w:rPr>
      </w:pPr>
      <w:bookmarkStart w:id="19" w:name="_Toc216843719"/>
      <w:r w:rsidRPr="0028364E">
        <w:rPr>
          <w:szCs w:val="24"/>
          <w:lang w:val="es-ES"/>
        </w:rPr>
        <w:t>Con arreglo a la Recomendación A.7, párrafo 12</w:t>
      </w:r>
    </w:p>
    <w:p w:rsidR="00506F9E" w:rsidRPr="0028364E" w:rsidRDefault="00506F9E" w:rsidP="00506F9E">
      <w:pPr>
        <w:pStyle w:val="headingb"/>
        <w:rPr>
          <w:lang w:val="es-ES"/>
        </w:rPr>
      </w:pPr>
      <w:r w:rsidRPr="0028364E">
        <w:rPr>
          <w:lang w:val="es-ES"/>
        </w:rPr>
        <w:t>Directrices relativas a los trabajos</w:t>
      </w:r>
      <w:bookmarkEnd w:id="19"/>
    </w:p>
    <w:p w:rsidR="00506F9E" w:rsidRPr="0028364E" w:rsidRDefault="00506F9E" w:rsidP="00506F9E">
      <w:pPr>
        <w:rPr>
          <w:szCs w:val="24"/>
          <w:lang w:val="es-ES"/>
        </w:rPr>
      </w:pPr>
      <w:r w:rsidRPr="0028364E">
        <w:rPr>
          <w:szCs w:val="24"/>
          <w:lang w:val="es-ES"/>
        </w:rPr>
        <w:t>Con arreglo a la Recomendación A.7, párrafo 13</w:t>
      </w:r>
    </w:p>
    <w:p w:rsidR="00506F9E" w:rsidRDefault="00506F9E" w:rsidP="00506F9E">
      <w:pPr>
        <w:pStyle w:val="Annex"/>
        <w:rPr>
          <w:lang w:val="es-ES"/>
        </w:rPr>
        <w:sectPr w:rsidR="00506F9E" w:rsidSect="00506F9E">
          <w:pgSz w:w="11907" w:h="16840" w:code="9"/>
          <w:pgMar w:top="1134" w:right="1134" w:bottom="1134" w:left="1134" w:header="567" w:footer="567" w:gutter="0"/>
          <w:paperSrc w:first="15" w:other="15"/>
          <w:cols w:space="720"/>
          <w:docGrid w:linePitch="326"/>
        </w:sectPr>
      </w:pPr>
    </w:p>
    <w:p w:rsidR="00E258FE" w:rsidRPr="00C56969" w:rsidRDefault="00E258FE" w:rsidP="00506F9E">
      <w:pPr>
        <w:pStyle w:val="Annex"/>
        <w:rPr>
          <w:lang w:val="en-US"/>
        </w:rPr>
      </w:pPr>
      <w:r w:rsidRPr="00C56969">
        <w:rPr>
          <w:lang w:val="en-US"/>
        </w:rPr>
        <w:lastRenderedPageBreak/>
        <w:t>annex 2</w:t>
      </w:r>
    </w:p>
    <w:p w:rsidR="00506F9E" w:rsidRPr="00C56969" w:rsidRDefault="00E258FE" w:rsidP="00E258FE">
      <w:pPr>
        <w:jc w:val="center"/>
        <w:rPr>
          <w:lang w:val="en-US"/>
        </w:rPr>
      </w:pPr>
      <w:r w:rsidRPr="00C56969">
        <w:rPr>
          <w:lang w:val="en-US"/>
        </w:rPr>
        <w:t>(to TSB Circular 253</w:t>
      </w:r>
      <w:r w:rsidR="00506F9E" w:rsidRPr="00C56969">
        <w:rPr>
          <w:lang w:val="en-US"/>
        </w:rPr>
        <w:t>)</w:t>
      </w:r>
    </w:p>
    <w:p w:rsidR="00506F9E" w:rsidRPr="00506F9E" w:rsidRDefault="00506F9E" w:rsidP="00506F9E">
      <w:pPr>
        <w:pStyle w:val="AnnexTitle"/>
        <w:rPr>
          <w:lang w:val="en-US"/>
        </w:rPr>
      </w:pPr>
      <w:r w:rsidRPr="00506F9E">
        <w:rPr>
          <w:lang w:val="en-US"/>
        </w:rPr>
        <w:t>Draft agenda for the first meeting of FG innovation</w:t>
      </w:r>
    </w:p>
    <w:p w:rsidR="00506F9E" w:rsidRPr="0028364E" w:rsidRDefault="00506F9E" w:rsidP="00506F9E">
      <w:pPr>
        <w:tabs>
          <w:tab w:val="clear" w:pos="794"/>
        </w:tabs>
        <w:jc w:val="center"/>
        <w:rPr>
          <w:b/>
          <w:bCs/>
          <w:lang w:val="es-ES"/>
        </w:rPr>
      </w:pPr>
      <w:r w:rsidRPr="0028364E">
        <w:rPr>
          <w:b/>
          <w:bCs/>
          <w:lang w:val="es-ES"/>
        </w:rPr>
        <w:t>Geneva, 19 and 21 March 2012</w:t>
      </w:r>
    </w:p>
    <w:p w:rsidR="00506F9E" w:rsidRPr="0028364E" w:rsidRDefault="00506F9E" w:rsidP="00506F9E">
      <w:pPr>
        <w:tabs>
          <w:tab w:val="clear" w:pos="794"/>
        </w:tabs>
        <w:jc w:val="center"/>
        <w:rPr>
          <w:highlight w:val="yellow"/>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tblGrid>
      <w:tr w:rsidR="00506F9E" w:rsidRPr="0028364E" w:rsidTr="00C81F53">
        <w:tc>
          <w:tcPr>
            <w:tcW w:w="817" w:type="dxa"/>
            <w:shd w:val="clear" w:color="auto" w:fill="auto"/>
          </w:tcPr>
          <w:p w:rsidR="00506F9E" w:rsidRPr="0028364E" w:rsidRDefault="00506F9E" w:rsidP="00C81F53">
            <w:pPr>
              <w:keepNext/>
              <w:tabs>
                <w:tab w:val="clear" w:pos="794"/>
                <w:tab w:val="clear" w:pos="1191"/>
                <w:tab w:val="clear" w:pos="1588"/>
                <w:tab w:val="clear" w:pos="1985"/>
              </w:tabs>
              <w:spacing w:after="120"/>
              <w:rPr>
                <w:b/>
                <w:bCs/>
                <w:sz w:val="22"/>
                <w:szCs w:val="22"/>
                <w:lang w:val="es-ES"/>
              </w:rPr>
            </w:pPr>
          </w:p>
        </w:tc>
        <w:tc>
          <w:tcPr>
            <w:tcW w:w="7088" w:type="dxa"/>
            <w:shd w:val="clear" w:color="auto" w:fill="auto"/>
          </w:tcPr>
          <w:p w:rsidR="00506F9E" w:rsidRPr="0028364E" w:rsidRDefault="00506F9E" w:rsidP="00C81F53">
            <w:pPr>
              <w:keepNext/>
              <w:tabs>
                <w:tab w:val="clear" w:pos="794"/>
                <w:tab w:val="clear" w:pos="1191"/>
                <w:tab w:val="clear" w:pos="1588"/>
                <w:tab w:val="clear" w:pos="1985"/>
              </w:tabs>
              <w:spacing w:after="120"/>
              <w:rPr>
                <w:b/>
                <w:bCs/>
                <w:sz w:val="22"/>
                <w:szCs w:val="22"/>
                <w:lang w:val="es-ES"/>
              </w:rPr>
            </w:pPr>
            <w:r w:rsidRPr="0028364E">
              <w:rPr>
                <w:b/>
                <w:bCs/>
                <w:sz w:val="22"/>
                <w:szCs w:val="22"/>
                <w:lang w:val="es-ES"/>
              </w:rPr>
              <w:t>19 March 2012</w:t>
            </w:r>
          </w:p>
        </w:tc>
      </w:tr>
      <w:tr w:rsidR="00506F9E" w:rsidRPr="0028364E"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PM</w:t>
            </w:r>
          </w:p>
        </w:tc>
        <w:tc>
          <w:tcPr>
            <w:tcW w:w="7088"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Opening Plenary</w:t>
            </w:r>
          </w:p>
        </w:tc>
      </w:tr>
      <w:tr w:rsidR="00506F9E" w:rsidRPr="00C56969"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1</w:t>
            </w:r>
          </w:p>
        </w:tc>
        <w:tc>
          <w:tcPr>
            <w:tcW w:w="7088" w:type="dxa"/>
            <w:shd w:val="clear" w:color="auto" w:fill="auto"/>
          </w:tcPr>
          <w:p w:rsidR="00506F9E" w:rsidRPr="00506F9E" w:rsidRDefault="00506F9E" w:rsidP="00C81F53">
            <w:pPr>
              <w:rPr>
                <w:sz w:val="22"/>
                <w:szCs w:val="22"/>
                <w:lang w:val="en-US"/>
              </w:rPr>
            </w:pPr>
            <w:r w:rsidRPr="00506F9E">
              <w:rPr>
                <w:sz w:val="22"/>
                <w:szCs w:val="22"/>
                <w:lang w:val="en-US"/>
              </w:rPr>
              <w:t>Welcome, opening of the Focus Group Innovation and introductions</w:t>
            </w:r>
          </w:p>
          <w:p w:rsidR="00506F9E" w:rsidRPr="00506F9E" w:rsidRDefault="00506F9E" w:rsidP="00C81F53">
            <w:pPr>
              <w:tabs>
                <w:tab w:val="clear" w:pos="794"/>
                <w:tab w:val="clear" w:pos="1191"/>
                <w:tab w:val="clear" w:pos="1588"/>
                <w:tab w:val="clear" w:pos="1985"/>
              </w:tabs>
              <w:spacing w:before="40" w:after="20"/>
              <w:rPr>
                <w:sz w:val="22"/>
                <w:szCs w:val="22"/>
                <w:lang w:val="en-US"/>
              </w:rPr>
            </w:pPr>
          </w:p>
        </w:tc>
      </w:tr>
      <w:tr w:rsidR="00506F9E" w:rsidRPr="0028364E"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2</w:t>
            </w:r>
          </w:p>
        </w:tc>
        <w:tc>
          <w:tcPr>
            <w:tcW w:w="7088"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Approval of draft agenda</w:t>
            </w:r>
          </w:p>
        </w:tc>
      </w:tr>
      <w:tr w:rsidR="00506F9E" w:rsidRPr="00C56969"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3</w:t>
            </w:r>
          </w:p>
        </w:tc>
        <w:tc>
          <w:tcPr>
            <w:tcW w:w="7088" w:type="dxa"/>
            <w:shd w:val="clear" w:color="auto" w:fill="auto"/>
          </w:tcPr>
          <w:p w:rsidR="00506F9E" w:rsidRPr="00506F9E" w:rsidRDefault="00506F9E" w:rsidP="00C81F53">
            <w:pPr>
              <w:tabs>
                <w:tab w:val="clear" w:pos="794"/>
                <w:tab w:val="clear" w:pos="1191"/>
                <w:tab w:val="clear" w:pos="1588"/>
                <w:tab w:val="clear" w:pos="1985"/>
              </w:tabs>
              <w:spacing w:before="40" w:after="20"/>
              <w:rPr>
                <w:sz w:val="22"/>
                <w:szCs w:val="22"/>
                <w:lang w:val="en-US"/>
              </w:rPr>
            </w:pPr>
            <w:r w:rsidRPr="00506F9E">
              <w:rPr>
                <w:sz w:val="22"/>
                <w:szCs w:val="22"/>
                <w:lang w:val="en-US"/>
              </w:rPr>
              <w:t>Presentation of the Terms of Reference</w:t>
            </w:r>
          </w:p>
        </w:tc>
      </w:tr>
      <w:tr w:rsidR="00506F9E" w:rsidRPr="00C56969"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4</w:t>
            </w:r>
          </w:p>
        </w:tc>
        <w:tc>
          <w:tcPr>
            <w:tcW w:w="7088" w:type="dxa"/>
            <w:shd w:val="clear" w:color="auto" w:fill="auto"/>
          </w:tcPr>
          <w:p w:rsidR="00506F9E" w:rsidRPr="00506F9E" w:rsidRDefault="00506F9E" w:rsidP="00C81F53">
            <w:pPr>
              <w:tabs>
                <w:tab w:val="clear" w:pos="794"/>
                <w:tab w:val="clear" w:pos="1191"/>
                <w:tab w:val="clear" w:pos="1588"/>
                <w:tab w:val="clear" w:pos="1985"/>
              </w:tabs>
              <w:spacing w:before="40" w:after="20"/>
              <w:rPr>
                <w:sz w:val="22"/>
                <w:szCs w:val="22"/>
                <w:lang w:val="en-US"/>
              </w:rPr>
            </w:pPr>
            <w:r w:rsidRPr="00506F9E">
              <w:rPr>
                <w:sz w:val="22"/>
                <w:szCs w:val="22"/>
                <w:lang w:val="en-US"/>
              </w:rPr>
              <w:t>Establishment of the management team</w:t>
            </w:r>
          </w:p>
        </w:tc>
      </w:tr>
      <w:tr w:rsidR="00506F9E" w:rsidRPr="00C56969"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5</w:t>
            </w:r>
          </w:p>
        </w:tc>
        <w:tc>
          <w:tcPr>
            <w:tcW w:w="7088" w:type="dxa"/>
            <w:shd w:val="clear" w:color="auto" w:fill="auto"/>
          </w:tcPr>
          <w:p w:rsidR="00506F9E" w:rsidRPr="00506F9E" w:rsidRDefault="00506F9E" w:rsidP="00C81F53">
            <w:pPr>
              <w:tabs>
                <w:tab w:val="clear" w:pos="794"/>
                <w:tab w:val="clear" w:pos="1191"/>
                <w:tab w:val="clear" w:pos="1588"/>
                <w:tab w:val="clear" w:pos="1985"/>
              </w:tabs>
              <w:spacing w:before="40" w:after="20"/>
              <w:rPr>
                <w:sz w:val="22"/>
                <w:szCs w:val="22"/>
                <w:lang w:val="en-US"/>
              </w:rPr>
            </w:pPr>
            <w:r w:rsidRPr="00506F9E">
              <w:rPr>
                <w:sz w:val="22"/>
                <w:szCs w:val="22"/>
                <w:lang w:val="en-US"/>
              </w:rPr>
              <w:t>Review of the proposed working methods</w:t>
            </w:r>
          </w:p>
        </w:tc>
      </w:tr>
      <w:tr w:rsidR="00506F9E" w:rsidRPr="0028364E" w:rsidTr="00C81F53">
        <w:tc>
          <w:tcPr>
            <w:tcW w:w="817" w:type="dxa"/>
            <w:tcBorders>
              <w:bottom w:val="single" w:sz="4" w:space="0" w:color="auto"/>
            </w:tcBorders>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6</w:t>
            </w:r>
          </w:p>
        </w:tc>
        <w:tc>
          <w:tcPr>
            <w:tcW w:w="7088" w:type="dxa"/>
            <w:tcBorders>
              <w:bottom w:val="single" w:sz="4" w:space="0" w:color="auto"/>
            </w:tcBorders>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Discuss Draft work plan</w:t>
            </w:r>
          </w:p>
        </w:tc>
      </w:tr>
      <w:tr w:rsidR="00506F9E" w:rsidRPr="0028364E" w:rsidTr="00C81F53">
        <w:tc>
          <w:tcPr>
            <w:tcW w:w="817" w:type="dxa"/>
            <w:tcBorders>
              <w:left w:val="nil"/>
              <w:right w:val="nil"/>
            </w:tcBorders>
            <w:shd w:val="clear" w:color="auto" w:fill="auto"/>
          </w:tcPr>
          <w:p w:rsidR="00506F9E" w:rsidRPr="0028364E" w:rsidRDefault="00506F9E" w:rsidP="00C81F53">
            <w:pPr>
              <w:tabs>
                <w:tab w:val="clear" w:pos="794"/>
                <w:tab w:val="clear" w:pos="1191"/>
                <w:tab w:val="clear" w:pos="1588"/>
                <w:tab w:val="clear" w:pos="1985"/>
              </w:tabs>
              <w:spacing w:before="40" w:after="20"/>
              <w:rPr>
                <w:b/>
                <w:bCs/>
                <w:sz w:val="22"/>
                <w:szCs w:val="22"/>
                <w:lang w:val="es-ES"/>
              </w:rPr>
            </w:pPr>
          </w:p>
        </w:tc>
        <w:tc>
          <w:tcPr>
            <w:tcW w:w="7088" w:type="dxa"/>
            <w:tcBorders>
              <w:left w:val="nil"/>
              <w:right w:val="nil"/>
            </w:tcBorders>
            <w:shd w:val="clear" w:color="auto" w:fill="auto"/>
          </w:tcPr>
          <w:p w:rsidR="00506F9E" w:rsidRPr="0028364E" w:rsidRDefault="00506F9E" w:rsidP="00C81F53">
            <w:pPr>
              <w:tabs>
                <w:tab w:val="clear" w:pos="794"/>
                <w:tab w:val="clear" w:pos="1191"/>
                <w:tab w:val="clear" w:pos="1588"/>
                <w:tab w:val="clear" w:pos="1985"/>
              </w:tabs>
              <w:spacing w:before="40" w:after="20"/>
              <w:rPr>
                <w:b/>
                <w:bCs/>
                <w:sz w:val="22"/>
                <w:szCs w:val="22"/>
                <w:lang w:val="es-ES"/>
              </w:rPr>
            </w:pPr>
          </w:p>
        </w:tc>
      </w:tr>
      <w:tr w:rsidR="00506F9E" w:rsidRPr="0028364E" w:rsidTr="00C81F53">
        <w:tc>
          <w:tcPr>
            <w:tcW w:w="817" w:type="dxa"/>
            <w:shd w:val="clear" w:color="auto" w:fill="auto"/>
          </w:tcPr>
          <w:p w:rsidR="00506F9E" w:rsidRPr="0028364E" w:rsidRDefault="00506F9E" w:rsidP="00C81F53">
            <w:pPr>
              <w:keepNext/>
              <w:tabs>
                <w:tab w:val="clear" w:pos="794"/>
                <w:tab w:val="clear" w:pos="1191"/>
                <w:tab w:val="clear" w:pos="1588"/>
                <w:tab w:val="clear" w:pos="1985"/>
              </w:tabs>
              <w:spacing w:after="120"/>
              <w:rPr>
                <w:b/>
                <w:bCs/>
                <w:sz w:val="22"/>
                <w:szCs w:val="22"/>
                <w:lang w:val="es-ES"/>
              </w:rPr>
            </w:pPr>
          </w:p>
        </w:tc>
        <w:tc>
          <w:tcPr>
            <w:tcW w:w="7088" w:type="dxa"/>
            <w:shd w:val="clear" w:color="auto" w:fill="auto"/>
          </w:tcPr>
          <w:p w:rsidR="00506F9E" w:rsidRPr="0028364E" w:rsidRDefault="00506F9E" w:rsidP="00C81F53">
            <w:pPr>
              <w:keepNext/>
              <w:tabs>
                <w:tab w:val="clear" w:pos="794"/>
                <w:tab w:val="clear" w:pos="1191"/>
                <w:tab w:val="clear" w:pos="1588"/>
                <w:tab w:val="clear" w:pos="1985"/>
              </w:tabs>
              <w:spacing w:after="120"/>
              <w:rPr>
                <w:b/>
                <w:bCs/>
                <w:sz w:val="22"/>
                <w:szCs w:val="22"/>
                <w:lang w:val="es-ES"/>
              </w:rPr>
            </w:pPr>
            <w:r w:rsidRPr="0028364E">
              <w:rPr>
                <w:b/>
                <w:bCs/>
                <w:sz w:val="22"/>
                <w:szCs w:val="22"/>
                <w:lang w:val="es-ES"/>
              </w:rPr>
              <w:t>21 March 2012</w:t>
            </w:r>
          </w:p>
        </w:tc>
      </w:tr>
      <w:tr w:rsidR="00506F9E" w:rsidRPr="0028364E"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PM</w:t>
            </w:r>
          </w:p>
        </w:tc>
        <w:tc>
          <w:tcPr>
            <w:tcW w:w="7088"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Closing Plenary</w:t>
            </w:r>
          </w:p>
        </w:tc>
      </w:tr>
      <w:tr w:rsidR="00506F9E" w:rsidRPr="00C56969"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1</w:t>
            </w:r>
          </w:p>
        </w:tc>
        <w:tc>
          <w:tcPr>
            <w:tcW w:w="7088" w:type="dxa"/>
            <w:shd w:val="clear" w:color="auto" w:fill="auto"/>
          </w:tcPr>
          <w:p w:rsidR="00506F9E" w:rsidRPr="00506F9E" w:rsidRDefault="00506F9E" w:rsidP="00C81F53">
            <w:pPr>
              <w:tabs>
                <w:tab w:val="clear" w:pos="794"/>
                <w:tab w:val="clear" w:pos="1191"/>
                <w:tab w:val="clear" w:pos="1588"/>
                <w:tab w:val="clear" w:pos="1985"/>
              </w:tabs>
              <w:spacing w:before="40" w:after="20"/>
              <w:rPr>
                <w:i/>
                <w:iCs/>
                <w:sz w:val="22"/>
                <w:szCs w:val="22"/>
                <w:lang w:val="en-US"/>
              </w:rPr>
            </w:pPr>
            <w:r w:rsidRPr="00506F9E">
              <w:rPr>
                <w:sz w:val="22"/>
                <w:szCs w:val="22"/>
                <w:lang w:val="en-US"/>
              </w:rPr>
              <w:t>Organization of the work of the FG Innovation</w:t>
            </w:r>
          </w:p>
        </w:tc>
      </w:tr>
      <w:tr w:rsidR="00506F9E" w:rsidRPr="00C56969"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2</w:t>
            </w:r>
          </w:p>
        </w:tc>
        <w:tc>
          <w:tcPr>
            <w:tcW w:w="7088" w:type="dxa"/>
            <w:shd w:val="clear" w:color="auto" w:fill="auto"/>
          </w:tcPr>
          <w:p w:rsidR="00506F9E" w:rsidRPr="00506F9E" w:rsidRDefault="00506F9E" w:rsidP="00C81F53">
            <w:pPr>
              <w:tabs>
                <w:tab w:val="clear" w:pos="794"/>
                <w:tab w:val="clear" w:pos="1191"/>
                <w:tab w:val="clear" w:pos="1588"/>
                <w:tab w:val="clear" w:pos="1985"/>
              </w:tabs>
              <w:spacing w:before="40" w:after="20"/>
              <w:rPr>
                <w:sz w:val="22"/>
                <w:szCs w:val="22"/>
                <w:lang w:val="en-US"/>
              </w:rPr>
            </w:pPr>
            <w:r w:rsidRPr="00506F9E">
              <w:rPr>
                <w:sz w:val="22"/>
                <w:szCs w:val="22"/>
                <w:lang w:val="en-US"/>
              </w:rPr>
              <w:t>Finalize work plan and establishment of working groups and their respective work programmes</w:t>
            </w:r>
          </w:p>
        </w:tc>
      </w:tr>
      <w:tr w:rsidR="00506F9E" w:rsidRPr="0028364E"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3</w:t>
            </w:r>
          </w:p>
        </w:tc>
        <w:tc>
          <w:tcPr>
            <w:tcW w:w="7088"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Deliverables</w:t>
            </w:r>
          </w:p>
        </w:tc>
      </w:tr>
      <w:tr w:rsidR="00506F9E" w:rsidRPr="00C56969"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4</w:t>
            </w:r>
          </w:p>
        </w:tc>
        <w:tc>
          <w:tcPr>
            <w:tcW w:w="7088" w:type="dxa"/>
            <w:shd w:val="clear" w:color="auto" w:fill="auto"/>
          </w:tcPr>
          <w:p w:rsidR="00506F9E" w:rsidRPr="00506F9E" w:rsidRDefault="00506F9E" w:rsidP="00C81F53">
            <w:pPr>
              <w:tabs>
                <w:tab w:val="clear" w:pos="794"/>
                <w:tab w:val="clear" w:pos="1191"/>
                <w:tab w:val="clear" w:pos="1588"/>
                <w:tab w:val="clear" w:pos="1985"/>
              </w:tabs>
              <w:spacing w:before="40" w:after="20"/>
              <w:rPr>
                <w:sz w:val="22"/>
                <w:szCs w:val="22"/>
                <w:lang w:val="en-US"/>
              </w:rPr>
            </w:pPr>
            <w:r w:rsidRPr="00506F9E">
              <w:rPr>
                <w:sz w:val="22"/>
                <w:szCs w:val="22"/>
                <w:lang w:val="en-US"/>
              </w:rPr>
              <w:t>Sponsor and finances of the FG Innovation</w:t>
            </w:r>
          </w:p>
        </w:tc>
      </w:tr>
      <w:tr w:rsidR="00506F9E" w:rsidRPr="0028364E"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5</w:t>
            </w:r>
          </w:p>
        </w:tc>
        <w:tc>
          <w:tcPr>
            <w:tcW w:w="7088"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Next meeting</w:t>
            </w:r>
          </w:p>
        </w:tc>
      </w:tr>
      <w:tr w:rsidR="00506F9E" w:rsidRPr="0028364E"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6</w:t>
            </w:r>
          </w:p>
        </w:tc>
        <w:tc>
          <w:tcPr>
            <w:tcW w:w="7088"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Any other business</w:t>
            </w:r>
          </w:p>
        </w:tc>
      </w:tr>
      <w:tr w:rsidR="00506F9E" w:rsidRPr="0028364E" w:rsidTr="00C81F53">
        <w:tc>
          <w:tcPr>
            <w:tcW w:w="817"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7</w:t>
            </w:r>
          </w:p>
        </w:tc>
        <w:tc>
          <w:tcPr>
            <w:tcW w:w="7088" w:type="dxa"/>
            <w:shd w:val="clear" w:color="auto" w:fill="auto"/>
          </w:tcPr>
          <w:p w:rsidR="00506F9E" w:rsidRPr="0028364E" w:rsidRDefault="00506F9E" w:rsidP="00C81F53">
            <w:pPr>
              <w:tabs>
                <w:tab w:val="clear" w:pos="794"/>
                <w:tab w:val="clear" w:pos="1191"/>
                <w:tab w:val="clear" w:pos="1588"/>
                <w:tab w:val="clear" w:pos="1985"/>
              </w:tabs>
              <w:spacing w:before="40" w:after="20"/>
              <w:rPr>
                <w:sz w:val="22"/>
                <w:szCs w:val="22"/>
                <w:lang w:val="es-ES"/>
              </w:rPr>
            </w:pPr>
            <w:r w:rsidRPr="0028364E">
              <w:rPr>
                <w:sz w:val="22"/>
                <w:szCs w:val="22"/>
                <w:lang w:val="es-ES"/>
              </w:rPr>
              <w:t>Close of meeting</w:t>
            </w:r>
          </w:p>
        </w:tc>
      </w:tr>
    </w:tbl>
    <w:p w:rsidR="00506F9E" w:rsidRPr="00506F9E" w:rsidRDefault="00506F9E" w:rsidP="00506F9E">
      <w:pPr>
        <w:ind w:left="-142"/>
        <w:rPr>
          <w:i/>
          <w:iCs/>
          <w:lang w:val="en-US"/>
        </w:rPr>
      </w:pPr>
      <w:r w:rsidRPr="00506F9E">
        <w:rPr>
          <w:i/>
          <w:iCs/>
          <w:lang w:val="en-US"/>
        </w:rPr>
        <w:t xml:space="preserve">Note: A workshop on ICT innovations would be held on 20-21 March 2012 (See programme at </w:t>
      </w:r>
      <w:r w:rsidRPr="00506F9E">
        <w:rPr>
          <w:i/>
          <w:iCs/>
          <w:lang w:val="en-US"/>
        </w:rPr>
        <w:br/>
        <w:t>Annex 4)</w:t>
      </w:r>
    </w:p>
    <w:p w:rsidR="00506F9E" w:rsidRPr="00506F9E" w:rsidRDefault="00506F9E" w:rsidP="00506F9E">
      <w:pPr>
        <w:pStyle w:val="Annex"/>
        <w:rPr>
          <w:lang w:val="en-US"/>
        </w:rPr>
        <w:sectPr w:rsidR="00506F9E" w:rsidRPr="00506F9E" w:rsidSect="00AB713B">
          <w:type w:val="oddPage"/>
          <w:pgSz w:w="11907" w:h="16840" w:code="9"/>
          <w:pgMar w:top="1134" w:right="1134" w:bottom="1134" w:left="1134" w:header="567" w:footer="567" w:gutter="0"/>
          <w:paperSrc w:first="15" w:other="15"/>
          <w:cols w:space="720"/>
          <w:docGrid w:linePitch="326"/>
        </w:sectPr>
      </w:pPr>
    </w:p>
    <w:p w:rsidR="00E258FE" w:rsidRPr="00C56969" w:rsidRDefault="00E258FE" w:rsidP="00E258FE">
      <w:pPr>
        <w:pStyle w:val="Annex"/>
        <w:rPr>
          <w:lang w:val="en-US"/>
        </w:rPr>
      </w:pPr>
      <w:r w:rsidRPr="00C56969">
        <w:rPr>
          <w:lang w:val="en-US"/>
        </w:rPr>
        <w:lastRenderedPageBreak/>
        <w:t>annex 3</w:t>
      </w:r>
    </w:p>
    <w:p w:rsidR="00E258FE" w:rsidRPr="00C56969" w:rsidRDefault="00E258FE" w:rsidP="00E258FE">
      <w:pPr>
        <w:tabs>
          <w:tab w:val="clear" w:pos="794"/>
        </w:tabs>
        <w:spacing w:after="120"/>
        <w:jc w:val="center"/>
        <w:rPr>
          <w:lang w:val="en-US"/>
        </w:rPr>
      </w:pPr>
      <w:r w:rsidRPr="00C56969">
        <w:rPr>
          <w:lang w:val="en-US"/>
        </w:rPr>
        <w:t>(to TSB Circular 253)</w:t>
      </w:r>
    </w:p>
    <w:p w:rsidR="00506F9E" w:rsidRPr="00506F9E" w:rsidRDefault="00506F9E" w:rsidP="00E258FE">
      <w:pPr>
        <w:tabs>
          <w:tab w:val="clear" w:pos="794"/>
        </w:tabs>
        <w:spacing w:after="120"/>
        <w:jc w:val="center"/>
        <w:rPr>
          <w:b/>
          <w:bCs/>
          <w:lang w:val="en-US"/>
        </w:rPr>
      </w:pPr>
      <w:r w:rsidRPr="00506F9E">
        <w:rPr>
          <w:b/>
          <w:bCs/>
          <w:lang w:val="en-US"/>
        </w:rPr>
        <w:t>Workshop on ICT Innovations Draft Programme</w:t>
      </w:r>
    </w:p>
    <w:tbl>
      <w:tblPr>
        <w:tblW w:w="5018" w:type="pct"/>
        <w:jc w:val="center"/>
        <w:shd w:val="clear" w:color="auto" w:fill="FFFFFF"/>
        <w:tblCellMar>
          <w:left w:w="0" w:type="dxa"/>
          <w:right w:w="0" w:type="dxa"/>
        </w:tblCellMar>
        <w:tblLook w:val="04A0" w:firstRow="1" w:lastRow="0" w:firstColumn="1" w:lastColumn="0" w:noHBand="0" w:noVBand="1"/>
      </w:tblPr>
      <w:tblGrid>
        <w:gridCol w:w="269"/>
        <w:gridCol w:w="2075"/>
        <w:gridCol w:w="7546"/>
      </w:tblGrid>
      <w:tr w:rsidR="00506F9E" w:rsidRPr="0028364E" w:rsidTr="00C81F53">
        <w:trPr>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rsidR="00506F9E" w:rsidRPr="0028364E" w:rsidRDefault="00506F9E" w:rsidP="00C81F53">
            <w:pPr>
              <w:keepNext/>
              <w:tabs>
                <w:tab w:val="clear" w:pos="794"/>
                <w:tab w:val="clear" w:pos="1191"/>
                <w:tab w:val="clear" w:pos="1588"/>
                <w:tab w:val="clear" w:pos="1985"/>
              </w:tabs>
              <w:overflowPunct/>
              <w:autoSpaceDE/>
              <w:autoSpaceDN/>
              <w:adjustRightInd/>
              <w:spacing w:before="96" w:after="96" w:line="240" w:lineRule="atLeast"/>
              <w:jc w:val="center"/>
              <w:textAlignment w:val="auto"/>
              <w:rPr>
                <w:rFonts w:ascii="Cambria" w:hAnsi="Cambria"/>
                <w:szCs w:val="24"/>
                <w:lang w:val="es-ES" w:eastAsia="zh-CN"/>
              </w:rPr>
            </w:pPr>
            <w:r w:rsidRPr="0028364E">
              <w:rPr>
                <w:rFonts w:ascii="Cambria" w:hAnsi="Cambria"/>
                <w:b/>
                <w:bCs/>
                <w:i/>
                <w:iCs/>
                <w:szCs w:val="24"/>
                <w:lang w:val="es-ES" w:eastAsia="zh-CN"/>
              </w:rPr>
              <w:t>Day 1: Tuesday 20 March</w:t>
            </w:r>
          </w:p>
        </w:tc>
      </w:tr>
      <w:tr w:rsidR="00506F9E" w:rsidRPr="0028364E" w:rsidTr="00C81F53">
        <w:trPr>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vAlign w:val="center"/>
          </w:tcPr>
          <w:p w:rsidR="00506F9E" w:rsidRPr="0028364E" w:rsidRDefault="00506F9E" w:rsidP="00C81F53">
            <w:pPr>
              <w:keepNext/>
              <w:tabs>
                <w:tab w:val="clear" w:pos="794"/>
                <w:tab w:val="clear" w:pos="1191"/>
                <w:tab w:val="clear" w:pos="1588"/>
                <w:tab w:val="clear" w:pos="1985"/>
              </w:tabs>
              <w:overflowPunct/>
              <w:autoSpaceDE/>
              <w:autoSpaceDN/>
              <w:adjustRightInd/>
              <w:spacing w:before="96" w:after="48" w:line="240" w:lineRule="atLeast"/>
              <w:textAlignment w:val="auto"/>
              <w:rPr>
                <w:rFonts w:ascii="Cambria" w:hAnsi="Cambria"/>
                <w:szCs w:val="24"/>
                <w:lang w:val="es-ES" w:eastAsia="zh-CN"/>
              </w:rPr>
            </w:pPr>
            <w:r w:rsidRPr="0028364E">
              <w:rPr>
                <w:rFonts w:ascii="Cambria" w:hAnsi="Cambria"/>
                <w:szCs w:val="24"/>
                <w:lang w:val="es-ES"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vAlign w:val="center"/>
          </w:tcPr>
          <w:p w:rsidR="00506F9E" w:rsidRPr="0028364E" w:rsidRDefault="00506F9E" w:rsidP="00C81F53">
            <w:pPr>
              <w:keepNext/>
              <w:spacing w:after="100" w:afterAutospacing="1" w:line="240" w:lineRule="atLeast"/>
              <w:rPr>
                <w:rFonts w:ascii="Cambria" w:eastAsia="SimSun" w:hAnsi="Cambria"/>
                <w:szCs w:val="24"/>
                <w:lang w:val="es-ES"/>
              </w:rPr>
            </w:pPr>
            <w:r w:rsidRPr="0028364E">
              <w:rPr>
                <w:rFonts w:ascii="Cambria" w:hAnsi="Cambria"/>
                <w:color w:val="212F23"/>
                <w:lang w:val="es-ES"/>
              </w:rPr>
              <w:t>08.30 – 09.30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tabs>
                <w:tab w:val="clear" w:pos="794"/>
                <w:tab w:val="clear" w:pos="1191"/>
                <w:tab w:val="clear" w:pos="1588"/>
                <w:tab w:val="clear" w:pos="1985"/>
              </w:tabs>
              <w:overflowPunct/>
              <w:autoSpaceDE/>
              <w:autoSpaceDN/>
              <w:adjustRightInd/>
              <w:spacing w:after="75" w:line="240" w:lineRule="atLeast"/>
              <w:textAlignment w:val="auto"/>
              <w:rPr>
                <w:rFonts w:ascii="Cambria" w:hAnsi="Cambria"/>
                <w:szCs w:val="24"/>
                <w:lang w:val="es-ES" w:eastAsia="zh-CN"/>
              </w:rPr>
            </w:pPr>
            <w:r w:rsidRPr="0028364E">
              <w:rPr>
                <w:rFonts w:ascii="Cambria" w:hAnsi="Cambria"/>
                <w:i/>
                <w:iCs/>
                <w:color w:val="0F243E"/>
                <w:szCs w:val="24"/>
                <w:lang w:val="es-ES" w:eastAsia="zh-CN"/>
              </w:rPr>
              <w:t>Delegates registration</w:t>
            </w:r>
          </w:p>
        </w:tc>
      </w:tr>
      <w:tr w:rsidR="00506F9E" w:rsidRPr="0028364E" w:rsidTr="00C81F53">
        <w:trPr>
          <w:trHeight w:val="583"/>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tcPr>
          <w:p w:rsidR="00506F9E" w:rsidRPr="0028364E" w:rsidRDefault="00506F9E" w:rsidP="00C81F53">
            <w:pPr>
              <w:keepNext/>
              <w:tabs>
                <w:tab w:val="clear" w:pos="794"/>
                <w:tab w:val="clear" w:pos="1191"/>
                <w:tab w:val="clear" w:pos="1588"/>
                <w:tab w:val="clear" w:pos="1985"/>
              </w:tabs>
              <w:overflowPunct/>
              <w:autoSpaceDE/>
              <w:autoSpaceDN/>
              <w:adjustRightInd/>
              <w:spacing w:before="96" w:after="48" w:line="240" w:lineRule="atLeast"/>
              <w:textAlignment w:val="auto"/>
              <w:rPr>
                <w:rFonts w:ascii="Cambria" w:hAnsi="Cambria"/>
                <w:szCs w:val="24"/>
                <w:lang w:val="es-ES" w:eastAsia="zh-CN"/>
              </w:rPr>
            </w:pPr>
            <w:r w:rsidRPr="0028364E">
              <w:rPr>
                <w:rFonts w:ascii="Cambria" w:hAnsi="Cambria"/>
                <w:szCs w:val="24"/>
                <w:lang w:val="es-ES"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szCs w:val="24"/>
                <w:lang w:val="es-ES"/>
              </w:rPr>
            </w:pPr>
            <w:r w:rsidRPr="0028364E">
              <w:rPr>
                <w:rFonts w:ascii="Cambria" w:hAnsi="Cambria"/>
                <w:color w:val="212F23"/>
                <w:lang w:val="es-ES"/>
              </w:rPr>
              <w:t>09.30 – 10.00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szCs w:val="24"/>
                <w:lang w:val="es-ES"/>
              </w:rPr>
            </w:pPr>
            <w:r w:rsidRPr="0028364E">
              <w:rPr>
                <w:rFonts w:ascii="Cambria" w:hAnsi="Cambria"/>
                <w:b/>
                <w:bCs/>
                <w:i/>
                <w:iCs/>
                <w:color w:val="0F243E"/>
                <w:lang w:val="es-ES"/>
              </w:rPr>
              <w:t xml:space="preserve">Opening Ceremony </w:t>
            </w:r>
          </w:p>
        </w:tc>
      </w:tr>
      <w:tr w:rsidR="00506F9E" w:rsidRPr="0028364E" w:rsidTr="00C81F53">
        <w:trPr>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tcPr>
          <w:p w:rsidR="00506F9E" w:rsidRPr="0028364E" w:rsidRDefault="00506F9E" w:rsidP="00C81F53">
            <w:pPr>
              <w:keepNext/>
              <w:tabs>
                <w:tab w:val="clear" w:pos="794"/>
                <w:tab w:val="clear" w:pos="1191"/>
                <w:tab w:val="clear" w:pos="1588"/>
                <w:tab w:val="clear" w:pos="1985"/>
              </w:tabs>
              <w:overflowPunct/>
              <w:autoSpaceDE/>
              <w:autoSpaceDN/>
              <w:adjustRightInd/>
              <w:spacing w:before="75" w:after="75" w:line="240" w:lineRule="atLeast"/>
              <w:textAlignment w:val="auto"/>
              <w:rPr>
                <w:rFonts w:ascii="Cambria" w:hAnsi="Cambria"/>
                <w:szCs w:val="24"/>
                <w:lang w:val="es-ES" w:eastAsia="zh-CN"/>
              </w:rPr>
            </w:pPr>
            <w:r w:rsidRPr="0028364E">
              <w:rPr>
                <w:rFonts w:ascii="Cambria" w:hAnsi="Cambria"/>
                <w:b/>
                <w:bCs/>
                <w:i/>
                <w:iCs/>
                <w:color w:val="212F23"/>
                <w:szCs w:val="24"/>
                <w:lang w:val="es-ES" w:eastAsia="zh-CN"/>
              </w:rPr>
              <w:t> </w:t>
            </w:r>
          </w:p>
        </w:tc>
        <w:tc>
          <w:tcPr>
            <w:tcW w:w="4864" w:type="pct"/>
            <w:gridSpan w:val="2"/>
            <w:tcBorders>
              <w:top w:val="nil"/>
              <w:left w:val="nil"/>
              <w:bottom w:val="single" w:sz="8" w:space="0" w:color="4F6228"/>
              <w:right w:val="single" w:sz="8" w:space="0" w:color="4F6228"/>
            </w:tcBorders>
            <w:shd w:val="clear" w:color="auto" w:fill="B8CCE4"/>
            <w:tcMar>
              <w:top w:w="0" w:type="dxa"/>
              <w:left w:w="108" w:type="dxa"/>
              <w:bottom w:w="0" w:type="dxa"/>
              <w:right w:w="108" w:type="dxa"/>
            </w:tcMar>
          </w:tcPr>
          <w:p w:rsidR="00506F9E" w:rsidRPr="0028364E" w:rsidRDefault="00506F9E" w:rsidP="00C81F53">
            <w:pPr>
              <w:keepNext/>
              <w:tabs>
                <w:tab w:val="clear" w:pos="794"/>
                <w:tab w:val="clear" w:pos="1191"/>
                <w:tab w:val="clear" w:pos="1588"/>
                <w:tab w:val="clear" w:pos="1985"/>
              </w:tabs>
              <w:overflowPunct/>
              <w:autoSpaceDE/>
              <w:autoSpaceDN/>
              <w:adjustRightInd/>
              <w:spacing w:before="75" w:after="75" w:line="240" w:lineRule="atLeast"/>
              <w:textAlignment w:val="auto"/>
              <w:rPr>
                <w:rFonts w:ascii="Cambria" w:hAnsi="Cambria"/>
                <w:szCs w:val="24"/>
                <w:lang w:val="es-ES" w:eastAsia="zh-CN"/>
              </w:rPr>
            </w:pPr>
            <w:r w:rsidRPr="0028364E">
              <w:rPr>
                <w:rFonts w:ascii="Cambria" w:hAnsi="Cambria"/>
                <w:b/>
                <w:bCs/>
                <w:i/>
                <w:iCs/>
                <w:color w:val="212F23"/>
                <w:szCs w:val="24"/>
                <w:lang w:val="es-ES" w:eastAsia="zh-CN"/>
              </w:rPr>
              <w:t>10.00 – 10.15      Coffee break </w:t>
            </w:r>
          </w:p>
        </w:tc>
      </w:tr>
      <w:tr w:rsidR="00506F9E" w:rsidRPr="00C56969" w:rsidTr="00C81F53">
        <w:trPr>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tcPr>
          <w:p w:rsidR="00506F9E" w:rsidRPr="0028364E" w:rsidRDefault="00506F9E" w:rsidP="00C81F53">
            <w:pPr>
              <w:keepNext/>
              <w:spacing w:before="100" w:beforeAutospacing="1" w:after="100" w:afterAutospacing="1" w:line="240" w:lineRule="atLeast"/>
              <w:rPr>
                <w:rFonts w:ascii="Cambria" w:eastAsia="SimSun" w:hAnsi="Cambria"/>
                <w:szCs w:val="24"/>
                <w:lang w:val="es-ES"/>
              </w:rPr>
            </w:pPr>
            <w:r w:rsidRPr="0028364E">
              <w:rPr>
                <w:rFonts w:ascii="Cambria" w:hAnsi="Cambria"/>
                <w:lang w:val="es-ES"/>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szCs w:val="24"/>
                <w:lang w:val="es-ES"/>
              </w:rPr>
            </w:pPr>
            <w:r w:rsidRPr="0028364E">
              <w:rPr>
                <w:rFonts w:ascii="Cambria" w:hAnsi="Cambria"/>
                <w:color w:val="0F243E"/>
                <w:lang w:val="es-ES"/>
              </w:rPr>
              <w:t>10:15</w:t>
            </w:r>
            <w:r w:rsidRPr="0028364E">
              <w:rPr>
                <w:rFonts w:ascii="Cambria" w:hAnsi="Cambria"/>
                <w:color w:val="212F23"/>
                <w:lang w:val="es-ES"/>
              </w:rPr>
              <w:t xml:space="preserve"> – 12.00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tcPr>
          <w:p w:rsidR="00506F9E" w:rsidRPr="00506F9E" w:rsidRDefault="00506F9E" w:rsidP="00C81F53">
            <w:pPr>
              <w:keepNext/>
              <w:spacing w:line="240" w:lineRule="atLeast"/>
              <w:rPr>
                <w:rFonts w:ascii="Cambria" w:hAnsi="Cambria"/>
                <w:b/>
                <w:bCs/>
                <w:i/>
                <w:iCs/>
                <w:color w:val="0F243E"/>
                <w:szCs w:val="24"/>
                <w:lang w:val="en-US"/>
              </w:rPr>
            </w:pPr>
            <w:r w:rsidRPr="00506F9E">
              <w:rPr>
                <w:rFonts w:ascii="Cambria" w:hAnsi="Cambria"/>
                <w:b/>
                <w:bCs/>
                <w:i/>
                <w:iCs/>
                <w:color w:val="0F243E"/>
                <w:lang w:val="en-US"/>
              </w:rPr>
              <w:t>Session 1: Innovation Management</w:t>
            </w:r>
          </w:p>
          <w:p w:rsidR="00506F9E" w:rsidRPr="00506F9E" w:rsidRDefault="00506F9E" w:rsidP="00C81F53">
            <w:pPr>
              <w:keepNext/>
              <w:spacing w:before="0" w:line="240" w:lineRule="atLeast"/>
              <w:rPr>
                <w:rFonts w:ascii="Cambria" w:eastAsia="SimSun" w:hAnsi="Cambria"/>
                <w:color w:val="0F243E"/>
                <w:szCs w:val="24"/>
                <w:lang w:val="en-US"/>
              </w:rPr>
            </w:pPr>
            <w:r w:rsidRPr="00506F9E">
              <w:rPr>
                <w:rFonts w:ascii="Cambria" w:hAnsi="Cambria"/>
                <w:color w:val="0F243E"/>
                <w:lang w:val="en-US"/>
              </w:rPr>
              <w:t>Innovation has always been crucial to economic growth, and never more so than in this era of globalization.  But globalization can create innovation winners and losers. This session will explore the strategic importance of nurturing innovation in the developing world and the enabling role that ICTs can play in achieving this.</w:t>
            </w:r>
          </w:p>
        </w:tc>
      </w:tr>
      <w:tr w:rsidR="00506F9E" w:rsidRPr="0028364E" w:rsidTr="00C81F53">
        <w:trPr>
          <w:trHeight w:val="360"/>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tcPr>
          <w:p w:rsidR="00506F9E" w:rsidRPr="00506F9E" w:rsidRDefault="00506F9E" w:rsidP="00C81F53">
            <w:pPr>
              <w:keepNext/>
              <w:tabs>
                <w:tab w:val="clear" w:pos="794"/>
                <w:tab w:val="clear" w:pos="1191"/>
                <w:tab w:val="clear" w:pos="1588"/>
                <w:tab w:val="clear" w:pos="1985"/>
              </w:tabs>
              <w:overflowPunct/>
              <w:autoSpaceDE/>
              <w:autoSpaceDN/>
              <w:adjustRightInd/>
              <w:spacing w:before="75" w:after="75" w:line="240" w:lineRule="atLeast"/>
              <w:textAlignment w:val="auto"/>
              <w:rPr>
                <w:rFonts w:ascii="Cambria" w:hAnsi="Cambria"/>
                <w:szCs w:val="24"/>
                <w:lang w:val="en-US" w:eastAsia="zh-CN"/>
              </w:rPr>
            </w:pPr>
            <w:r w:rsidRPr="00506F9E">
              <w:rPr>
                <w:rFonts w:ascii="Cambria" w:hAnsi="Cambria"/>
                <w:b/>
                <w:bCs/>
                <w:i/>
                <w:iCs/>
                <w:color w:val="212F23"/>
                <w:szCs w:val="24"/>
                <w:lang w:val="en-US" w:eastAsia="zh-CN"/>
              </w:rPr>
              <w:t> </w:t>
            </w:r>
          </w:p>
        </w:tc>
        <w:tc>
          <w:tcPr>
            <w:tcW w:w="4864" w:type="pct"/>
            <w:gridSpan w:val="2"/>
            <w:tcBorders>
              <w:top w:val="single" w:sz="8" w:space="0" w:color="1F59A2"/>
              <w:left w:val="nil"/>
              <w:bottom w:val="nil"/>
              <w:right w:val="single" w:sz="8" w:space="0" w:color="4F6228"/>
            </w:tcBorders>
            <w:shd w:val="clear" w:color="auto" w:fill="C6D9F1"/>
            <w:tcMar>
              <w:top w:w="0" w:type="dxa"/>
              <w:left w:w="108" w:type="dxa"/>
              <w:bottom w:w="0" w:type="dxa"/>
              <w:right w:w="108" w:type="dxa"/>
            </w:tcMar>
          </w:tcPr>
          <w:p w:rsidR="00506F9E" w:rsidRPr="0028364E" w:rsidRDefault="00506F9E" w:rsidP="00C81F53">
            <w:pPr>
              <w:keepNext/>
              <w:tabs>
                <w:tab w:val="clear" w:pos="794"/>
                <w:tab w:val="clear" w:pos="1191"/>
                <w:tab w:val="clear" w:pos="1588"/>
                <w:tab w:val="clear" w:pos="1985"/>
              </w:tabs>
              <w:overflowPunct/>
              <w:autoSpaceDE/>
              <w:autoSpaceDN/>
              <w:adjustRightInd/>
              <w:spacing w:before="75" w:after="75" w:line="240" w:lineRule="atLeast"/>
              <w:textAlignment w:val="auto"/>
              <w:rPr>
                <w:rFonts w:ascii="Cambria" w:hAnsi="Cambria"/>
                <w:szCs w:val="24"/>
                <w:lang w:val="es-ES" w:eastAsia="zh-CN"/>
              </w:rPr>
            </w:pPr>
            <w:r w:rsidRPr="0028364E">
              <w:rPr>
                <w:rFonts w:ascii="Cambria" w:hAnsi="Cambria"/>
                <w:b/>
                <w:bCs/>
                <w:i/>
                <w:iCs/>
                <w:color w:val="212F23"/>
                <w:szCs w:val="24"/>
                <w:lang w:val="es-ES" w:eastAsia="zh-CN"/>
              </w:rPr>
              <w:t>12.00 – 14.00       Lunch</w:t>
            </w:r>
          </w:p>
        </w:tc>
      </w:tr>
      <w:tr w:rsidR="00506F9E" w:rsidRPr="00C56969" w:rsidTr="00C81F53">
        <w:trPr>
          <w:trHeight w:val="1359"/>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tcPr>
          <w:p w:rsidR="00506F9E" w:rsidRPr="0028364E" w:rsidRDefault="00506F9E" w:rsidP="00C81F53">
            <w:pPr>
              <w:keepNext/>
              <w:spacing w:before="100" w:beforeAutospacing="1" w:after="100" w:afterAutospacing="1" w:line="240" w:lineRule="atLeast"/>
              <w:rPr>
                <w:rFonts w:ascii="Cambria" w:eastAsia="SimSun" w:hAnsi="Cambria"/>
                <w:szCs w:val="24"/>
                <w:lang w:val="es-ES"/>
              </w:rPr>
            </w:pPr>
            <w:r w:rsidRPr="0028364E">
              <w:rPr>
                <w:rFonts w:ascii="Cambria" w:hAnsi="Cambria"/>
                <w:lang w:val="es-ES"/>
              </w:rPr>
              <w:t> </w:t>
            </w:r>
          </w:p>
        </w:tc>
        <w:tc>
          <w:tcPr>
            <w:tcW w:w="1049"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szCs w:val="24"/>
                <w:lang w:val="es-ES"/>
              </w:rPr>
            </w:pPr>
            <w:r w:rsidRPr="0028364E">
              <w:rPr>
                <w:rFonts w:ascii="Cambria" w:hAnsi="Cambria"/>
                <w:color w:val="0F243E"/>
                <w:lang w:val="es-ES"/>
              </w:rPr>
              <w:t>14.00 – 16.00</w:t>
            </w:r>
          </w:p>
        </w:tc>
        <w:tc>
          <w:tcPr>
            <w:tcW w:w="3815"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tcPr>
          <w:p w:rsidR="00506F9E" w:rsidRPr="00506F9E" w:rsidRDefault="00506F9E" w:rsidP="00C81F53">
            <w:pPr>
              <w:keepNext/>
              <w:tabs>
                <w:tab w:val="clear" w:pos="794"/>
                <w:tab w:val="clear" w:pos="1191"/>
                <w:tab w:val="clear" w:pos="1588"/>
                <w:tab w:val="clear" w:pos="1985"/>
              </w:tabs>
              <w:overflowPunct/>
              <w:autoSpaceDE/>
              <w:autoSpaceDN/>
              <w:adjustRightInd/>
              <w:spacing w:after="75" w:line="240" w:lineRule="atLeast"/>
              <w:textAlignment w:val="auto"/>
              <w:rPr>
                <w:rFonts w:ascii="Cambria" w:hAnsi="Cambria"/>
                <w:b/>
                <w:bCs/>
                <w:i/>
                <w:iCs/>
                <w:color w:val="0F243E"/>
                <w:szCs w:val="24"/>
                <w:lang w:val="en-US" w:eastAsia="zh-CN"/>
              </w:rPr>
            </w:pPr>
            <w:r w:rsidRPr="00506F9E">
              <w:rPr>
                <w:rFonts w:ascii="Cambria" w:hAnsi="Cambria"/>
                <w:b/>
                <w:bCs/>
                <w:i/>
                <w:iCs/>
                <w:color w:val="0F243E"/>
                <w:szCs w:val="24"/>
                <w:lang w:val="en-US" w:eastAsia="zh-CN"/>
              </w:rPr>
              <w:t xml:space="preserve">Session 2: World Café@ Innovation </w:t>
            </w:r>
          </w:p>
          <w:p w:rsidR="00506F9E" w:rsidRPr="00506F9E" w:rsidRDefault="00506F9E" w:rsidP="00C81F53">
            <w:pPr>
              <w:keepNext/>
              <w:tabs>
                <w:tab w:val="clear" w:pos="794"/>
                <w:tab w:val="clear" w:pos="1191"/>
                <w:tab w:val="clear" w:pos="1588"/>
                <w:tab w:val="clear" w:pos="1985"/>
              </w:tabs>
              <w:overflowPunct/>
              <w:autoSpaceDE/>
              <w:autoSpaceDN/>
              <w:adjustRightInd/>
              <w:spacing w:before="75" w:after="75" w:line="240" w:lineRule="atLeast"/>
              <w:textAlignment w:val="auto"/>
              <w:rPr>
                <w:rFonts w:ascii="Cambria" w:hAnsi="Cambria"/>
                <w:szCs w:val="24"/>
                <w:lang w:val="en-US" w:eastAsia="zh-CN"/>
              </w:rPr>
            </w:pPr>
            <w:r w:rsidRPr="00506F9E">
              <w:rPr>
                <w:rFonts w:ascii="Cambria" w:hAnsi="Cambria"/>
                <w:szCs w:val="24"/>
                <w:lang w:val="en-US" w:eastAsia="zh-CN"/>
              </w:rPr>
              <w:t>This session will be conducted in a World Café Style to ensure the active involvement of each and every participant in a generative discussion around the key questions and issues that the Focus Group would need to address during its work and the working methods of the team.</w:t>
            </w:r>
          </w:p>
        </w:tc>
      </w:tr>
      <w:tr w:rsidR="00506F9E" w:rsidRPr="0028364E" w:rsidTr="00C81F53">
        <w:trPr>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tcPr>
          <w:p w:rsidR="00506F9E" w:rsidRPr="00506F9E" w:rsidRDefault="00506F9E" w:rsidP="00C81F53">
            <w:pPr>
              <w:keepNext/>
              <w:tabs>
                <w:tab w:val="clear" w:pos="794"/>
                <w:tab w:val="clear" w:pos="1191"/>
                <w:tab w:val="clear" w:pos="1588"/>
                <w:tab w:val="clear" w:pos="1985"/>
              </w:tabs>
              <w:overflowPunct/>
              <w:autoSpaceDE/>
              <w:autoSpaceDN/>
              <w:adjustRightInd/>
              <w:spacing w:before="80" w:after="80" w:line="240" w:lineRule="atLeast"/>
              <w:jc w:val="center"/>
              <w:textAlignment w:val="auto"/>
              <w:rPr>
                <w:rFonts w:ascii="Cambria" w:hAnsi="Cambria"/>
                <w:szCs w:val="24"/>
                <w:lang w:val="en-US" w:eastAsia="zh-CN"/>
              </w:rPr>
            </w:pPr>
            <w:r w:rsidRPr="00506F9E">
              <w:rPr>
                <w:rFonts w:ascii="Cambria" w:hAnsi="Cambria"/>
                <w:i/>
                <w:iCs/>
                <w:szCs w:val="24"/>
                <w:lang w:val="en-US" w:eastAsia="zh-CN"/>
              </w:rPr>
              <w:t> </w:t>
            </w:r>
          </w:p>
        </w:tc>
        <w:tc>
          <w:tcPr>
            <w:tcW w:w="4864" w:type="pct"/>
            <w:gridSpan w:val="2"/>
            <w:tcBorders>
              <w:top w:val="nil"/>
              <w:left w:val="nil"/>
              <w:bottom w:val="single" w:sz="8" w:space="0" w:color="4F6228"/>
              <w:right w:val="single" w:sz="8" w:space="0" w:color="4F6228"/>
            </w:tcBorders>
            <w:shd w:val="clear" w:color="auto" w:fill="C6D9F1"/>
            <w:tcMar>
              <w:top w:w="0" w:type="dxa"/>
              <w:left w:w="108" w:type="dxa"/>
              <w:bottom w:w="0" w:type="dxa"/>
              <w:right w:w="108" w:type="dxa"/>
            </w:tcMar>
          </w:tcPr>
          <w:p w:rsidR="00506F9E" w:rsidRPr="0028364E" w:rsidRDefault="00506F9E" w:rsidP="00C81F53">
            <w:pPr>
              <w:keepNext/>
              <w:tabs>
                <w:tab w:val="clear" w:pos="794"/>
                <w:tab w:val="clear" w:pos="1191"/>
                <w:tab w:val="clear" w:pos="1588"/>
                <w:tab w:val="clear" w:pos="1985"/>
              </w:tabs>
              <w:overflowPunct/>
              <w:autoSpaceDE/>
              <w:autoSpaceDN/>
              <w:adjustRightInd/>
              <w:spacing w:before="75" w:after="75" w:line="240" w:lineRule="atLeast"/>
              <w:textAlignment w:val="auto"/>
              <w:rPr>
                <w:rFonts w:ascii="Cambria" w:hAnsi="Cambria"/>
                <w:szCs w:val="24"/>
                <w:lang w:val="es-ES" w:eastAsia="zh-CN"/>
              </w:rPr>
            </w:pPr>
            <w:r w:rsidRPr="0028364E">
              <w:rPr>
                <w:rFonts w:ascii="Cambria" w:hAnsi="Cambria"/>
                <w:b/>
                <w:bCs/>
                <w:i/>
                <w:iCs/>
                <w:color w:val="212F23"/>
                <w:szCs w:val="24"/>
                <w:lang w:val="es-ES" w:eastAsia="zh-CN"/>
              </w:rPr>
              <w:t>16.00 – 16.15     Coffee break </w:t>
            </w:r>
          </w:p>
        </w:tc>
      </w:tr>
      <w:tr w:rsidR="00506F9E" w:rsidRPr="00C56969" w:rsidTr="00C81F53">
        <w:trPr>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tcPr>
          <w:p w:rsidR="00506F9E" w:rsidRPr="0028364E" w:rsidRDefault="00506F9E" w:rsidP="00C81F53">
            <w:pPr>
              <w:keepNext/>
              <w:spacing w:before="100" w:beforeAutospacing="1" w:after="100" w:afterAutospacing="1" w:line="240" w:lineRule="atLeast"/>
              <w:rPr>
                <w:rFonts w:ascii="Cambria" w:eastAsia="SimSun" w:hAnsi="Cambria"/>
                <w:szCs w:val="24"/>
                <w:lang w:val="es-ES"/>
              </w:rPr>
            </w:pPr>
            <w:r w:rsidRPr="0028364E">
              <w:rPr>
                <w:rFonts w:ascii="Cambria" w:hAnsi="Cambria"/>
                <w:lang w:val="es-ES"/>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szCs w:val="24"/>
                <w:lang w:val="es-ES"/>
              </w:rPr>
            </w:pPr>
            <w:r w:rsidRPr="0028364E">
              <w:rPr>
                <w:rFonts w:ascii="Cambria" w:hAnsi="Cambria"/>
                <w:lang w:val="es-ES"/>
              </w:rPr>
              <w:t>16.15 – 17.15</w:t>
            </w:r>
          </w:p>
        </w:tc>
        <w:tc>
          <w:tcPr>
            <w:tcW w:w="3815"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tcPr>
          <w:p w:rsidR="00506F9E" w:rsidRPr="00506F9E" w:rsidRDefault="00506F9E" w:rsidP="00C81F53">
            <w:pPr>
              <w:keepNext/>
              <w:tabs>
                <w:tab w:val="clear" w:pos="794"/>
                <w:tab w:val="clear" w:pos="1191"/>
                <w:tab w:val="clear" w:pos="1588"/>
                <w:tab w:val="clear" w:pos="1985"/>
              </w:tabs>
              <w:overflowPunct/>
              <w:autoSpaceDE/>
              <w:autoSpaceDN/>
              <w:adjustRightInd/>
              <w:spacing w:after="75" w:line="240" w:lineRule="atLeast"/>
              <w:textAlignment w:val="auto"/>
              <w:rPr>
                <w:rFonts w:ascii="Cambria" w:hAnsi="Cambria"/>
                <w:b/>
                <w:bCs/>
                <w:i/>
                <w:iCs/>
                <w:color w:val="0F243E"/>
                <w:szCs w:val="24"/>
                <w:lang w:val="en-US" w:eastAsia="zh-CN"/>
              </w:rPr>
            </w:pPr>
            <w:r w:rsidRPr="00506F9E">
              <w:rPr>
                <w:rFonts w:ascii="Cambria" w:hAnsi="Cambria"/>
                <w:b/>
                <w:bCs/>
                <w:i/>
                <w:iCs/>
                <w:color w:val="0F243E"/>
                <w:szCs w:val="24"/>
                <w:lang w:val="en-US" w:eastAsia="zh-CN"/>
              </w:rPr>
              <w:t>Session 2: World Café @ Innovation (Continued)</w:t>
            </w:r>
          </w:p>
        </w:tc>
      </w:tr>
      <w:tr w:rsidR="00506F9E" w:rsidRPr="0028364E" w:rsidTr="00C81F53">
        <w:trPr>
          <w:jc w:val="center"/>
        </w:trPr>
        <w:tc>
          <w:tcPr>
            <w:tcW w:w="136" w:type="pct"/>
            <w:tcBorders>
              <w:top w:val="nil"/>
              <w:left w:val="single" w:sz="8" w:space="0" w:color="auto"/>
              <w:bottom w:val="single" w:sz="8" w:space="0" w:color="4F6228"/>
              <w:right w:val="single" w:sz="8" w:space="0" w:color="4F6228"/>
            </w:tcBorders>
            <w:shd w:val="clear" w:color="auto" w:fill="C6D9F1"/>
            <w:tcMar>
              <w:top w:w="0" w:type="dxa"/>
              <w:left w:w="108" w:type="dxa"/>
              <w:bottom w:w="0" w:type="dxa"/>
              <w:right w:w="108" w:type="dxa"/>
            </w:tcMar>
          </w:tcPr>
          <w:p w:rsidR="00506F9E" w:rsidRPr="00506F9E" w:rsidRDefault="00506F9E" w:rsidP="00C81F53">
            <w:pPr>
              <w:keepNext/>
              <w:spacing w:before="100" w:beforeAutospacing="1" w:after="100" w:afterAutospacing="1" w:line="240" w:lineRule="atLeast"/>
              <w:rPr>
                <w:rFonts w:ascii="Cambria" w:eastAsia="SimSun" w:hAnsi="Cambria"/>
                <w:szCs w:val="24"/>
                <w:lang w:val="en-US"/>
              </w:rPr>
            </w:pPr>
            <w:r w:rsidRPr="00506F9E">
              <w:rPr>
                <w:rFonts w:ascii="Cambria" w:hAnsi="Cambria"/>
                <w:lang w:val="en-US"/>
              </w:rPr>
              <w:t> </w:t>
            </w:r>
          </w:p>
        </w:tc>
        <w:tc>
          <w:tcPr>
            <w:tcW w:w="1049"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szCs w:val="24"/>
                <w:lang w:val="es-ES"/>
              </w:rPr>
            </w:pPr>
            <w:r w:rsidRPr="0028364E">
              <w:rPr>
                <w:rFonts w:ascii="Cambria" w:hAnsi="Cambria"/>
                <w:color w:val="212F23"/>
                <w:lang w:val="es-ES"/>
              </w:rPr>
              <w:t>17.15 – 17.30</w:t>
            </w:r>
          </w:p>
        </w:tc>
        <w:tc>
          <w:tcPr>
            <w:tcW w:w="3815"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20" w:line="240" w:lineRule="atLeast"/>
              <w:rPr>
                <w:rFonts w:ascii="Cambria" w:eastAsia="SimSun" w:hAnsi="Cambria"/>
                <w:szCs w:val="24"/>
                <w:lang w:val="es-ES"/>
              </w:rPr>
            </w:pPr>
            <w:r w:rsidRPr="0028364E">
              <w:rPr>
                <w:rFonts w:ascii="Cambria" w:hAnsi="Cambria"/>
                <w:i/>
                <w:iCs/>
                <w:color w:val="0F243E"/>
                <w:lang w:val="es-ES"/>
              </w:rPr>
              <w:t>Wrap up  Day 1</w:t>
            </w:r>
          </w:p>
        </w:tc>
      </w:tr>
    </w:tbl>
    <w:p w:rsidR="00506F9E" w:rsidRPr="00AB713B" w:rsidRDefault="00506F9E" w:rsidP="00506F9E">
      <w:pPr>
        <w:tabs>
          <w:tab w:val="clear" w:pos="794"/>
        </w:tabs>
        <w:spacing w:before="0"/>
        <w:rPr>
          <w:sz w:val="20"/>
          <w:lang w:val="es-ES"/>
        </w:rPr>
      </w:pPr>
    </w:p>
    <w:tbl>
      <w:tblPr>
        <w:tblW w:w="5018" w:type="pct"/>
        <w:jc w:val="center"/>
        <w:shd w:val="clear" w:color="auto" w:fill="FFFFFF"/>
        <w:tblCellMar>
          <w:left w:w="0" w:type="dxa"/>
          <w:right w:w="0" w:type="dxa"/>
        </w:tblCellMar>
        <w:tblLook w:val="04A0" w:firstRow="1" w:lastRow="0" w:firstColumn="1" w:lastColumn="0" w:noHBand="0" w:noVBand="1"/>
      </w:tblPr>
      <w:tblGrid>
        <w:gridCol w:w="269"/>
        <w:gridCol w:w="2075"/>
        <w:gridCol w:w="7546"/>
      </w:tblGrid>
      <w:tr w:rsidR="00506F9E" w:rsidRPr="0028364E" w:rsidTr="00C81F53">
        <w:trPr>
          <w:tblHeader/>
          <w:jc w:val="center"/>
        </w:trPr>
        <w:tc>
          <w:tcPr>
            <w:tcW w:w="5000" w:type="pct"/>
            <w:gridSpan w:val="3"/>
            <w:tcBorders>
              <w:top w:val="single" w:sz="8" w:space="0" w:color="auto"/>
              <w:left w:val="single" w:sz="8" w:space="0" w:color="auto"/>
              <w:bottom w:val="single" w:sz="8" w:space="0" w:color="4F6228"/>
              <w:right w:val="single" w:sz="8" w:space="0" w:color="auto"/>
            </w:tcBorders>
            <w:shd w:val="clear" w:color="auto" w:fill="C6D9F1"/>
            <w:tcMar>
              <w:top w:w="0" w:type="dxa"/>
              <w:left w:w="108" w:type="dxa"/>
              <w:bottom w:w="0" w:type="dxa"/>
              <w:right w:w="108" w:type="dxa"/>
            </w:tcMar>
          </w:tcPr>
          <w:p w:rsidR="00506F9E" w:rsidRPr="0028364E" w:rsidRDefault="00506F9E" w:rsidP="00C81F53">
            <w:pPr>
              <w:keepNext/>
              <w:tabs>
                <w:tab w:val="clear" w:pos="794"/>
                <w:tab w:val="clear" w:pos="1191"/>
                <w:tab w:val="clear" w:pos="1588"/>
                <w:tab w:val="clear" w:pos="1985"/>
              </w:tabs>
              <w:overflowPunct/>
              <w:autoSpaceDE/>
              <w:autoSpaceDN/>
              <w:adjustRightInd/>
              <w:spacing w:before="96" w:after="96" w:line="240" w:lineRule="atLeast"/>
              <w:jc w:val="center"/>
              <w:textAlignment w:val="auto"/>
              <w:rPr>
                <w:rFonts w:ascii="Cambria" w:hAnsi="Cambria"/>
                <w:szCs w:val="24"/>
                <w:lang w:val="es-ES" w:eastAsia="zh-CN"/>
              </w:rPr>
            </w:pPr>
            <w:r w:rsidRPr="0028364E">
              <w:rPr>
                <w:rFonts w:ascii="Cambria" w:hAnsi="Cambria"/>
                <w:b/>
                <w:bCs/>
                <w:i/>
                <w:iCs/>
                <w:szCs w:val="24"/>
                <w:lang w:val="es-ES" w:eastAsia="zh-CN"/>
              </w:rPr>
              <w:t>Day 2: Wednesday 21 March</w:t>
            </w:r>
          </w:p>
        </w:tc>
      </w:tr>
      <w:tr w:rsidR="00506F9E" w:rsidRPr="00C56969" w:rsidTr="00C81F53">
        <w:trPr>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tcPr>
          <w:p w:rsidR="00506F9E" w:rsidRPr="0028364E" w:rsidRDefault="00506F9E" w:rsidP="00C81F53">
            <w:pPr>
              <w:keepNext/>
              <w:spacing w:before="100" w:beforeAutospacing="1" w:after="100" w:afterAutospacing="1" w:line="240" w:lineRule="atLeast"/>
              <w:rPr>
                <w:rFonts w:ascii="Cambria" w:eastAsia="SimSun" w:hAnsi="Cambria"/>
                <w:szCs w:val="24"/>
                <w:lang w:val="es-ES"/>
              </w:rPr>
            </w:pPr>
            <w:r w:rsidRPr="0028364E">
              <w:rPr>
                <w:rFonts w:ascii="Cambria" w:hAnsi="Cambria"/>
                <w:lang w:val="es-ES"/>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szCs w:val="24"/>
                <w:lang w:val="es-ES"/>
              </w:rPr>
            </w:pPr>
            <w:r w:rsidRPr="0028364E">
              <w:rPr>
                <w:rFonts w:ascii="Cambria" w:hAnsi="Cambria"/>
                <w:color w:val="0F243E"/>
                <w:lang w:val="es-ES"/>
              </w:rPr>
              <w:t> 09.00 – 10.30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tcPr>
          <w:p w:rsidR="00506F9E" w:rsidRPr="00506F9E" w:rsidRDefault="00506F9E" w:rsidP="00C81F53">
            <w:pPr>
              <w:keepNext/>
              <w:spacing w:line="240" w:lineRule="atLeast"/>
              <w:rPr>
                <w:rFonts w:ascii="Cambria" w:hAnsi="Cambria"/>
                <w:szCs w:val="24"/>
                <w:lang w:val="en-US"/>
              </w:rPr>
            </w:pPr>
            <w:r w:rsidRPr="00506F9E">
              <w:rPr>
                <w:rFonts w:ascii="Cambria" w:hAnsi="Cambria"/>
                <w:b/>
                <w:bCs/>
                <w:i/>
                <w:iCs/>
                <w:color w:val="0F243E"/>
                <w:lang w:val="en-US"/>
              </w:rPr>
              <w:t>Session 3: Innovator’s Corner</w:t>
            </w:r>
          </w:p>
          <w:p w:rsidR="00506F9E" w:rsidRPr="00506F9E" w:rsidRDefault="00506F9E" w:rsidP="00C81F53">
            <w:pPr>
              <w:keepNext/>
              <w:spacing w:before="0" w:after="120" w:line="240" w:lineRule="atLeast"/>
              <w:rPr>
                <w:rFonts w:ascii="Cambria" w:eastAsia="SimSun" w:hAnsi="Cambria"/>
                <w:color w:val="0F243E"/>
                <w:szCs w:val="24"/>
                <w:lang w:val="en-US"/>
              </w:rPr>
            </w:pPr>
            <w:r w:rsidRPr="00506F9E">
              <w:rPr>
                <w:rFonts w:ascii="Cambria" w:hAnsi="Cambria"/>
                <w:color w:val="0F243E"/>
                <w:lang w:val="en-US"/>
              </w:rPr>
              <w:t>During this session, presentations on successful ICT innovations will be made identifying the socioeconomic impact of the implementation and its applicability for the developing world.</w:t>
            </w:r>
          </w:p>
        </w:tc>
      </w:tr>
      <w:tr w:rsidR="00506F9E" w:rsidRPr="0028364E" w:rsidTr="00C81F53">
        <w:trPr>
          <w:trHeight w:val="547"/>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tcPr>
          <w:p w:rsidR="00506F9E" w:rsidRPr="00506F9E" w:rsidRDefault="00506F9E" w:rsidP="00C81F53">
            <w:pPr>
              <w:spacing w:before="0"/>
              <w:rPr>
                <w:rFonts w:ascii="Calibri" w:eastAsia="SimSun" w:hAnsi="Calibri" w:cs="Arial"/>
                <w:szCs w:val="22"/>
                <w:lang w:val="en-US"/>
              </w:rPr>
            </w:pPr>
          </w:p>
        </w:tc>
        <w:tc>
          <w:tcPr>
            <w:tcW w:w="4864" w:type="pct"/>
            <w:gridSpan w:val="2"/>
            <w:tcBorders>
              <w:top w:val="single" w:sz="8" w:space="0" w:color="4F6228"/>
              <w:left w:val="nil"/>
              <w:bottom w:val="outset" w:sz="8" w:space="0" w:color="4F6228"/>
              <w:right w:val="single" w:sz="8" w:space="0" w:color="4F6228"/>
            </w:tcBorders>
            <w:shd w:val="clear" w:color="auto" w:fill="C6D9F1"/>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szCs w:val="24"/>
                <w:lang w:val="es-ES"/>
              </w:rPr>
            </w:pPr>
            <w:r w:rsidRPr="00506F9E">
              <w:rPr>
                <w:rFonts w:ascii="Cambria" w:hAnsi="Cambria"/>
                <w:lang w:val="en-US"/>
              </w:rPr>
              <w:t> </w:t>
            </w:r>
            <w:r w:rsidRPr="0028364E">
              <w:rPr>
                <w:rFonts w:ascii="Cambria" w:hAnsi="Cambria"/>
                <w:b/>
                <w:bCs/>
                <w:i/>
                <w:iCs/>
                <w:color w:val="212F23"/>
                <w:lang w:val="es-ES"/>
              </w:rPr>
              <w:t>10.30  – 10.45      Coffee break </w:t>
            </w:r>
          </w:p>
        </w:tc>
      </w:tr>
      <w:tr w:rsidR="00506F9E" w:rsidRPr="00C56969" w:rsidTr="00C81F53">
        <w:trPr>
          <w:trHeight w:val="245"/>
          <w:jc w:val="center"/>
        </w:trPr>
        <w:tc>
          <w:tcPr>
            <w:tcW w:w="136" w:type="pct"/>
            <w:tcBorders>
              <w:top w:val="nil"/>
              <w:left w:val="single" w:sz="8" w:space="0" w:color="auto"/>
              <w:right w:val="single" w:sz="8" w:space="0" w:color="4F6228"/>
            </w:tcBorders>
            <w:shd w:val="clear" w:color="auto" w:fill="C6D9F1"/>
            <w:tcMar>
              <w:top w:w="0" w:type="dxa"/>
              <w:left w:w="108" w:type="dxa"/>
              <w:bottom w:w="0" w:type="dxa"/>
              <w:right w:w="108" w:type="dxa"/>
            </w:tcMar>
          </w:tcPr>
          <w:p w:rsidR="00506F9E" w:rsidRPr="0028364E" w:rsidRDefault="00506F9E" w:rsidP="00C81F53">
            <w:pPr>
              <w:spacing w:before="0"/>
              <w:rPr>
                <w:rFonts w:ascii="Calibri" w:eastAsia="SimSun" w:hAnsi="Calibri" w:cs="Arial"/>
                <w:szCs w:val="22"/>
                <w:lang w:val="es-ES"/>
              </w:rPr>
            </w:pPr>
          </w:p>
        </w:tc>
        <w:tc>
          <w:tcPr>
            <w:tcW w:w="1049" w:type="pct"/>
            <w:tcBorders>
              <w:top w:val="nil"/>
              <w:left w:val="nil"/>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color w:val="212F23"/>
                <w:szCs w:val="24"/>
                <w:lang w:val="es-ES"/>
              </w:rPr>
            </w:pPr>
            <w:r w:rsidRPr="0028364E">
              <w:rPr>
                <w:rFonts w:ascii="Cambria" w:hAnsi="Cambria"/>
                <w:color w:val="212F23"/>
                <w:lang w:val="es-ES"/>
              </w:rPr>
              <w:t>10.45 – 12.00</w:t>
            </w:r>
          </w:p>
        </w:tc>
        <w:tc>
          <w:tcPr>
            <w:tcW w:w="3815" w:type="pct"/>
            <w:tcBorders>
              <w:top w:val="nil"/>
              <w:left w:val="nil"/>
              <w:right w:val="single" w:sz="8" w:space="0" w:color="4F6228"/>
            </w:tcBorders>
            <w:shd w:val="clear" w:color="auto" w:fill="FFFFFF"/>
            <w:tcMar>
              <w:top w:w="0" w:type="dxa"/>
              <w:left w:w="108" w:type="dxa"/>
              <w:bottom w:w="0" w:type="dxa"/>
              <w:right w:w="108" w:type="dxa"/>
            </w:tcMar>
          </w:tcPr>
          <w:p w:rsidR="00506F9E" w:rsidRPr="00506F9E" w:rsidRDefault="00506F9E" w:rsidP="00C81F53">
            <w:pPr>
              <w:keepNext/>
              <w:spacing w:line="240" w:lineRule="atLeast"/>
              <w:rPr>
                <w:rFonts w:ascii="Cambria" w:hAnsi="Cambria"/>
                <w:b/>
                <w:bCs/>
                <w:i/>
                <w:iCs/>
                <w:color w:val="0F243E"/>
                <w:szCs w:val="24"/>
                <w:lang w:val="en-US"/>
              </w:rPr>
            </w:pPr>
            <w:r w:rsidRPr="00506F9E">
              <w:rPr>
                <w:rFonts w:ascii="Cambria" w:hAnsi="Cambria"/>
                <w:b/>
                <w:bCs/>
                <w:i/>
                <w:iCs/>
                <w:color w:val="0F243E"/>
                <w:lang w:val="en-US"/>
              </w:rPr>
              <w:t>Session 4: Standardization Corner</w:t>
            </w:r>
          </w:p>
          <w:p w:rsidR="00506F9E" w:rsidRPr="00506F9E" w:rsidRDefault="00506F9E" w:rsidP="00C81F53">
            <w:pPr>
              <w:keepNext/>
              <w:spacing w:before="0" w:after="100" w:afterAutospacing="1" w:line="240" w:lineRule="atLeast"/>
              <w:rPr>
                <w:rFonts w:ascii="Cambria" w:eastAsia="SimSun" w:hAnsi="Cambria"/>
                <w:b/>
                <w:bCs/>
                <w:i/>
                <w:iCs/>
                <w:color w:val="0F243E"/>
                <w:szCs w:val="24"/>
                <w:lang w:val="en-US"/>
              </w:rPr>
            </w:pPr>
            <w:r w:rsidRPr="00506F9E">
              <w:rPr>
                <w:rFonts w:ascii="Cambria" w:hAnsi="Cambria"/>
                <w:color w:val="0F243E"/>
                <w:lang w:val="en-US"/>
              </w:rPr>
              <w:t>Standards play a key role in the virtuous cycle of innovation. They allow technology investment to concentrate in a much smaller area of innovation. During this session, presentations on the link between standards and innovation will demonstrate the importance of global standards for developing countries.</w:t>
            </w:r>
          </w:p>
        </w:tc>
      </w:tr>
      <w:tr w:rsidR="00506F9E" w:rsidRPr="0028364E" w:rsidTr="00C81F53">
        <w:trPr>
          <w:trHeight w:val="245"/>
          <w:jc w:val="center"/>
        </w:trPr>
        <w:tc>
          <w:tcPr>
            <w:tcW w:w="136" w:type="pct"/>
            <w:tcBorders>
              <w:top w:val="nil"/>
              <w:left w:val="single" w:sz="8" w:space="0" w:color="auto"/>
              <w:bottom w:val="single" w:sz="4" w:space="0" w:color="auto"/>
              <w:right w:val="single" w:sz="8" w:space="0" w:color="4F6228"/>
            </w:tcBorders>
            <w:shd w:val="clear" w:color="auto" w:fill="C6D9F1"/>
            <w:tcMar>
              <w:top w:w="0" w:type="dxa"/>
              <w:left w:w="108" w:type="dxa"/>
              <w:bottom w:w="0" w:type="dxa"/>
              <w:right w:w="108" w:type="dxa"/>
            </w:tcMar>
          </w:tcPr>
          <w:p w:rsidR="00506F9E" w:rsidRPr="00506F9E" w:rsidRDefault="00506F9E" w:rsidP="00C81F53">
            <w:pPr>
              <w:spacing w:before="0"/>
              <w:rPr>
                <w:rFonts w:ascii="Calibri" w:eastAsia="SimSun" w:hAnsi="Calibri" w:cs="Arial"/>
                <w:szCs w:val="22"/>
                <w:lang w:val="en-US"/>
              </w:rPr>
            </w:pP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spacing w:after="100" w:afterAutospacing="1" w:line="240" w:lineRule="atLeast"/>
              <w:rPr>
                <w:rFonts w:ascii="Cambria" w:eastAsia="SimSun" w:hAnsi="Cambria"/>
                <w:color w:val="212F23"/>
                <w:szCs w:val="24"/>
                <w:lang w:val="es-ES"/>
              </w:rPr>
            </w:pPr>
            <w:r w:rsidRPr="0028364E">
              <w:rPr>
                <w:rFonts w:ascii="Cambria" w:hAnsi="Cambria"/>
                <w:color w:val="212F23"/>
                <w:lang w:val="es-ES"/>
              </w:rPr>
              <w:t>12.00 – 12.30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tcPr>
          <w:p w:rsidR="00506F9E" w:rsidRPr="0028364E" w:rsidRDefault="00506F9E" w:rsidP="00C81F53">
            <w:pPr>
              <w:keepNext/>
              <w:tabs>
                <w:tab w:val="clear" w:pos="794"/>
                <w:tab w:val="clear" w:pos="1191"/>
                <w:tab w:val="clear" w:pos="1588"/>
                <w:tab w:val="clear" w:pos="1985"/>
              </w:tabs>
              <w:overflowPunct/>
              <w:autoSpaceDE/>
              <w:autoSpaceDN/>
              <w:adjustRightInd/>
              <w:spacing w:after="75" w:line="240" w:lineRule="atLeast"/>
              <w:textAlignment w:val="auto"/>
              <w:rPr>
                <w:rFonts w:ascii="Cambria" w:hAnsi="Cambria"/>
                <w:b/>
                <w:bCs/>
                <w:color w:val="0F243E"/>
                <w:szCs w:val="24"/>
                <w:lang w:val="es-ES" w:eastAsia="zh-CN"/>
              </w:rPr>
            </w:pPr>
            <w:r w:rsidRPr="0028364E">
              <w:rPr>
                <w:rFonts w:ascii="Cambria" w:hAnsi="Cambria"/>
                <w:b/>
                <w:bCs/>
                <w:color w:val="0F243E"/>
                <w:szCs w:val="24"/>
                <w:lang w:val="es-ES" w:eastAsia="zh-CN"/>
              </w:rPr>
              <w:t xml:space="preserve">Concluding Remarks </w:t>
            </w:r>
          </w:p>
        </w:tc>
      </w:tr>
    </w:tbl>
    <w:p w:rsidR="00506F9E" w:rsidRPr="00AB713B" w:rsidRDefault="00506F9E" w:rsidP="00506F9E">
      <w:pPr>
        <w:tabs>
          <w:tab w:val="clear" w:pos="794"/>
          <w:tab w:val="clear" w:pos="1191"/>
          <w:tab w:val="clear" w:pos="1588"/>
          <w:tab w:val="clear" w:pos="1985"/>
        </w:tabs>
        <w:overflowPunct/>
        <w:autoSpaceDE/>
        <w:autoSpaceDN/>
        <w:adjustRightInd/>
        <w:spacing w:before="0"/>
        <w:textAlignment w:val="auto"/>
        <w:rPr>
          <w:sz w:val="20"/>
          <w:lang w:val="es-ES"/>
        </w:rPr>
        <w:sectPr w:rsidR="00506F9E" w:rsidRPr="00AB713B" w:rsidSect="00AB713B">
          <w:type w:val="oddPage"/>
          <w:pgSz w:w="11907" w:h="16840" w:code="9"/>
          <w:pgMar w:top="1134" w:right="1134" w:bottom="1134" w:left="1134" w:header="567" w:footer="567" w:gutter="0"/>
          <w:paperSrc w:first="15" w:other="15"/>
          <w:cols w:space="720"/>
          <w:docGrid w:linePitch="326"/>
        </w:sectPr>
      </w:pPr>
    </w:p>
    <w:p w:rsidR="00E258FE" w:rsidRDefault="00E258FE" w:rsidP="00E258FE">
      <w:pPr>
        <w:pStyle w:val="Annex"/>
        <w:rPr>
          <w:lang w:val="es-ES"/>
        </w:rPr>
      </w:pPr>
      <w:r>
        <w:rPr>
          <w:lang w:val="es-ES"/>
        </w:rPr>
        <w:lastRenderedPageBreak/>
        <w:t>annex 4</w:t>
      </w:r>
    </w:p>
    <w:p w:rsidR="00506F9E" w:rsidRPr="0028364E" w:rsidRDefault="00E258FE" w:rsidP="00E258FE">
      <w:pPr>
        <w:jc w:val="center"/>
        <w:rPr>
          <w:lang w:val="es-ES"/>
        </w:rPr>
      </w:pPr>
      <w:r>
        <w:rPr>
          <w:lang w:val="es-ES"/>
        </w:rPr>
        <w:t>(to TSB Circular 253</w:t>
      </w:r>
      <w:r w:rsidRPr="0028364E">
        <w:rPr>
          <w:lang w:val="es-ES"/>
        </w:rPr>
        <w:t>)</w:t>
      </w:r>
    </w:p>
    <w:tbl>
      <w:tblPr>
        <w:tblW w:w="0" w:type="auto"/>
        <w:jc w:val="center"/>
        <w:tblLayout w:type="fixed"/>
        <w:tblLook w:val="0000" w:firstRow="0" w:lastRow="0" w:firstColumn="0" w:lastColumn="0" w:noHBand="0" w:noVBand="0"/>
      </w:tblPr>
      <w:tblGrid>
        <w:gridCol w:w="9360"/>
      </w:tblGrid>
      <w:tr w:rsidR="00506F9E" w:rsidRPr="00C56969" w:rsidTr="00C81F53">
        <w:trPr>
          <w:cantSplit/>
          <w:jc w:val="center"/>
        </w:trPr>
        <w:tc>
          <w:tcPr>
            <w:tcW w:w="9360" w:type="dxa"/>
            <w:tcBorders>
              <w:top w:val="single" w:sz="6" w:space="0" w:color="auto"/>
              <w:left w:val="single" w:sz="6" w:space="0" w:color="auto"/>
              <w:bottom w:val="single" w:sz="6" w:space="0" w:color="auto"/>
              <w:right w:val="single" w:sz="6" w:space="0" w:color="auto"/>
            </w:tcBorders>
          </w:tcPr>
          <w:p w:rsidR="00506F9E" w:rsidRPr="00C56969" w:rsidRDefault="00506F9E" w:rsidP="00C81F53">
            <w:pPr>
              <w:tabs>
                <w:tab w:val="left" w:pos="1440"/>
                <w:tab w:val="left" w:pos="8647"/>
              </w:tabs>
              <w:spacing w:before="0" w:line="288" w:lineRule="atLeast"/>
              <w:ind w:right="133"/>
              <w:jc w:val="center"/>
              <w:rPr>
                <w:i/>
                <w:sz w:val="20"/>
                <w:lang w:val="en-US"/>
              </w:rPr>
            </w:pPr>
          </w:p>
          <w:p w:rsidR="00506F9E" w:rsidRPr="00506F9E" w:rsidRDefault="00506F9E" w:rsidP="00C81F53">
            <w:pPr>
              <w:tabs>
                <w:tab w:val="left" w:pos="1440"/>
                <w:tab w:val="left" w:pos="8647"/>
              </w:tabs>
              <w:spacing w:before="0" w:line="288" w:lineRule="atLeast"/>
              <w:ind w:right="133"/>
              <w:jc w:val="center"/>
              <w:rPr>
                <w:i/>
                <w:szCs w:val="24"/>
                <w:lang w:val="en-US"/>
              </w:rPr>
            </w:pPr>
            <w:r w:rsidRPr="00506F9E">
              <w:rPr>
                <w:i/>
                <w:szCs w:val="24"/>
                <w:lang w:val="en-US"/>
              </w:rPr>
              <w:t xml:space="preserve">This confirmation form </w:t>
            </w:r>
            <w:r w:rsidRPr="00506F9E">
              <w:rPr>
                <w:b/>
                <w:bCs/>
                <w:i/>
                <w:szCs w:val="24"/>
                <w:lang w:val="en-US"/>
              </w:rPr>
              <w:t xml:space="preserve">should </w:t>
            </w:r>
            <w:r w:rsidRPr="00506F9E">
              <w:rPr>
                <w:b/>
                <w:i/>
                <w:szCs w:val="24"/>
                <w:lang w:val="en-US"/>
              </w:rPr>
              <w:t xml:space="preserve">be sent direct </w:t>
            </w:r>
            <w:r w:rsidRPr="00506F9E">
              <w:rPr>
                <w:b/>
                <w:bCs/>
                <w:i/>
                <w:szCs w:val="24"/>
                <w:lang w:val="en-US"/>
              </w:rPr>
              <w:t>to the hotel</w:t>
            </w:r>
            <w:r w:rsidRPr="00506F9E">
              <w:rPr>
                <w:b/>
                <w:i/>
                <w:szCs w:val="24"/>
                <w:lang w:val="en-US"/>
              </w:rPr>
              <w:t xml:space="preserve"> </w:t>
            </w:r>
            <w:r w:rsidRPr="00506F9E">
              <w:rPr>
                <w:i/>
                <w:szCs w:val="24"/>
                <w:lang w:val="en-US"/>
              </w:rPr>
              <w:t>of your choice</w:t>
            </w:r>
          </w:p>
          <w:p w:rsidR="00506F9E" w:rsidRPr="00506F9E" w:rsidRDefault="00506F9E" w:rsidP="00C81F53">
            <w:pPr>
              <w:spacing w:before="0" w:after="100" w:line="288" w:lineRule="atLeast"/>
              <w:ind w:right="130"/>
              <w:jc w:val="center"/>
              <w:rPr>
                <w:sz w:val="20"/>
                <w:lang w:val="en-US"/>
              </w:rPr>
            </w:pPr>
          </w:p>
        </w:tc>
      </w:tr>
    </w:tbl>
    <w:p w:rsidR="00506F9E" w:rsidRPr="00506F9E" w:rsidRDefault="00506F9E" w:rsidP="00506F9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06F9E" w:rsidRPr="0028364E" w:rsidTr="00C81F53">
        <w:trPr>
          <w:cantSplit/>
          <w:jc w:val="center"/>
        </w:trPr>
        <w:tc>
          <w:tcPr>
            <w:tcW w:w="1291" w:type="dxa"/>
          </w:tcPr>
          <w:p w:rsidR="00506F9E" w:rsidRPr="0028364E" w:rsidRDefault="00506F9E" w:rsidP="00C81F53">
            <w:pPr>
              <w:tabs>
                <w:tab w:val="center" w:pos="9639"/>
              </w:tabs>
              <w:spacing w:before="57" w:line="240" w:lineRule="atLeast"/>
              <w:ind w:right="-176"/>
              <w:jc w:val="center"/>
              <w:rPr>
                <w:sz w:val="28"/>
                <w:lang w:val="es-ES"/>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506F9E" w:rsidRPr="0028364E" w:rsidRDefault="00506F9E" w:rsidP="00C81F53">
            <w:pPr>
              <w:tabs>
                <w:tab w:val="center" w:pos="9639"/>
              </w:tabs>
              <w:spacing w:line="240" w:lineRule="atLeast"/>
              <w:ind w:right="-40"/>
              <w:jc w:val="center"/>
              <w:rPr>
                <w:b/>
                <w:bCs/>
                <w:sz w:val="28"/>
                <w:szCs w:val="28"/>
                <w:lang w:val="es-ES"/>
              </w:rPr>
            </w:pPr>
            <w:r w:rsidRPr="0028364E">
              <w:rPr>
                <w:sz w:val="26"/>
                <w:lang w:val="es-ES"/>
              </w:rPr>
              <w:br/>
            </w:r>
            <w:r w:rsidRPr="0028364E">
              <w:rPr>
                <w:b/>
                <w:bCs/>
                <w:sz w:val="28"/>
                <w:szCs w:val="28"/>
                <w:lang w:val="es-ES"/>
              </w:rPr>
              <w:t>INTERNATIONAL TELECOMMUNICATION UNION</w:t>
            </w:r>
            <w:r w:rsidRPr="0028364E">
              <w:rPr>
                <w:b/>
                <w:bCs/>
                <w:sz w:val="28"/>
                <w:szCs w:val="28"/>
                <w:lang w:val="es-ES"/>
              </w:rPr>
              <w:br/>
            </w:r>
          </w:p>
        </w:tc>
        <w:tc>
          <w:tcPr>
            <w:tcW w:w="1400" w:type="dxa"/>
          </w:tcPr>
          <w:p w:rsidR="00506F9E" w:rsidRPr="0028364E" w:rsidRDefault="00506F9E" w:rsidP="00C81F53">
            <w:pPr>
              <w:tabs>
                <w:tab w:val="center" w:pos="9639"/>
              </w:tabs>
              <w:spacing w:before="57" w:line="240" w:lineRule="atLeast"/>
              <w:ind w:left="-142" w:right="-74"/>
              <w:jc w:val="center"/>
              <w:rPr>
                <w:sz w:val="28"/>
                <w:lang w:val="es-ES"/>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506F9E" w:rsidRPr="0028364E" w:rsidRDefault="00506F9E" w:rsidP="00506F9E">
      <w:pPr>
        <w:tabs>
          <w:tab w:val="left" w:pos="1440"/>
        </w:tabs>
        <w:spacing w:before="0" w:line="240" w:lineRule="atLeast"/>
        <w:ind w:left="284" w:right="-143"/>
        <w:jc w:val="center"/>
        <w:rPr>
          <w:b/>
          <w:lang w:val="es-ES"/>
        </w:rPr>
      </w:pPr>
    </w:p>
    <w:p w:rsidR="00506F9E" w:rsidRPr="00506F9E" w:rsidRDefault="00506F9E" w:rsidP="00506F9E">
      <w:pPr>
        <w:tabs>
          <w:tab w:val="center" w:pos="4678"/>
        </w:tabs>
        <w:spacing w:before="0" w:line="240" w:lineRule="atLeast"/>
        <w:ind w:left="284" w:right="-143"/>
        <w:jc w:val="center"/>
        <w:rPr>
          <w:b/>
          <w:bCs/>
          <w:szCs w:val="24"/>
          <w:lang w:val="en-US"/>
        </w:rPr>
      </w:pPr>
      <w:r w:rsidRPr="00506F9E">
        <w:rPr>
          <w:b/>
          <w:bCs/>
          <w:szCs w:val="24"/>
          <w:lang w:val="en-US"/>
        </w:rPr>
        <w:t>TELECOMMUNICATION STANDARDIZATION SECTOR</w:t>
      </w:r>
      <w:r w:rsidRPr="00506F9E">
        <w:rPr>
          <w:b/>
          <w:bCs/>
          <w:szCs w:val="24"/>
          <w:lang w:val="en-US"/>
        </w:rPr>
        <w:br/>
      </w:r>
    </w:p>
    <w:p w:rsidR="00506F9E" w:rsidRPr="00506F9E" w:rsidRDefault="00506F9E" w:rsidP="00506F9E">
      <w:pPr>
        <w:tabs>
          <w:tab w:val="left" w:pos="1440"/>
        </w:tabs>
        <w:spacing w:before="0" w:line="240" w:lineRule="atLeast"/>
        <w:ind w:left="284" w:right="-143"/>
        <w:rPr>
          <w:sz w:val="20"/>
          <w:lang w:val="en-US"/>
        </w:rPr>
      </w:pPr>
    </w:p>
    <w:p w:rsidR="00506F9E" w:rsidRPr="00506F9E" w:rsidRDefault="00506F9E" w:rsidP="00506F9E">
      <w:pPr>
        <w:tabs>
          <w:tab w:val="left" w:pos="1440"/>
        </w:tabs>
        <w:spacing w:before="0" w:line="240" w:lineRule="atLeast"/>
        <w:ind w:left="284" w:right="515"/>
        <w:rPr>
          <w:sz w:val="20"/>
          <w:lang w:val="en-US"/>
        </w:rPr>
      </w:pPr>
      <w:r w:rsidRPr="00506F9E">
        <w:rPr>
          <w:i/>
          <w:sz w:val="20"/>
          <w:lang w:val="en-US"/>
        </w:rPr>
        <w:t>Focus Group Innovation-----------------------------   from    -------------------------  to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r w:rsidRPr="00506F9E">
        <w:rPr>
          <w:i/>
          <w:sz w:val="20"/>
          <w:lang w:val="en-US"/>
        </w:rPr>
        <w:t>Confirmation of the reservation made on (date) -------------------------   with (hotel)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Cs w:val="24"/>
          <w:u w:val="single"/>
          <w:lang w:val="en-US"/>
        </w:rPr>
      </w:pPr>
      <w:r w:rsidRPr="00506F9E">
        <w:rPr>
          <w:b/>
          <w:i/>
          <w:szCs w:val="24"/>
          <w:u w:val="single"/>
          <w:lang w:val="en-US"/>
        </w:rPr>
        <w:t xml:space="preserve">at the ITU preferential tariff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i/>
          <w:sz w:val="20"/>
          <w:lang w:val="en-US"/>
        </w:rPr>
      </w:pPr>
      <w:r w:rsidRPr="00506F9E">
        <w:rPr>
          <w:i/>
          <w:sz w:val="20"/>
          <w:lang w:val="en-US"/>
        </w:rPr>
        <w:t>------------ single/double room(s)</w:t>
      </w:r>
    </w:p>
    <w:p w:rsidR="00506F9E" w:rsidRPr="00506F9E" w:rsidRDefault="00506F9E" w:rsidP="00506F9E">
      <w:pPr>
        <w:tabs>
          <w:tab w:val="left" w:pos="1440"/>
        </w:tabs>
        <w:spacing w:before="0" w:line="240" w:lineRule="atLeast"/>
        <w:ind w:left="284" w:right="515"/>
        <w:rPr>
          <w:i/>
          <w:sz w:val="20"/>
          <w:lang w:val="en-US"/>
        </w:rPr>
      </w:pPr>
    </w:p>
    <w:p w:rsidR="00506F9E" w:rsidRPr="00506F9E" w:rsidRDefault="00506F9E" w:rsidP="00506F9E">
      <w:pPr>
        <w:tabs>
          <w:tab w:val="left" w:pos="1440"/>
        </w:tabs>
        <w:spacing w:before="0" w:line="240" w:lineRule="atLeast"/>
        <w:ind w:left="284" w:right="515"/>
        <w:rPr>
          <w:i/>
          <w:sz w:val="20"/>
          <w:lang w:val="en-US"/>
        </w:rPr>
      </w:pPr>
      <w:r w:rsidRPr="00506F9E">
        <w:rPr>
          <w:i/>
          <w:sz w:val="20"/>
          <w:lang w:val="en-US"/>
        </w:rPr>
        <w:t>arriving on (date) ---------------------------  at (time)  -------------  departing on (date)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06F9E">
        <w:rPr>
          <w:rFonts w:eastAsia="SimSun"/>
          <w:b/>
          <w:bCs/>
          <w:i/>
          <w:iCs/>
          <w:sz w:val="20"/>
          <w:lang w:val="en-US" w:eastAsia="zh-CN"/>
        </w:rPr>
        <w:t xml:space="preserve">GENEVA TRANSPORT CARD: </w:t>
      </w:r>
      <w:r w:rsidRPr="00506F9E">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06F9E">
            <w:rPr>
              <w:rFonts w:eastAsia="SimSun"/>
              <w:i/>
              <w:iCs/>
              <w:sz w:val="20"/>
              <w:lang w:val="en-US" w:eastAsia="zh-CN"/>
            </w:rPr>
            <w:t>Geneva</w:t>
          </w:r>
        </w:smartTag>
      </w:smartTag>
      <w:r w:rsidRPr="00506F9E">
        <w:rPr>
          <w:rFonts w:eastAsia="SimSun"/>
          <w:i/>
          <w:iCs/>
          <w:sz w:val="20"/>
          <w:lang w:val="en-US" w:eastAsia="zh-CN"/>
        </w:rPr>
        <w:t xml:space="preserve"> public transport, including buses, trams, boats and trains as far as Versoix and the airport.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r w:rsidRPr="00506F9E">
        <w:rPr>
          <w:i/>
          <w:sz w:val="20"/>
          <w:lang w:val="en-US"/>
        </w:rPr>
        <w:t>Family name</w:t>
      </w:r>
      <w:r w:rsidRPr="00506F9E">
        <w:rPr>
          <w:sz w:val="20"/>
          <w:lang w:val="en-US"/>
        </w:rPr>
        <w:t xml:space="preserve">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r w:rsidRPr="00506F9E">
        <w:rPr>
          <w:i/>
          <w:sz w:val="20"/>
          <w:lang w:val="en-US"/>
        </w:rPr>
        <w:t xml:space="preserve">First name    </w:t>
      </w:r>
      <w:r w:rsidRPr="00506F9E">
        <w:rPr>
          <w:sz w:val="20"/>
          <w:lang w:val="en-US"/>
        </w:rPr>
        <w:t xml:space="preserve">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i/>
          <w:iCs/>
          <w:sz w:val="20"/>
          <w:lang w:val="en-US"/>
        </w:rPr>
      </w:pPr>
      <w:r w:rsidRPr="00506F9E">
        <w:rPr>
          <w:i/>
          <w:sz w:val="20"/>
          <w:lang w:val="en-US"/>
        </w:rPr>
        <w:t xml:space="preserve">Address        </w:t>
      </w:r>
      <w:r w:rsidRPr="00506F9E">
        <w:rPr>
          <w:sz w:val="20"/>
          <w:lang w:val="en-US"/>
        </w:rPr>
        <w:t xml:space="preserve">    ------------------------------------------------------------------------        </w:t>
      </w:r>
      <w:r w:rsidRPr="00506F9E">
        <w:rPr>
          <w:i/>
          <w:iCs/>
          <w:sz w:val="20"/>
          <w:lang w:val="en-US"/>
        </w:rPr>
        <w:t>Tel: -----------------------------</w:t>
      </w:r>
    </w:p>
    <w:p w:rsidR="00506F9E" w:rsidRPr="00506F9E" w:rsidRDefault="00506F9E" w:rsidP="00506F9E">
      <w:pPr>
        <w:tabs>
          <w:tab w:val="left" w:pos="1440"/>
        </w:tabs>
        <w:spacing w:before="0" w:line="240" w:lineRule="atLeast"/>
        <w:ind w:left="284" w:right="515"/>
        <w:rPr>
          <w:i/>
          <w:iCs/>
          <w:sz w:val="20"/>
          <w:lang w:val="en-US"/>
        </w:rPr>
      </w:pPr>
    </w:p>
    <w:p w:rsidR="00506F9E" w:rsidRPr="00506F9E" w:rsidRDefault="00506F9E" w:rsidP="00506F9E">
      <w:pPr>
        <w:tabs>
          <w:tab w:val="left" w:pos="1440"/>
        </w:tabs>
        <w:spacing w:before="0" w:line="240" w:lineRule="atLeast"/>
        <w:ind w:left="284" w:right="515"/>
        <w:rPr>
          <w:i/>
          <w:iCs/>
          <w:sz w:val="20"/>
          <w:lang w:val="en-US"/>
        </w:rPr>
      </w:pPr>
      <w:r w:rsidRPr="00506F9E">
        <w:rPr>
          <w:i/>
          <w:iCs/>
          <w:sz w:val="20"/>
          <w:lang w:val="en-US"/>
        </w:rPr>
        <w:t>-----------------------------------------------------------------------------------------         Fax: -----------------------------</w:t>
      </w:r>
    </w:p>
    <w:p w:rsidR="00506F9E" w:rsidRPr="00506F9E" w:rsidRDefault="00506F9E" w:rsidP="00506F9E">
      <w:pPr>
        <w:tabs>
          <w:tab w:val="left" w:pos="1440"/>
        </w:tabs>
        <w:spacing w:before="0" w:line="240" w:lineRule="atLeast"/>
        <w:ind w:left="284" w:right="515"/>
        <w:rPr>
          <w:i/>
          <w:iCs/>
          <w:sz w:val="20"/>
          <w:lang w:val="en-US"/>
        </w:rPr>
      </w:pPr>
    </w:p>
    <w:p w:rsidR="00506F9E" w:rsidRPr="00506F9E" w:rsidRDefault="00506F9E" w:rsidP="00506F9E">
      <w:pPr>
        <w:tabs>
          <w:tab w:val="left" w:pos="1440"/>
        </w:tabs>
        <w:spacing w:before="0" w:line="240" w:lineRule="atLeast"/>
        <w:ind w:left="284" w:right="515"/>
        <w:rPr>
          <w:sz w:val="20"/>
          <w:lang w:val="en-US"/>
        </w:rPr>
      </w:pPr>
      <w:r w:rsidRPr="00506F9E">
        <w:rPr>
          <w:i/>
          <w:iCs/>
          <w:sz w:val="20"/>
          <w:lang w:val="en-US"/>
        </w:rPr>
        <w:t>-----------------------------------------------------------------------------------------      E-mail:</w:t>
      </w:r>
      <w:r w:rsidRPr="00506F9E">
        <w:rPr>
          <w:sz w:val="20"/>
          <w:lang w:val="en-US"/>
        </w:rPr>
        <w:t xml:space="preserve">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r w:rsidRPr="00506F9E">
        <w:rPr>
          <w:i/>
          <w:sz w:val="20"/>
          <w:lang w:val="en-US"/>
        </w:rPr>
        <w:t>Credit card to guarantee this reservation</w:t>
      </w:r>
      <w:r w:rsidRPr="00506F9E">
        <w:rPr>
          <w:sz w:val="20"/>
          <w:lang w:val="en-US"/>
        </w:rPr>
        <w:t>:        AX/VISA/DINERS/EC  (</w:t>
      </w:r>
      <w:r w:rsidRPr="00506F9E">
        <w:rPr>
          <w:i/>
          <w:iCs/>
          <w:sz w:val="20"/>
          <w:lang w:val="en-US"/>
        </w:rPr>
        <w:t>or</w:t>
      </w:r>
      <w:r w:rsidRPr="00506F9E">
        <w:rPr>
          <w:sz w:val="20"/>
          <w:lang w:val="en-US"/>
        </w:rPr>
        <w:t xml:space="preserve"> </w:t>
      </w:r>
      <w:r w:rsidRPr="00506F9E">
        <w:rPr>
          <w:i/>
          <w:sz w:val="20"/>
          <w:lang w:val="en-US"/>
        </w:rPr>
        <w:t>other)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r w:rsidRPr="00506F9E">
        <w:rPr>
          <w:i/>
          <w:iCs/>
          <w:sz w:val="20"/>
          <w:lang w:val="en-US"/>
        </w:rPr>
        <w:t xml:space="preserve">No. </w:t>
      </w:r>
      <w:r w:rsidRPr="00506F9E">
        <w:rPr>
          <w:sz w:val="20"/>
          <w:lang w:val="en-US"/>
        </w:rPr>
        <w:t>--------------------------------------------------------         v</w:t>
      </w:r>
      <w:r w:rsidRPr="00506F9E">
        <w:rPr>
          <w:i/>
          <w:sz w:val="20"/>
          <w:lang w:val="en-US"/>
        </w:rPr>
        <w:t>alid until</w:t>
      </w:r>
      <w:r w:rsidRPr="00506F9E">
        <w:rPr>
          <w:sz w:val="20"/>
          <w:lang w:val="en-US"/>
        </w:rPr>
        <w:t xml:space="preserve">      ------------------------------------------------</w:t>
      </w: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p>
    <w:p w:rsidR="00506F9E" w:rsidRPr="00506F9E" w:rsidRDefault="00506F9E" w:rsidP="00506F9E">
      <w:pPr>
        <w:tabs>
          <w:tab w:val="left" w:pos="1440"/>
        </w:tabs>
        <w:spacing w:before="0" w:line="240" w:lineRule="atLeast"/>
        <w:ind w:left="284" w:right="515"/>
        <w:rPr>
          <w:sz w:val="20"/>
          <w:lang w:val="en-US"/>
        </w:rPr>
      </w:pPr>
      <w:r w:rsidRPr="00506F9E">
        <w:rPr>
          <w:i/>
          <w:sz w:val="20"/>
          <w:lang w:val="en-US"/>
        </w:rPr>
        <w:t>Date</w:t>
      </w:r>
      <w:r w:rsidRPr="00506F9E">
        <w:rPr>
          <w:sz w:val="20"/>
          <w:lang w:val="en-US"/>
        </w:rPr>
        <w:t xml:space="preserve"> ------------------------------------------------------      </w:t>
      </w:r>
      <w:r w:rsidRPr="00506F9E">
        <w:rPr>
          <w:i/>
          <w:sz w:val="20"/>
          <w:lang w:val="en-US"/>
        </w:rPr>
        <w:t xml:space="preserve">Signature </w:t>
      </w:r>
      <w:r w:rsidRPr="00506F9E">
        <w:rPr>
          <w:sz w:val="20"/>
          <w:lang w:val="en-US"/>
        </w:rPr>
        <w:t xml:space="preserve">       -------------------------------------------------</w:t>
      </w:r>
    </w:p>
    <w:p w:rsidR="00506F9E" w:rsidRPr="00506F9E" w:rsidRDefault="00506F9E" w:rsidP="00506F9E">
      <w:pPr>
        <w:tabs>
          <w:tab w:val="clear" w:pos="794"/>
        </w:tabs>
        <w:rPr>
          <w:lang w:val="en-US"/>
        </w:rPr>
      </w:pPr>
    </w:p>
    <w:p w:rsidR="00401C20" w:rsidRPr="00303D62" w:rsidRDefault="00506F9E" w:rsidP="00E258FE">
      <w:pPr>
        <w:tabs>
          <w:tab w:val="clear" w:pos="794"/>
        </w:tabs>
        <w:jc w:val="center"/>
        <w:rPr>
          <w:lang w:val="en-US"/>
        </w:rPr>
      </w:pPr>
      <w:r w:rsidRPr="0028364E">
        <w:rPr>
          <w:lang w:val="es-ES"/>
        </w:rPr>
        <w:t>________________</w:t>
      </w:r>
    </w:p>
    <w:sectPr w:rsidR="00401C20" w:rsidRPr="00303D62" w:rsidSect="00AB713B">
      <w:type w:val="oddPage"/>
      <w:pgSz w:w="11907" w:h="16840"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A59" w:rsidRDefault="00656A59">
      <w:r>
        <w:separator/>
      </w:r>
    </w:p>
  </w:endnote>
  <w:endnote w:type="continuationSeparator" w:id="0">
    <w:p w:rsidR="00656A59" w:rsidRDefault="0065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80" w:rsidRDefault="00F35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E" w:rsidRPr="00F35480" w:rsidRDefault="00F35480" w:rsidP="00F35480">
    <w:pPr>
      <w:pStyle w:val="Footer"/>
      <w:spacing w:before="120" w:line="192" w:lineRule="auto"/>
      <w:rPr>
        <w:szCs w:val="30"/>
        <w:lang w:val="fr-CH"/>
      </w:rPr>
    </w:pPr>
    <w:r>
      <w:rPr>
        <w:sz w:val="16"/>
        <w:lang w:val="fr-CH"/>
      </w:rPr>
      <w:t>ITU-T\BUREAU\CIRC\253S.DOC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506F9E" w:rsidRPr="003D673B" w:rsidTr="00472B1E">
      <w:tc>
        <w:tcPr>
          <w:tcW w:w="1985" w:type="dxa"/>
          <w:tcBorders>
            <w:top w:val="single" w:sz="6" w:space="0" w:color="auto"/>
            <w:left w:val="nil"/>
            <w:bottom w:val="nil"/>
            <w:right w:val="nil"/>
          </w:tcBorders>
        </w:tcPr>
        <w:p w:rsidR="00506F9E" w:rsidRDefault="00506F9E" w:rsidP="00472B1E">
          <w:pPr>
            <w:pStyle w:val="FirstFooter"/>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506F9E" w:rsidRDefault="00624599" w:rsidP="006928EA">
          <w:pPr>
            <w:pStyle w:val="FirstFooter"/>
            <w:tabs>
              <w:tab w:val="left" w:pos="709"/>
              <w:tab w:val="left" w:pos="1134"/>
            </w:tabs>
            <w:rPr>
              <w:rFonts w:ascii="Futura Lt BT" w:hAnsi="Futura Lt BT"/>
            </w:rPr>
          </w:pPr>
          <w:r>
            <w:rPr>
              <w:rFonts w:ascii="Futura Lt BT" w:hAnsi="Futura Lt BT"/>
            </w:rPr>
            <w:t>Teléfono:</w:t>
          </w:r>
          <w:r w:rsidR="00506F9E">
            <w:rPr>
              <w:rFonts w:ascii="Futura Lt BT" w:hAnsi="Futura Lt BT"/>
            </w:rPr>
            <w:tab/>
            <w:t>+41 22 730 51 11</w:t>
          </w:r>
        </w:p>
      </w:tc>
      <w:tc>
        <w:tcPr>
          <w:tcW w:w="2374" w:type="dxa"/>
          <w:tcBorders>
            <w:top w:val="single" w:sz="6" w:space="0" w:color="auto"/>
            <w:left w:val="nil"/>
            <w:bottom w:val="nil"/>
            <w:right w:val="nil"/>
          </w:tcBorders>
        </w:tcPr>
        <w:p w:rsidR="00506F9E" w:rsidRDefault="00506F9E" w:rsidP="00472B1E">
          <w:pPr>
            <w:pStyle w:val="FirstFooter"/>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506F9E" w:rsidRDefault="00506F9E" w:rsidP="00472B1E">
          <w:pPr>
            <w:pStyle w:val="FirstFooter"/>
            <w:tabs>
              <w:tab w:val="left" w:pos="886"/>
            </w:tabs>
            <w:rPr>
              <w:rFonts w:ascii="Futura Lt BT" w:hAnsi="Futura Lt BT"/>
            </w:rPr>
          </w:pPr>
          <w:r>
            <w:rPr>
              <w:rFonts w:ascii="Futura Lt BT" w:hAnsi="Futura Lt BT"/>
            </w:rPr>
            <w:t>Correo-e:</w:t>
          </w:r>
          <w:r>
            <w:rPr>
              <w:rFonts w:ascii="Futura Lt BT" w:hAnsi="Futura Lt BT"/>
            </w:rPr>
            <w:tab/>
            <w:t>itumail@itu.int</w:t>
          </w:r>
        </w:p>
      </w:tc>
    </w:tr>
    <w:tr w:rsidR="00506F9E" w:rsidTr="00472B1E">
      <w:tc>
        <w:tcPr>
          <w:tcW w:w="1985" w:type="dxa"/>
        </w:tcPr>
        <w:p w:rsidR="00506F9E" w:rsidRDefault="00506F9E" w:rsidP="00472B1E">
          <w:pPr>
            <w:pStyle w:val="FirstFooter"/>
            <w:rPr>
              <w:rFonts w:ascii="Futura Lt BT" w:hAnsi="Futura Lt BT"/>
            </w:rPr>
          </w:pPr>
          <w:r>
            <w:rPr>
              <w:rFonts w:ascii="Futura Lt BT" w:hAnsi="Futura Lt BT"/>
            </w:rPr>
            <w:t>CH-1211 Ginebra 20</w:t>
          </w:r>
        </w:p>
      </w:tc>
      <w:tc>
        <w:tcPr>
          <w:tcW w:w="3119" w:type="dxa"/>
        </w:tcPr>
        <w:p w:rsidR="00506F9E" w:rsidRDefault="00506F9E" w:rsidP="00472B1E">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506F9E" w:rsidRDefault="00506F9E" w:rsidP="00472B1E">
          <w:pPr>
            <w:pStyle w:val="FirstFooter"/>
            <w:rPr>
              <w:rFonts w:ascii="Futura Lt BT" w:hAnsi="Futura Lt BT"/>
            </w:rPr>
          </w:pPr>
          <w:r>
            <w:rPr>
              <w:rFonts w:ascii="Futura Lt BT" w:hAnsi="Futura Lt BT"/>
            </w:rPr>
            <w:t>Telegrama ITU GENEVE</w:t>
          </w:r>
        </w:p>
      </w:tc>
      <w:tc>
        <w:tcPr>
          <w:tcW w:w="2304" w:type="dxa"/>
        </w:tcPr>
        <w:p w:rsidR="00506F9E" w:rsidRDefault="00506F9E" w:rsidP="00472B1E">
          <w:pPr>
            <w:pStyle w:val="FirstFooter"/>
            <w:tabs>
              <w:tab w:val="right" w:pos="1956"/>
            </w:tabs>
            <w:ind w:right="70"/>
            <w:rPr>
              <w:rFonts w:ascii="Futura Lt BT" w:hAnsi="Futura Lt BT"/>
            </w:rPr>
          </w:pPr>
          <w:r>
            <w:rPr>
              <w:rFonts w:ascii="Futura Lt BT" w:hAnsi="Futura Lt BT"/>
            </w:rPr>
            <w:tab/>
            <w:t>itu.int</w:t>
          </w:r>
        </w:p>
      </w:tc>
    </w:tr>
    <w:tr w:rsidR="00506F9E" w:rsidTr="00472B1E">
      <w:tc>
        <w:tcPr>
          <w:tcW w:w="1985" w:type="dxa"/>
        </w:tcPr>
        <w:p w:rsidR="00506F9E" w:rsidRDefault="00506F9E" w:rsidP="00472B1E">
          <w:pPr>
            <w:pStyle w:val="FirstFooter"/>
            <w:rPr>
              <w:rFonts w:ascii="Futura Lt BT" w:hAnsi="Futura Lt BT"/>
            </w:rPr>
          </w:pPr>
          <w:r>
            <w:rPr>
              <w:rFonts w:ascii="Futura Lt BT" w:hAnsi="Futura Lt BT"/>
            </w:rPr>
            <w:t>Suiza</w:t>
          </w:r>
        </w:p>
      </w:tc>
      <w:tc>
        <w:tcPr>
          <w:tcW w:w="3119" w:type="dxa"/>
        </w:tcPr>
        <w:p w:rsidR="00506F9E" w:rsidRDefault="00506F9E" w:rsidP="00472B1E">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506F9E" w:rsidRDefault="00506F9E" w:rsidP="00472B1E">
          <w:pPr>
            <w:pStyle w:val="FirstFooter"/>
            <w:rPr>
              <w:rFonts w:ascii="Futura Lt BT" w:hAnsi="Futura Lt BT"/>
            </w:rPr>
          </w:pPr>
        </w:p>
      </w:tc>
      <w:tc>
        <w:tcPr>
          <w:tcW w:w="2304" w:type="dxa"/>
        </w:tcPr>
        <w:p w:rsidR="00506F9E" w:rsidRDefault="00506F9E" w:rsidP="00472B1E">
          <w:pPr>
            <w:pStyle w:val="FirstFooter"/>
            <w:rPr>
              <w:rFonts w:ascii="Futura Lt BT" w:hAnsi="Futura Lt BT"/>
            </w:rPr>
          </w:pPr>
        </w:p>
      </w:tc>
    </w:tr>
  </w:tbl>
  <w:p w:rsidR="00506F9E" w:rsidRDefault="00506F9E" w:rsidP="0080063D">
    <w:pPr>
      <w:pStyle w:val="Footer"/>
      <w:rPr>
        <w:rFonts w:ascii="Futura Lt BT" w:hAnsi="Futura Lt B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A59" w:rsidRDefault="00656A59">
      <w:r>
        <w:t>____________________</w:t>
      </w:r>
    </w:p>
  </w:footnote>
  <w:footnote w:type="continuationSeparator" w:id="0">
    <w:p w:rsidR="00656A59" w:rsidRDefault="00656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80" w:rsidRDefault="00F35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E" w:rsidRDefault="00506F9E">
    <w:pPr>
      <w:pStyle w:val="Header"/>
    </w:pPr>
    <w:r>
      <w:t xml:space="preserve">- </w:t>
    </w:r>
    <w:r>
      <w:fldChar w:fldCharType="begin"/>
    </w:r>
    <w:r>
      <w:instrText>PAGE</w:instrText>
    </w:r>
    <w:r>
      <w:fldChar w:fldCharType="separate"/>
    </w:r>
    <w:r w:rsidR="00C26052">
      <w:rPr>
        <w:noProof/>
      </w:rPr>
      <w:t>11</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80" w:rsidRDefault="00F35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9E"/>
    <w:rsid w:val="00002529"/>
    <w:rsid w:val="00075FDF"/>
    <w:rsid w:val="000C382F"/>
    <w:rsid w:val="001173CC"/>
    <w:rsid w:val="001A54CC"/>
    <w:rsid w:val="00257FB4"/>
    <w:rsid w:val="00303D62"/>
    <w:rsid w:val="00335367"/>
    <w:rsid w:val="00370C2D"/>
    <w:rsid w:val="003D1E8D"/>
    <w:rsid w:val="003D673B"/>
    <w:rsid w:val="003F2855"/>
    <w:rsid w:val="00401C20"/>
    <w:rsid w:val="00464B4C"/>
    <w:rsid w:val="004C4144"/>
    <w:rsid w:val="00506F9E"/>
    <w:rsid w:val="005608C2"/>
    <w:rsid w:val="00624599"/>
    <w:rsid w:val="00656A59"/>
    <w:rsid w:val="006969B4"/>
    <w:rsid w:val="00716588"/>
    <w:rsid w:val="00781E2A"/>
    <w:rsid w:val="008258C2"/>
    <w:rsid w:val="008505BD"/>
    <w:rsid w:val="00850C78"/>
    <w:rsid w:val="008C17AD"/>
    <w:rsid w:val="008D02CD"/>
    <w:rsid w:val="0095172A"/>
    <w:rsid w:val="009A0BA0"/>
    <w:rsid w:val="00A54E47"/>
    <w:rsid w:val="00AD4D34"/>
    <w:rsid w:val="00AE7093"/>
    <w:rsid w:val="00B0744D"/>
    <w:rsid w:val="00B422BC"/>
    <w:rsid w:val="00B43F77"/>
    <w:rsid w:val="00B55A3E"/>
    <w:rsid w:val="00B95F0A"/>
    <w:rsid w:val="00B96180"/>
    <w:rsid w:val="00C17AC0"/>
    <w:rsid w:val="00C26052"/>
    <w:rsid w:val="00C34772"/>
    <w:rsid w:val="00C5465A"/>
    <w:rsid w:val="00C56969"/>
    <w:rsid w:val="00D54642"/>
    <w:rsid w:val="00DD77C9"/>
    <w:rsid w:val="00E258FE"/>
    <w:rsid w:val="00E839B0"/>
    <w:rsid w:val="00E92C09"/>
    <w:rsid w:val="00F22360"/>
    <w:rsid w:val="00F35480"/>
    <w:rsid w:val="00F6461F"/>
    <w:rsid w:val="00FB0E61"/>
    <w:rsid w:val="00FD14FA"/>
    <w:rsid w:val="00FD2B2D"/>
    <w:rsid w:val="00FE5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paragraph" w:styleId="BodyText3">
    <w:name w:val="Body Text 3"/>
    <w:basedOn w:val="Normal"/>
    <w:link w:val="BodyText3Char"/>
    <w:uiPriority w:val="99"/>
    <w:rsid w:val="00506F9E"/>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506F9E"/>
    <w:rPr>
      <w:rFonts w:ascii="Times New Roman" w:eastAsia="Malgun Gothic" w:hAnsi="Times New Roman"/>
      <w:sz w:val="16"/>
      <w:szCs w:val="16"/>
      <w:lang w:val="en-GB" w:eastAsia="en-US"/>
    </w:rPr>
  </w:style>
  <w:style w:type="paragraph" w:styleId="BalloonText">
    <w:name w:val="Balloon Text"/>
    <w:basedOn w:val="Normal"/>
    <w:link w:val="BalloonTextChar"/>
    <w:rsid w:val="00C56969"/>
    <w:pPr>
      <w:spacing w:before="0"/>
    </w:pPr>
    <w:rPr>
      <w:rFonts w:ascii="Tahoma" w:hAnsi="Tahoma" w:cs="Tahoma"/>
      <w:sz w:val="16"/>
      <w:szCs w:val="16"/>
    </w:rPr>
  </w:style>
  <w:style w:type="character" w:customStyle="1" w:styleId="BalloonTextChar">
    <w:name w:val="Balloon Text Char"/>
    <w:basedOn w:val="DefaultParagraphFont"/>
    <w:link w:val="BalloonText"/>
    <w:rsid w:val="00C56969"/>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paragraph" w:styleId="BodyText3">
    <w:name w:val="Body Text 3"/>
    <w:basedOn w:val="Normal"/>
    <w:link w:val="BodyText3Char"/>
    <w:uiPriority w:val="99"/>
    <w:rsid w:val="00506F9E"/>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506F9E"/>
    <w:rPr>
      <w:rFonts w:ascii="Times New Roman" w:eastAsia="Malgun Gothic" w:hAnsi="Times New Roman"/>
      <w:sz w:val="16"/>
      <w:szCs w:val="16"/>
      <w:lang w:val="en-GB" w:eastAsia="en-US"/>
    </w:rPr>
  </w:style>
  <w:style w:type="paragraph" w:styleId="BalloonText">
    <w:name w:val="Balloon Text"/>
    <w:basedOn w:val="Normal"/>
    <w:link w:val="BalloonTextChar"/>
    <w:rsid w:val="00C56969"/>
    <w:pPr>
      <w:spacing w:before="0"/>
    </w:pPr>
    <w:rPr>
      <w:rFonts w:ascii="Tahoma" w:hAnsi="Tahoma" w:cs="Tahoma"/>
      <w:sz w:val="16"/>
      <w:szCs w:val="16"/>
    </w:rPr>
  </w:style>
  <w:style w:type="character" w:customStyle="1" w:styleId="BalloonTextChar">
    <w:name w:val="Balloon Text Char"/>
    <w:basedOn w:val="DefaultParagraphFont"/>
    <w:link w:val="BalloonText"/>
    <w:rsid w:val="00C56969"/>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focusgroups/innovation/" TargetMode="External"/><Relationship Id="rId18" Type="http://schemas.openxmlformats.org/officeDocument/2006/relationships/hyperlink" Target="http://www.itu.int/trave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n/ITU-T/focusgroups/innovation/" TargetMode="External"/><Relationship Id="rId17" Type="http://schemas.openxmlformats.org/officeDocument/2006/relationships/hyperlink" Target="http://www.itu.int/ITU-T/edh/faqs-support.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fa.itu.int/t/fg/innovation/docs/1203-gva/in/" TargetMode="External"/><Relationship Id="rId20" Type="http://schemas.openxmlformats.org/officeDocument/2006/relationships/hyperlink" Target="mailto:tsbreg@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m2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fa.itu.int/t/fg/innovation/docs/incomin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tsbfginnovation@itu.int" TargetMode="External"/><Relationship Id="rId19" Type="http://schemas.openxmlformats.org/officeDocument/2006/relationships/hyperlink" Target="http://www.itu.int/reg/tsg/30003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innovation@itu.int" TargetMode="External"/><Relationship Id="rId22" Type="http://schemas.openxmlformats.org/officeDocument/2006/relationships/header" Target="header2.xml"/><Relationship Id="rId27"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470C-1EED-41CD-8765-C5DA4FEE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11</Pages>
  <Words>3033</Words>
  <Characters>17293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20286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Bettini, Nadine</cp:lastModifiedBy>
  <cp:revision>2</cp:revision>
  <cp:lastPrinted>2012-02-29T09:33:00Z</cp:lastPrinted>
  <dcterms:created xsi:type="dcterms:W3CDTF">2012-02-29T10:13:00Z</dcterms:created>
  <dcterms:modified xsi:type="dcterms:W3CDTF">2012-02-29T10:13:00Z</dcterms:modified>
</cp:coreProperties>
</file>