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1655CC">
              <w:rPr>
                <w:lang w:bidi="ar-EG"/>
              </w:rPr>
              <w:t>17</w:t>
            </w:r>
            <w:r w:rsidR="001655CC">
              <w:rPr>
                <w:rFonts w:hint="cs"/>
                <w:rtl/>
                <w:lang w:bidi="ar-EG"/>
              </w:rPr>
              <w:t xml:space="preserve"> يناير </w:t>
            </w:r>
            <w:r w:rsidR="001655CC">
              <w:rPr>
                <w:lang w:bidi="ar-EG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007569" w:rsidRPr="00007569" w:rsidRDefault="00C5483C" w:rsidP="00BE09D3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BE09D3">
              <w:rPr>
                <w:b/>
              </w:rPr>
              <w:t>249</w:t>
            </w:r>
          </w:p>
          <w:p w:rsidR="00007569" w:rsidRPr="00007569" w:rsidRDefault="00BE09D3" w:rsidP="00BE09D3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82500A">
              <w:rPr>
                <w:bCs/>
              </w:rPr>
              <w:t>COM</w:t>
            </w:r>
            <w:r>
              <w:rPr>
                <w:bCs/>
              </w:rPr>
              <w:t xml:space="preserve"> 15</w:t>
            </w:r>
            <w:r w:rsidRPr="0082500A">
              <w:rPr>
                <w:bCs/>
              </w:rPr>
              <w:t>/</w:t>
            </w:r>
            <w:r>
              <w:rPr>
                <w:bCs/>
              </w:rPr>
              <w:t>GJ</w:t>
            </w: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9B2277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Pr="00210134" w:rsidRDefault="00007569" w:rsidP="00891057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210134">
              <w:rPr>
                <w:rFonts w:hint="cs"/>
                <w:rtl/>
              </w:rPr>
              <w:t xml:space="preserve">إلى </w:t>
            </w:r>
            <w:r w:rsidRPr="00210134">
              <w:rPr>
                <w:rtl/>
              </w:rPr>
              <w:t xml:space="preserve">المنتسبين </w:t>
            </w:r>
            <w:r w:rsidR="00210134" w:rsidRPr="00210134">
              <w:rPr>
                <w:rFonts w:hint="cs"/>
                <w:rtl/>
              </w:rPr>
              <w:t>إلى قطاع تقييس الاتصالات المعنيين</w:t>
            </w:r>
            <w:r w:rsidR="00201BCB" w:rsidRPr="00210134">
              <w:rPr>
                <w:rFonts w:hint="cs"/>
                <w:rtl/>
              </w:rPr>
              <w:t xml:space="preserve"> </w:t>
            </w:r>
            <w:r w:rsidR="00210134" w:rsidRPr="00210134">
              <w:rPr>
                <w:rFonts w:hint="cs"/>
                <w:rtl/>
              </w:rPr>
              <w:t>ب</w:t>
            </w:r>
            <w:r w:rsidR="00201BCB" w:rsidRPr="00210134">
              <w:rPr>
                <w:rFonts w:hint="cs"/>
                <w:rtl/>
              </w:rPr>
              <w:t>لجنة الدراسات</w:t>
            </w:r>
            <w:r w:rsidR="00891057">
              <w:rPr>
                <w:rFonts w:hint="eastAsia"/>
                <w:rtl/>
              </w:rPr>
              <w:t> </w:t>
            </w:r>
            <w:r w:rsidR="00201BCB" w:rsidRPr="00210134">
              <w:t>15</w:t>
            </w:r>
            <w:r w:rsidR="00F71CA3" w:rsidRPr="00210134">
              <w:rPr>
                <w:rFonts w:hint="cs"/>
                <w:rtl/>
              </w:rPr>
              <w:t>؛</w:t>
            </w:r>
          </w:p>
          <w:p w:rsidR="00F71CA3" w:rsidRPr="00007569" w:rsidRDefault="00F71CA3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9B2277">
        <w:trPr>
          <w:cantSplit/>
          <w:trHeight w:val="1423"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E7226" w:rsidRDefault="00C33D50" w:rsidP="002771F5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+41 22 730</w:t>
            </w:r>
            <w:r w:rsidR="002771F5">
              <w:t xml:space="preserve"> 5515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+41 22 730 5853</w:t>
            </w:r>
          </w:p>
          <w:p w:rsidR="00007569" w:rsidRPr="00007569" w:rsidRDefault="00A32B89" w:rsidP="002771F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2771F5" w:rsidRPr="00A774E8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4B3CEA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E14185">
              <w:rPr>
                <w:rFonts w:hint="cs"/>
                <w:spacing w:val="-4"/>
                <w:rtl/>
              </w:rPr>
              <w:t xml:space="preserve">رئيس لجنة الدراسات </w:t>
            </w:r>
            <w:r w:rsidR="002771F5">
              <w:rPr>
                <w:spacing w:val="-4"/>
              </w:rPr>
              <w:t>15</w:t>
            </w:r>
            <w:r w:rsidRPr="00E14185">
              <w:rPr>
                <w:rFonts w:hint="cs"/>
                <w:spacing w:val="-4"/>
                <w:rtl/>
              </w:rPr>
              <w:t xml:space="preserve"> </w:t>
            </w:r>
            <w:r w:rsidR="004B3CEA">
              <w:rPr>
                <w:rFonts w:hint="cs"/>
                <w:spacing w:val="-4"/>
                <w:rtl/>
              </w:rPr>
              <w:t>ل</w:t>
            </w:r>
            <w:r w:rsidRPr="00E14185">
              <w:rPr>
                <w:rFonts w:hint="cs"/>
                <w:spacing w:val="-4"/>
                <w:rtl/>
              </w:rPr>
              <w:t>قطاع تقييس الاتصالات ونوابه؛</w:t>
            </w:r>
          </w:p>
          <w:p w:rsidR="00007569" w:rsidRPr="00007569" w:rsidRDefault="00007569" w:rsidP="009B2277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Pr="00007569" w:rsidRDefault="00007569" w:rsidP="009B2277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ED35F4" w:rsidRDefault="00833728" w:rsidP="00780C10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ED35F4">
              <w:rPr>
                <w:rFonts w:ascii="Times New Roman Bold" w:hAnsi="Times New Roman Bold" w:hint="cs"/>
                <w:b/>
                <w:bCs/>
                <w:rtl/>
              </w:rPr>
              <w:t>الموافقة</w:t>
            </w:r>
            <w:r w:rsidR="00657A08" w:rsidRPr="00ED35F4">
              <w:rPr>
                <w:rFonts w:ascii="Times New Roman Bold" w:hAnsi="Times New Roman Bold" w:hint="cs"/>
                <w:rtl/>
              </w:rPr>
              <w:t xml:space="preserve"> </w:t>
            </w:r>
            <w:r w:rsidR="00657A08" w:rsidRPr="00ED35F4">
              <w:rPr>
                <w:rFonts w:ascii="Times New Roman Bold" w:hAnsi="Times New Roman Bold" w:hint="cs"/>
                <w:b/>
                <w:bCs/>
                <w:rtl/>
              </w:rPr>
              <w:t>على</w:t>
            </w:r>
            <w:r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التوصية الجديدة 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ITU-T G.9963</w:t>
            </w:r>
            <w:r w:rsidR="005F6D2B" w:rsidRPr="00ED35F4">
              <w:rPr>
                <w:rFonts w:ascii="Times New Roman Bold" w:hAnsi="Times New Roman Bold" w:hint="cs"/>
                <w:b/>
                <w:bCs/>
                <w:rtl/>
              </w:rPr>
              <w:t>؛</w:t>
            </w:r>
            <w:r w:rsidR="00ED35F4" w:rsidRPr="00ED35F4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Pr="00ED35F4">
              <w:rPr>
                <w:rFonts w:ascii="Times New Roman Bold" w:hAnsi="Times New Roman Bold" w:hint="cs"/>
                <w:b/>
                <w:bCs/>
                <w:rtl/>
              </w:rPr>
              <w:t xml:space="preserve">مراجعة </w:t>
            </w:r>
            <w:r w:rsidR="00201BCB" w:rsidRPr="00ED35F4">
              <w:rPr>
                <w:rFonts w:ascii="Times New Roman Bold" w:hAnsi="Times New Roman Bold" w:hint="cs"/>
                <w:b/>
                <w:bCs/>
                <w:rtl/>
              </w:rPr>
              <w:t>التوصيات</w:t>
            </w:r>
            <w:r w:rsidRPr="00ED35F4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Pr="00ED35F4">
              <w:rPr>
                <w:rFonts w:ascii="Times New Roman Bold" w:hAnsi="Times New Roman Bold"/>
                <w:b/>
                <w:bCs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</w:rPr>
              <w:noBreakHyphen/>
              <w:t>T G</w:t>
            </w:r>
            <w:r w:rsidR="00201BCB" w:rsidRPr="00ED35F4">
              <w:rPr>
                <w:rFonts w:ascii="Times New Roman Bold" w:hAnsi="Times New Roman Bold"/>
                <w:b/>
                <w:bCs/>
              </w:rPr>
              <w:t>.</w:t>
            </w:r>
            <w:r w:rsidRPr="00ED35F4">
              <w:rPr>
                <w:rFonts w:ascii="Times New Roman Bold" w:hAnsi="Times New Roman Bold"/>
                <w:b/>
                <w:bCs/>
              </w:rPr>
              <w:t>993</w:t>
            </w:r>
            <w:r w:rsidR="00201BCB" w:rsidRPr="00ED35F4">
              <w:rPr>
                <w:rFonts w:ascii="Times New Roman Bold" w:hAnsi="Times New Roman Bold"/>
                <w:b/>
                <w:bCs/>
              </w:rPr>
              <w:t>.</w:t>
            </w:r>
            <w:r w:rsidRPr="00ED35F4">
              <w:rPr>
                <w:rFonts w:ascii="Times New Roman Bold" w:hAnsi="Times New Roman Bold"/>
                <w:b/>
                <w:bCs/>
              </w:rPr>
              <w:t>2</w:t>
            </w:r>
            <w:r w:rsidR="00201BCB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</w:t>
            </w:r>
            <w:r w:rsidR="005F4CF1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Pr="00ED35F4">
              <w:rPr>
                <w:rFonts w:ascii="Times New Roman Bold" w:hAnsi="Times New Roman Bold"/>
                <w:b/>
                <w:bCs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</w:rPr>
              <w:noBreakHyphen/>
              <w:t>T G.8110.1/Y.1370.1</w:t>
            </w:r>
            <w:r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، </w:t>
            </w:r>
            <w:r w:rsidR="005F4CF1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noBreakHyphen/>
              <w:t>T G.9960</w:t>
            </w:r>
            <w:r w:rsidR="009B2277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</w:t>
            </w:r>
            <w:r w:rsidR="00ED35F4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ED35F4">
              <w:rPr>
                <w:rFonts w:ascii="Times New Roman Bold" w:hAnsi="Times New Roman Bold"/>
                <w:b/>
                <w:bCs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</w:rPr>
              <w:noBreakHyphen/>
              <w:t>T G.993.5 Amd.1</w:t>
            </w:r>
            <w:r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</w:t>
            </w:r>
            <w:r w:rsidR="005F4CF1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noBreakHyphen/>
              <w:t>T G.994.1 Amd.8</w:t>
            </w:r>
            <w:r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</w:t>
            </w:r>
            <w:r w:rsidR="005F4CF1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="00753A83">
              <w:rPr>
                <w:rFonts w:ascii="Times New Roman Bold" w:hAnsi="Times New Roman Bold"/>
                <w:b/>
                <w:bCs/>
                <w:lang w:bidi="ar-EG"/>
              </w:rPr>
              <w:t>ITU</w:t>
            </w:r>
            <w:r w:rsidR="00753A83">
              <w:rPr>
                <w:rFonts w:ascii="Times New Roman Bold" w:hAnsi="Times New Roman Bold"/>
                <w:b/>
                <w:bCs/>
                <w:lang w:bidi="ar-EG"/>
              </w:rPr>
              <w:noBreakHyphen/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T G.997.1 Amd.4</w:t>
            </w:r>
            <w:r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</w:t>
            </w:r>
            <w:r w:rsidR="00780C1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5F4CF1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noBreakHyphen/>
            </w:r>
            <w:r w:rsidR="005F4CF1" w:rsidRPr="00ED35F4">
              <w:rPr>
                <w:rFonts w:ascii="Times New Roman Bold" w:hAnsi="Times New Roman Bold"/>
                <w:b/>
                <w:bCs/>
                <w:lang w:bidi="ar-EG"/>
              </w:rPr>
              <w:t>T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 G.998.4 Cor.3</w:t>
            </w:r>
            <w:r w:rsidR="00201BCB"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،</w:t>
            </w:r>
            <w:r w:rsidRPr="00ED35F4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ITU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noBreakHyphen/>
            </w:r>
            <w:r w:rsidR="00201BCB" w:rsidRPr="00ED35F4">
              <w:rPr>
                <w:rFonts w:ascii="Times New Roman Bold" w:hAnsi="Times New Roman Bold"/>
                <w:b/>
                <w:bCs/>
                <w:lang w:bidi="ar-EG"/>
              </w:rPr>
              <w:t>T</w:t>
            </w:r>
            <w:r w:rsidRPr="00ED35F4">
              <w:rPr>
                <w:rFonts w:ascii="Times New Roman Bold" w:hAnsi="Times New Roman Bold"/>
                <w:b/>
                <w:bCs/>
                <w:lang w:bidi="ar-EG"/>
              </w:rPr>
              <w:t> G.9961 Cor.1</w:t>
            </w:r>
            <w:r w:rsidR="00780C1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007569" w:rsidRPr="000302D3" w:rsidRDefault="00007569" w:rsidP="00DA0A9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833728" w:rsidRDefault="00833728" w:rsidP="00D63CB6">
      <w:pPr>
        <w:rPr>
          <w:rtl/>
          <w:lang w:bidi="ar-EG"/>
        </w:rPr>
      </w:pPr>
      <w:r w:rsidRPr="00F060DD">
        <w:t>1</w:t>
      </w:r>
      <w:r w:rsidRPr="00F060DD">
        <w:tab/>
      </w:r>
      <w:r w:rsidRPr="002B0756">
        <w:rPr>
          <w:rFonts w:hint="cs"/>
          <w:rtl/>
        </w:rPr>
        <w:t xml:space="preserve">إلحاقاً بالإعلان </w:t>
      </w:r>
      <w:r w:rsidRPr="002B0756">
        <w:t>AAP-</w:t>
      </w:r>
      <w:r>
        <w:t>71</w:t>
      </w:r>
      <w:r w:rsidRPr="002B0756">
        <w:rPr>
          <w:rFonts w:hint="cs"/>
          <w:rtl/>
        </w:rPr>
        <w:t xml:space="preserve"> المؤرخ </w:t>
      </w:r>
      <w:r>
        <w:t>16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2011</w:t>
      </w:r>
      <w:r w:rsidRPr="002B0756">
        <w:rPr>
          <w:rFonts w:hint="cs"/>
          <w:rtl/>
        </w:rPr>
        <w:t xml:space="preserve"> لمكتب تقييس الاتصالات وعملاً بالفقرة</w:t>
      </w:r>
      <w:r w:rsidRPr="002B0756">
        <w:rPr>
          <w:rFonts w:hint="eastAsia"/>
          <w:rtl/>
        </w:rPr>
        <w:t> </w:t>
      </w:r>
      <w:r w:rsidRPr="002B0756">
        <w:t>2.6</w:t>
      </w:r>
      <w:r w:rsidRPr="002B0756">
        <w:rPr>
          <w:rFonts w:hint="cs"/>
          <w:rtl/>
        </w:rPr>
        <w:t xml:space="preserve"> من التوصية</w:t>
      </w:r>
      <w:r w:rsidRPr="002B0756">
        <w:rPr>
          <w:rFonts w:hint="eastAsia"/>
          <w:rtl/>
        </w:rPr>
        <w:t> </w:t>
      </w:r>
      <w:r w:rsidRPr="002B0756">
        <w:t>A.8</w:t>
      </w:r>
      <w:r w:rsidRPr="002B0756">
        <w:rPr>
          <w:rFonts w:hint="cs"/>
          <w:rtl/>
        </w:rPr>
        <w:t xml:space="preserve"> (جوهانسبرغ،</w:t>
      </w:r>
      <w:r>
        <w:rPr>
          <w:rFonts w:hint="eastAsia"/>
          <w:rtl/>
        </w:rPr>
        <w:t> </w:t>
      </w:r>
      <w:r w:rsidRPr="002B0756">
        <w:t>2008</w:t>
      </w:r>
      <w:r w:rsidRPr="002B0756">
        <w:rPr>
          <w:rFonts w:hint="cs"/>
          <w:rtl/>
        </w:rPr>
        <w:t xml:space="preserve">) أود إبلاغكم بأن لجنة الدراسات </w:t>
      </w:r>
      <w:r w:rsidRPr="00D63CB6">
        <w:t>15</w:t>
      </w:r>
      <w:r w:rsidRPr="00D63CB6">
        <w:rPr>
          <w:rFonts w:hint="cs"/>
          <w:rtl/>
        </w:rPr>
        <w:t xml:space="preserve"> </w:t>
      </w:r>
      <w:r w:rsidRPr="004C4FB7">
        <w:rPr>
          <w:rFonts w:hint="cs"/>
          <w:rtl/>
        </w:rPr>
        <w:t>وافقت</w:t>
      </w:r>
      <w:r w:rsidRPr="00D63CB6">
        <w:rPr>
          <w:rFonts w:hint="cs"/>
          <w:rtl/>
          <w:lang w:bidi="ar-EG"/>
        </w:rPr>
        <w:t xml:space="preserve"> على </w:t>
      </w:r>
      <w:r w:rsidR="001655CC" w:rsidRPr="00D63CB6">
        <w:rPr>
          <w:rFonts w:hint="cs"/>
          <w:rtl/>
          <w:lang w:bidi="ar-EG"/>
        </w:rPr>
        <w:t xml:space="preserve">نصوص </w:t>
      </w:r>
      <w:r w:rsidRPr="00D63CB6">
        <w:rPr>
          <w:rFonts w:hint="cs"/>
          <w:rtl/>
          <w:lang w:bidi="ar-EG"/>
        </w:rPr>
        <w:t>التوصيات المدرجة أسفله</w:t>
      </w:r>
      <w:r>
        <w:rPr>
          <w:rFonts w:hint="cs"/>
          <w:rtl/>
          <w:lang w:bidi="ar-EG"/>
        </w:rPr>
        <w:t xml:space="preserve"> في</w:t>
      </w:r>
      <w:r w:rsidRPr="002B0756">
        <w:rPr>
          <w:rFonts w:hint="cs"/>
          <w:rtl/>
        </w:rPr>
        <w:t xml:space="preserve"> جلستها العامة المعقودة في</w:t>
      </w:r>
      <w:r>
        <w:rPr>
          <w:rFonts w:hint="eastAsia"/>
          <w:rtl/>
        </w:rPr>
        <w:t> </w:t>
      </w:r>
      <w:r>
        <w:t>16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2011</w:t>
      </w:r>
      <w:r w:rsidR="0037690E">
        <w:rPr>
          <w:rFonts w:hint="cs"/>
          <w:rtl/>
          <w:lang w:bidi="ar-EG"/>
        </w:rPr>
        <w:t>.</w:t>
      </w:r>
    </w:p>
    <w:p w:rsidR="00007569" w:rsidRDefault="00007569" w:rsidP="0031744C">
      <w:pPr>
        <w:rPr>
          <w:rtl/>
          <w:lang w:bidi="ar-EG"/>
        </w:rPr>
      </w:pPr>
      <w:r w:rsidRPr="000302D3">
        <w:t>2</w:t>
      </w:r>
      <w:r w:rsidRPr="000302D3">
        <w:tab/>
      </w:r>
      <w:r w:rsidR="0031744C" w:rsidRPr="00D63CB6">
        <w:rPr>
          <w:rFonts w:hint="cs"/>
          <w:rtl/>
          <w:lang w:bidi="ar-EG"/>
        </w:rPr>
        <w:t>عناوين التوصيات التي تم الموافقة عليها</w:t>
      </w:r>
      <w:r w:rsidR="00D63CB6">
        <w:rPr>
          <w:rFonts w:hint="cs"/>
          <w:rtl/>
          <w:lang w:bidi="ar-EG"/>
        </w:rPr>
        <w:t xml:space="preserve"> هي كالآتي</w:t>
      </w:r>
      <w:r w:rsidR="0031744C" w:rsidRPr="00D63CB6">
        <w:rPr>
          <w:rFonts w:hint="cs"/>
          <w:rtl/>
          <w:lang w:bidi="ar-EG"/>
        </w:rPr>
        <w:t>:</w:t>
      </w:r>
    </w:p>
    <w:p w:rsidR="0031744C" w:rsidRPr="006D6BA7" w:rsidRDefault="009B2277" w:rsidP="001E5F84">
      <w:pPr>
        <w:ind w:left="794" w:hanging="794"/>
        <w:rPr>
          <w:rtl/>
          <w:lang w:bidi="ar-EG"/>
        </w:rPr>
      </w:pPr>
      <w:r w:rsidRPr="006D6BA7">
        <w:rPr>
          <w:rFonts w:hint="cs"/>
          <w:rtl/>
        </w:rPr>
        <w:t>-</w:t>
      </w:r>
      <w:r w:rsidRPr="006D6BA7">
        <w:rPr>
          <w:rtl/>
          <w:lang w:bidi="ar-SY"/>
        </w:rPr>
        <w:tab/>
      </w:r>
      <w:r w:rsidR="0031744C" w:rsidRPr="006D6BA7">
        <w:rPr>
          <w:rFonts w:hint="cs"/>
          <w:rtl/>
          <w:lang w:bidi="ar-SY"/>
        </w:rPr>
        <w:t xml:space="preserve">التوصية </w:t>
      </w:r>
      <w:r w:rsidR="001E5F84" w:rsidRPr="006D6BA7">
        <w:t>(2011) </w:t>
      </w:r>
      <w:r w:rsidR="00E5797C" w:rsidRPr="006D6BA7">
        <w:t>ITU-T </w:t>
      </w:r>
      <w:r w:rsidR="0031744C" w:rsidRPr="006D6BA7">
        <w:t>G.993.2</w:t>
      </w:r>
      <w:r w:rsidR="0031744C" w:rsidRPr="006D6BA7">
        <w:rPr>
          <w:rFonts w:hint="cs"/>
          <w:rtl/>
        </w:rPr>
        <w:t xml:space="preserve">، </w:t>
      </w:r>
      <w:r w:rsidR="00D61AB0" w:rsidRPr="006D6BA7">
        <w:rPr>
          <w:rFonts w:hint="cs"/>
          <w:i/>
          <w:iCs/>
          <w:rtl/>
        </w:rPr>
        <w:t>مرسلات</w:t>
      </w:r>
      <w:r w:rsidR="00CD7514" w:rsidRPr="006D6BA7">
        <w:rPr>
          <w:rFonts w:hint="eastAsia"/>
          <w:i/>
          <w:iCs/>
          <w:rtl/>
        </w:rPr>
        <w:t> </w:t>
      </w:r>
      <w:r w:rsidR="00D61AB0" w:rsidRPr="006D6BA7">
        <w:rPr>
          <w:rFonts w:hint="cs"/>
          <w:i/>
          <w:iCs/>
          <w:rtl/>
        </w:rPr>
        <w:t>-</w:t>
      </w:r>
      <w:r w:rsidR="00CD7514" w:rsidRPr="006D6BA7">
        <w:rPr>
          <w:rFonts w:hint="eastAsia"/>
          <w:i/>
          <w:iCs/>
          <w:rtl/>
        </w:rPr>
        <w:t> </w:t>
      </w:r>
      <w:r w:rsidR="0031744C" w:rsidRPr="006D6BA7">
        <w:rPr>
          <w:rFonts w:hint="cs"/>
          <w:i/>
          <w:iCs/>
          <w:rtl/>
        </w:rPr>
        <w:t xml:space="preserve">مستقبلات خط المشترك الرقمي بسرعة عالية جداً </w:t>
      </w:r>
      <w:r w:rsidR="0031744C" w:rsidRPr="006D6BA7">
        <w:rPr>
          <w:i/>
          <w:iCs/>
        </w:rPr>
        <w:t>(VDSL2) 2</w:t>
      </w:r>
      <w:r w:rsidRPr="006D6BA7">
        <w:rPr>
          <w:rFonts w:hint="cs"/>
          <w:i/>
          <w:iCs/>
          <w:rtl/>
        </w:rPr>
        <w:t>.</w:t>
      </w:r>
    </w:p>
    <w:p w:rsidR="0031744C" w:rsidRPr="006D6BA7" w:rsidRDefault="009B2277" w:rsidP="001E5F84">
      <w:pPr>
        <w:ind w:left="794" w:hanging="794"/>
        <w:rPr>
          <w:i/>
          <w:iCs/>
          <w:spacing w:val="-4"/>
          <w:rtl/>
          <w:lang w:bidi="ar-EG"/>
        </w:rPr>
      </w:pPr>
      <w:r w:rsidRPr="006D6BA7">
        <w:rPr>
          <w:rFonts w:hint="cs"/>
          <w:rtl/>
        </w:rPr>
        <w:t>-</w:t>
      </w:r>
      <w:r w:rsidRPr="006D6BA7">
        <w:rPr>
          <w:rtl/>
          <w:lang w:bidi="ar-EG"/>
        </w:rPr>
        <w:tab/>
      </w:r>
      <w:r w:rsidR="0031744C" w:rsidRPr="006D6BA7">
        <w:rPr>
          <w:rFonts w:hint="cs"/>
          <w:spacing w:val="-4"/>
          <w:rtl/>
          <w:lang w:bidi="ar-EG"/>
        </w:rPr>
        <w:t xml:space="preserve">التعديل </w:t>
      </w:r>
      <w:r w:rsidR="0031744C" w:rsidRPr="006D6BA7">
        <w:rPr>
          <w:spacing w:val="-4"/>
          <w:lang w:bidi="ar-EG"/>
        </w:rPr>
        <w:t>1</w:t>
      </w:r>
      <w:r w:rsidR="0031744C" w:rsidRPr="006D6BA7">
        <w:rPr>
          <w:rFonts w:hint="cs"/>
          <w:spacing w:val="-4"/>
          <w:rtl/>
          <w:lang w:bidi="ar-SY"/>
        </w:rPr>
        <w:t xml:space="preserve"> للتوصية </w:t>
      </w:r>
      <w:r w:rsidR="001E5F84" w:rsidRPr="006D6BA7">
        <w:rPr>
          <w:spacing w:val="-4"/>
          <w:lang w:bidi="ar-EG"/>
        </w:rPr>
        <w:t>(2010)</w:t>
      </w:r>
      <w:r w:rsidR="001E5F84" w:rsidRPr="006D6BA7">
        <w:rPr>
          <w:spacing w:val="-4"/>
        </w:rPr>
        <w:t> </w:t>
      </w:r>
      <w:r w:rsidR="00E5797C" w:rsidRPr="006D6BA7">
        <w:rPr>
          <w:spacing w:val="-4"/>
        </w:rPr>
        <w:t>ITU-T </w:t>
      </w:r>
      <w:r w:rsidR="0031744C" w:rsidRPr="006D6BA7">
        <w:rPr>
          <w:spacing w:val="-4"/>
        </w:rPr>
        <w:t>G.993.5</w:t>
      </w:r>
      <w:r w:rsidR="0031744C" w:rsidRPr="006D6BA7">
        <w:rPr>
          <w:rFonts w:hint="cs"/>
          <w:spacing w:val="-4"/>
          <w:rtl/>
          <w:lang w:bidi="ar-EG"/>
        </w:rPr>
        <w:t xml:space="preserve">، </w:t>
      </w:r>
      <w:r w:rsidR="0031744C" w:rsidRPr="006D6BA7">
        <w:rPr>
          <w:i/>
          <w:iCs/>
          <w:color w:val="000000"/>
          <w:spacing w:val="-4"/>
          <w:rtl/>
        </w:rPr>
        <w:t>إلغاء اللغط الذاتي عند الطرف البعيد (</w:t>
      </w:r>
      <w:r w:rsidR="0031744C" w:rsidRPr="006D6BA7">
        <w:rPr>
          <w:rFonts w:hint="cs"/>
          <w:i/>
          <w:iCs/>
          <w:color w:val="000000"/>
          <w:spacing w:val="-4"/>
          <w:rtl/>
        </w:rPr>
        <w:t>بواسطة</w:t>
      </w:r>
      <w:r w:rsidR="0031744C" w:rsidRPr="006D6BA7">
        <w:rPr>
          <w:i/>
          <w:iCs/>
          <w:color w:val="000000"/>
          <w:spacing w:val="-4"/>
          <w:rtl/>
        </w:rPr>
        <w:t xml:space="preserve"> المتجهات) للاستعمال مع مرسلات</w:t>
      </w:r>
      <w:r w:rsidR="00B376AA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–</w:t>
      </w:r>
      <w:r w:rsidR="00B376AA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مستقبلات</w:t>
      </w:r>
      <w:r w:rsidR="0031744C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</w:rPr>
        <w:t>VDSL2</w:t>
      </w:r>
      <w:r w:rsidRPr="006D6BA7">
        <w:rPr>
          <w:rFonts w:hint="cs"/>
          <w:i/>
          <w:iCs/>
          <w:spacing w:val="-4"/>
          <w:rtl/>
          <w:lang w:bidi="ar-SY"/>
        </w:rPr>
        <w:t>.</w:t>
      </w:r>
    </w:p>
    <w:p w:rsidR="0031744C" w:rsidRPr="006D6BA7" w:rsidRDefault="009B2277" w:rsidP="001E5F84">
      <w:pPr>
        <w:ind w:left="794" w:hanging="794"/>
        <w:rPr>
          <w:spacing w:val="-6"/>
          <w:rtl/>
          <w:lang w:bidi="ar-SY"/>
        </w:rPr>
      </w:pPr>
      <w:r w:rsidRPr="006D6BA7">
        <w:rPr>
          <w:rFonts w:hint="cs"/>
          <w:rtl/>
        </w:rPr>
        <w:t>-</w:t>
      </w:r>
      <w:r w:rsidRPr="006D6BA7">
        <w:rPr>
          <w:rtl/>
          <w:lang w:bidi="ar-EG"/>
        </w:rPr>
        <w:tab/>
      </w:r>
      <w:r w:rsidR="0031744C" w:rsidRPr="006D6BA7">
        <w:rPr>
          <w:rFonts w:hint="cs"/>
          <w:spacing w:val="-6"/>
          <w:rtl/>
          <w:lang w:bidi="ar-EG"/>
        </w:rPr>
        <w:t xml:space="preserve">التعديل </w:t>
      </w:r>
      <w:r w:rsidR="0031744C" w:rsidRPr="006D6BA7">
        <w:rPr>
          <w:spacing w:val="-6"/>
          <w:lang w:bidi="ar-EG"/>
        </w:rPr>
        <w:t>8</w:t>
      </w:r>
      <w:r w:rsidR="0031744C" w:rsidRPr="006D6BA7">
        <w:rPr>
          <w:rFonts w:hint="cs"/>
          <w:spacing w:val="-6"/>
          <w:rtl/>
          <w:lang w:bidi="ar-SY"/>
        </w:rPr>
        <w:t xml:space="preserve"> للتوصية </w:t>
      </w:r>
      <w:r w:rsidR="001E5F84" w:rsidRPr="006D6BA7">
        <w:rPr>
          <w:spacing w:val="-6"/>
          <w:lang w:bidi="ar-EG"/>
        </w:rPr>
        <w:t>(2007)</w:t>
      </w:r>
      <w:r w:rsidR="001E5F84" w:rsidRPr="006D6BA7">
        <w:rPr>
          <w:spacing w:val="-6"/>
        </w:rPr>
        <w:t> </w:t>
      </w:r>
      <w:r w:rsidR="00E5797C" w:rsidRPr="006D6BA7">
        <w:rPr>
          <w:spacing w:val="-6"/>
        </w:rPr>
        <w:t>ITU-T </w:t>
      </w:r>
      <w:r w:rsidR="0031744C" w:rsidRPr="006D6BA7">
        <w:rPr>
          <w:spacing w:val="-6"/>
        </w:rPr>
        <w:t>G.994.1</w:t>
      </w:r>
      <w:r w:rsidR="0031744C" w:rsidRPr="006D6BA7">
        <w:rPr>
          <w:rFonts w:hint="cs"/>
          <w:spacing w:val="-6"/>
          <w:rtl/>
          <w:lang w:bidi="ar-EG"/>
        </w:rPr>
        <w:t xml:space="preserve">، </w:t>
      </w:r>
      <w:r w:rsidR="0031744C" w:rsidRPr="006D6BA7">
        <w:rPr>
          <w:i/>
          <w:iCs/>
          <w:color w:val="000000"/>
          <w:spacing w:val="-6"/>
          <w:rtl/>
        </w:rPr>
        <w:t xml:space="preserve">إجراءات </w:t>
      </w:r>
      <w:r w:rsidR="0031744C" w:rsidRPr="006D6BA7">
        <w:rPr>
          <w:rFonts w:hint="cs"/>
          <w:i/>
          <w:iCs/>
          <w:color w:val="000000"/>
          <w:spacing w:val="-6"/>
          <w:rtl/>
        </w:rPr>
        <w:t>التبادل</w:t>
      </w:r>
      <w:r w:rsidR="0031744C" w:rsidRPr="006D6BA7">
        <w:rPr>
          <w:i/>
          <w:iCs/>
          <w:color w:val="000000"/>
          <w:spacing w:val="-6"/>
          <w:rtl/>
        </w:rPr>
        <w:t xml:space="preserve"> لمرسلات</w:t>
      </w:r>
      <w:r w:rsidR="00DC4516" w:rsidRPr="006D6BA7">
        <w:rPr>
          <w:rFonts w:hint="cs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  <w:rtl/>
        </w:rPr>
        <w:t>-</w:t>
      </w:r>
      <w:r w:rsidR="00DC4516" w:rsidRPr="006D6BA7">
        <w:rPr>
          <w:rFonts w:hint="cs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  <w:rtl/>
        </w:rPr>
        <w:t>مستقبلات الخط الرقمي للمشترك</w:t>
      </w:r>
      <w:r w:rsidR="00FB01E0" w:rsidRPr="006D6BA7">
        <w:rPr>
          <w:rFonts w:hint="eastAsia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</w:rPr>
        <w:t>(DSL</w:t>
      </w:r>
      <w:r w:rsidRPr="006D6BA7">
        <w:rPr>
          <w:i/>
          <w:iCs/>
          <w:color w:val="000000"/>
          <w:spacing w:val="-6"/>
        </w:rPr>
        <w:t>)</w:t>
      </w:r>
      <w:r w:rsidRPr="006D6BA7">
        <w:rPr>
          <w:rFonts w:hint="cs"/>
          <w:i/>
          <w:iCs/>
          <w:color w:val="000000"/>
          <w:spacing w:val="-6"/>
          <w:rtl/>
          <w:lang w:bidi="ar-SY"/>
        </w:rPr>
        <w:t>.</w:t>
      </w:r>
    </w:p>
    <w:p w:rsidR="0031744C" w:rsidRPr="006D6BA7" w:rsidRDefault="009B2277" w:rsidP="001E5F84">
      <w:pPr>
        <w:ind w:left="794" w:hanging="794"/>
        <w:rPr>
          <w:i/>
          <w:iCs/>
          <w:spacing w:val="-6"/>
          <w:rtl/>
          <w:lang w:bidi="ar-EG"/>
        </w:rPr>
      </w:pPr>
      <w:r w:rsidRPr="006D6BA7">
        <w:rPr>
          <w:rFonts w:hint="cs"/>
          <w:spacing w:val="-6"/>
          <w:rtl/>
        </w:rPr>
        <w:t>-</w:t>
      </w:r>
      <w:r w:rsidRPr="006D6BA7">
        <w:rPr>
          <w:spacing w:val="-6"/>
          <w:rtl/>
          <w:lang w:bidi="ar-EG"/>
        </w:rPr>
        <w:tab/>
      </w:r>
      <w:r w:rsidR="0031744C" w:rsidRPr="006D6BA7">
        <w:rPr>
          <w:rFonts w:hint="cs"/>
          <w:spacing w:val="-6"/>
          <w:rtl/>
          <w:lang w:bidi="ar-EG"/>
        </w:rPr>
        <w:t xml:space="preserve">التعديل </w:t>
      </w:r>
      <w:r w:rsidR="0031744C" w:rsidRPr="006D6BA7">
        <w:rPr>
          <w:spacing w:val="-6"/>
          <w:lang w:bidi="ar-EG"/>
        </w:rPr>
        <w:t>4</w:t>
      </w:r>
      <w:r w:rsidR="0031744C" w:rsidRPr="006D6BA7">
        <w:rPr>
          <w:rFonts w:hint="cs"/>
          <w:spacing w:val="-6"/>
          <w:rtl/>
          <w:lang w:bidi="ar-SY"/>
        </w:rPr>
        <w:t xml:space="preserve"> للتوصية </w:t>
      </w:r>
      <w:r w:rsidR="001E5F84" w:rsidRPr="006D6BA7">
        <w:rPr>
          <w:spacing w:val="-6"/>
          <w:lang w:bidi="ar-EG"/>
        </w:rPr>
        <w:t>(2009)</w:t>
      </w:r>
      <w:r w:rsidR="001E5F84" w:rsidRPr="006D6BA7">
        <w:rPr>
          <w:spacing w:val="-6"/>
        </w:rPr>
        <w:t> </w:t>
      </w:r>
      <w:r w:rsidR="00E5797C" w:rsidRPr="006D6BA7">
        <w:rPr>
          <w:spacing w:val="-6"/>
        </w:rPr>
        <w:t>ITU-T </w:t>
      </w:r>
      <w:r w:rsidR="0031744C" w:rsidRPr="006D6BA7">
        <w:rPr>
          <w:spacing w:val="-6"/>
        </w:rPr>
        <w:t>G.997.1</w:t>
      </w:r>
      <w:r w:rsidR="0031744C" w:rsidRPr="006D6BA7">
        <w:rPr>
          <w:rFonts w:hint="cs"/>
          <w:spacing w:val="-6"/>
          <w:rtl/>
          <w:lang w:bidi="ar-EG"/>
        </w:rPr>
        <w:t xml:space="preserve">، </w:t>
      </w:r>
      <w:r w:rsidR="0031744C" w:rsidRPr="006D6BA7">
        <w:rPr>
          <w:rFonts w:hint="cs"/>
          <w:i/>
          <w:iCs/>
          <w:color w:val="000000"/>
          <w:spacing w:val="-6"/>
          <w:rtl/>
        </w:rPr>
        <w:t xml:space="preserve">إدارة الطبقة المادية </w:t>
      </w:r>
      <w:r w:rsidR="0031744C" w:rsidRPr="006D6BA7">
        <w:rPr>
          <w:rFonts w:hint="cs"/>
          <w:i/>
          <w:iCs/>
          <w:spacing w:val="-6"/>
          <w:rtl/>
          <w:lang w:bidi="ar-EG"/>
        </w:rPr>
        <w:t>لمرسلات</w:t>
      </w:r>
      <w:r w:rsidR="00CD7514" w:rsidRPr="006D6BA7">
        <w:rPr>
          <w:rFonts w:hint="eastAsia"/>
          <w:i/>
          <w:iCs/>
          <w:spacing w:val="-6"/>
          <w:rtl/>
          <w:lang w:bidi="ar-EG"/>
        </w:rPr>
        <w:t> </w:t>
      </w:r>
      <w:r w:rsidR="00CD7514" w:rsidRPr="006D6BA7">
        <w:rPr>
          <w:rFonts w:hint="cs"/>
          <w:i/>
          <w:iCs/>
          <w:spacing w:val="-6"/>
          <w:rtl/>
          <w:lang w:bidi="ar-EG"/>
        </w:rPr>
        <w:t>-</w:t>
      </w:r>
      <w:r w:rsidR="00CD7514" w:rsidRPr="006D6BA7">
        <w:rPr>
          <w:rFonts w:hint="eastAsia"/>
          <w:i/>
          <w:iCs/>
          <w:spacing w:val="-6"/>
          <w:rtl/>
          <w:lang w:bidi="ar-EG"/>
        </w:rPr>
        <w:t> </w:t>
      </w:r>
      <w:r w:rsidR="0031744C" w:rsidRPr="006D6BA7">
        <w:rPr>
          <w:rFonts w:hint="cs"/>
          <w:i/>
          <w:iCs/>
          <w:spacing w:val="-6"/>
          <w:rtl/>
          <w:lang w:bidi="ar-EG"/>
        </w:rPr>
        <w:t xml:space="preserve">مستقبلات الخط الرقمي </w:t>
      </w:r>
      <w:r w:rsidR="0031744C" w:rsidRPr="006D6BA7">
        <w:rPr>
          <w:i/>
          <w:iCs/>
          <w:color w:val="000000"/>
          <w:spacing w:val="-6"/>
          <w:rtl/>
        </w:rPr>
        <w:t>للمشترك</w:t>
      </w:r>
      <w:r w:rsidR="00CD7514" w:rsidRPr="006D6BA7">
        <w:rPr>
          <w:rFonts w:hint="cs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</w:rPr>
        <w:t>(DSL)</w:t>
      </w:r>
      <w:r w:rsidRPr="006D6BA7">
        <w:rPr>
          <w:rFonts w:hint="cs"/>
          <w:i/>
          <w:iCs/>
          <w:color w:val="000000"/>
          <w:spacing w:val="-6"/>
          <w:rtl/>
          <w:lang w:bidi="ar-SY"/>
        </w:rPr>
        <w:t>.</w:t>
      </w:r>
    </w:p>
    <w:p w:rsidR="0031744C" w:rsidRPr="006D6BA7" w:rsidRDefault="009B2277" w:rsidP="001E5F84">
      <w:pPr>
        <w:ind w:left="794" w:hanging="794"/>
        <w:rPr>
          <w:i/>
          <w:iCs/>
          <w:spacing w:val="-6"/>
          <w:rtl/>
          <w:lang w:bidi="ar-EG"/>
        </w:rPr>
      </w:pPr>
      <w:r w:rsidRPr="006D6BA7">
        <w:rPr>
          <w:rFonts w:hint="cs"/>
          <w:rtl/>
        </w:rPr>
        <w:t>-</w:t>
      </w:r>
      <w:r w:rsidRPr="006D6BA7">
        <w:rPr>
          <w:spacing w:val="-6"/>
          <w:rtl/>
          <w:lang w:bidi="ar-EG"/>
        </w:rPr>
        <w:tab/>
      </w:r>
      <w:r w:rsidR="0031744C" w:rsidRPr="006D6BA7">
        <w:rPr>
          <w:rFonts w:hint="cs"/>
          <w:spacing w:val="-6"/>
          <w:rtl/>
          <w:lang w:bidi="ar-EG"/>
        </w:rPr>
        <w:t xml:space="preserve">التصويب </w:t>
      </w:r>
      <w:r w:rsidR="0031744C" w:rsidRPr="006D6BA7">
        <w:rPr>
          <w:spacing w:val="-6"/>
          <w:lang w:bidi="ar-EG"/>
        </w:rPr>
        <w:t>3</w:t>
      </w:r>
      <w:r w:rsidR="0031744C" w:rsidRPr="006D6BA7">
        <w:rPr>
          <w:rFonts w:hint="cs"/>
          <w:spacing w:val="-6"/>
          <w:rtl/>
          <w:lang w:bidi="ar-SY"/>
        </w:rPr>
        <w:t xml:space="preserve"> للتوصية </w:t>
      </w:r>
      <w:r w:rsidR="001E5F84" w:rsidRPr="006D6BA7">
        <w:rPr>
          <w:spacing w:val="-6"/>
          <w:lang w:bidi="ar-EG"/>
        </w:rPr>
        <w:t>(2010)</w:t>
      </w:r>
      <w:r w:rsidR="001E5F84" w:rsidRPr="006D6BA7">
        <w:rPr>
          <w:spacing w:val="-6"/>
        </w:rPr>
        <w:t> </w:t>
      </w:r>
      <w:r w:rsidR="00CD7514" w:rsidRPr="006D6BA7">
        <w:rPr>
          <w:spacing w:val="-6"/>
        </w:rPr>
        <w:t>ITU-T </w:t>
      </w:r>
      <w:r w:rsidR="0031744C" w:rsidRPr="006D6BA7">
        <w:rPr>
          <w:spacing w:val="-6"/>
        </w:rPr>
        <w:t>G.998.4</w:t>
      </w:r>
      <w:r w:rsidR="0031744C" w:rsidRPr="006D6BA7">
        <w:rPr>
          <w:rFonts w:hint="cs"/>
          <w:spacing w:val="-6"/>
          <w:rtl/>
          <w:lang w:bidi="ar-EG"/>
        </w:rPr>
        <w:t xml:space="preserve">، </w:t>
      </w:r>
      <w:r w:rsidR="0031744C" w:rsidRPr="006D6BA7">
        <w:rPr>
          <w:i/>
          <w:iCs/>
          <w:color w:val="000000"/>
          <w:spacing w:val="-6"/>
          <w:rtl/>
        </w:rPr>
        <w:t>تحسين الحماية من الضوضاء النبضية لمرسلات</w:t>
      </w:r>
      <w:r w:rsidR="00CD7514" w:rsidRPr="006D6BA7">
        <w:rPr>
          <w:rFonts w:hint="cs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  <w:rtl/>
        </w:rPr>
        <w:t>-</w:t>
      </w:r>
      <w:r w:rsidR="00CD7514" w:rsidRPr="006D6BA7">
        <w:rPr>
          <w:rFonts w:hint="cs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  <w:rtl/>
        </w:rPr>
        <w:t>مستقبلات</w:t>
      </w:r>
      <w:r w:rsidR="0031744C" w:rsidRPr="006D6BA7">
        <w:rPr>
          <w:rFonts w:hint="cs"/>
          <w:i/>
          <w:iCs/>
          <w:spacing w:val="-6"/>
          <w:rtl/>
        </w:rPr>
        <w:t xml:space="preserve"> </w:t>
      </w:r>
      <w:r w:rsidR="0031744C" w:rsidRPr="006D6BA7">
        <w:rPr>
          <w:rFonts w:hint="cs"/>
          <w:i/>
          <w:iCs/>
          <w:spacing w:val="-6"/>
          <w:rtl/>
          <w:lang w:bidi="ar-EG"/>
        </w:rPr>
        <w:t xml:space="preserve">الخط الرقمي </w:t>
      </w:r>
      <w:r w:rsidR="0031744C" w:rsidRPr="006D6BA7">
        <w:rPr>
          <w:i/>
          <w:iCs/>
          <w:color w:val="000000"/>
          <w:spacing w:val="-6"/>
          <w:rtl/>
        </w:rPr>
        <w:t>للمشترك</w:t>
      </w:r>
      <w:r w:rsidR="0031744C" w:rsidRPr="006D6BA7">
        <w:rPr>
          <w:rFonts w:hint="cs"/>
          <w:i/>
          <w:iCs/>
          <w:color w:val="000000"/>
          <w:spacing w:val="-6"/>
          <w:rtl/>
        </w:rPr>
        <w:t> </w:t>
      </w:r>
      <w:r w:rsidR="0031744C" w:rsidRPr="006D6BA7">
        <w:rPr>
          <w:i/>
          <w:iCs/>
          <w:color w:val="000000"/>
          <w:spacing w:val="-6"/>
        </w:rPr>
        <w:t>(DSL)</w:t>
      </w:r>
      <w:r w:rsidRPr="006D6BA7">
        <w:rPr>
          <w:rFonts w:hint="cs"/>
          <w:i/>
          <w:iCs/>
          <w:spacing w:val="-6"/>
          <w:rtl/>
          <w:lang w:bidi="ar-SY"/>
        </w:rPr>
        <w:t>.</w:t>
      </w:r>
    </w:p>
    <w:p w:rsidR="0031744C" w:rsidRPr="006D6BA7" w:rsidRDefault="009B2277" w:rsidP="00A66CE6">
      <w:pPr>
        <w:keepNext/>
        <w:keepLines/>
        <w:tabs>
          <w:tab w:val="left" w:pos="7957"/>
          <w:tab w:val="left" w:pos="8934"/>
        </w:tabs>
        <w:ind w:left="794" w:hanging="794"/>
        <w:rPr>
          <w:spacing w:val="-10"/>
          <w:rtl/>
          <w:lang w:bidi="ar-SY"/>
        </w:rPr>
      </w:pPr>
      <w:r w:rsidRPr="006D6BA7">
        <w:rPr>
          <w:rFonts w:hint="cs"/>
          <w:spacing w:val="-10"/>
          <w:rtl/>
        </w:rPr>
        <w:lastRenderedPageBreak/>
        <w:t>-</w:t>
      </w:r>
      <w:r w:rsidRPr="006D6BA7">
        <w:rPr>
          <w:spacing w:val="-10"/>
          <w:rtl/>
        </w:rPr>
        <w:tab/>
      </w:r>
      <w:r w:rsidR="0031744C" w:rsidRPr="006D6BA7">
        <w:rPr>
          <w:rFonts w:hint="cs"/>
          <w:spacing w:val="-10"/>
          <w:rtl/>
        </w:rPr>
        <w:t xml:space="preserve">التوصية </w:t>
      </w:r>
      <w:r w:rsidR="00A66CE6" w:rsidRPr="006D6BA7">
        <w:rPr>
          <w:spacing w:val="-10"/>
        </w:rPr>
        <w:t>(2011) </w:t>
      </w:r>
      <w:r w:rsidR="00CD7514" w:rsidRPr="006D6BA7">
        <w:rPr>
          <w:spacing w:val="-10"/>
        </w:rPr>
        <w:t>ITU-T </w:t>
      </w:r>
      <w:r w:rsidR="0031744C" w:rsidRPr="006D6BA7">
        <w:rPr>
          <w:spacing w:val="-10"/>
        </w:rPr>
        <w:t>G.8110.1/Y.1370.1</w:t>
      </w:r>
      <w:r w:rsidR="0031744C" w:rsidRPr="006D6BA7">
        <w:rPr>
          <w:rFonts w:hint="cs"/>
          <w:spacing w:val="-10"/>
          <w:rtl/>
        </w:rPr>
        <w:t xml:space="preserve">، </w:t>
      </w:r>
      <w:r w:rsidR="0031744C" w:rsidRPr="006D6BA7">
        <w:rPr>
          <w:i/>
          <w:iCs/>
          <w:color w:val="000000"/>
          <w:spacing w:val="-10"/>
          <w:rtl/>
        </w:rPr>
        <w:t>معمارية شبكة طبقة النقل بتبديل الوسم ببروتوكولات متعددة</w:t>
      </w:r>
      <w:r w:rsidR="00603CB7" w:rsidRPr="006D6BA7">
        <w:rPr>
          <w:rFonts w:hint="cs"/>
          <w:i/>
          <w:iCs/>
          <w:color w:val="000000"/>
          <w:spacing w:val="-10"/>
          <w:rtl/>
        </w:rPr>
        <w:t> </w:t>
      </w:r>
      <w:r w:rsidR="0031744C" w:rsidRPr="006D6BA7">
        <w:rPr>
          <w:i/>
          <w:iCs/>
          <w:color w:val="000000"/>
          <w:spacing w:val="-10"/>
        </w:rPr>
        <w:t>(MPLS</w:t>
      </w:r>
      <w:r w:rsidRPr="006D6BA7">
        <w:rPr>
          <w:i/>
          <w:iCs/>
          <w:color w:val="000000"/>
          <w:spacing w:val="-10"/>
        </w:rPr>
        <w:noBreakHyphen/>
      </w:r>
      <w:r w:rsidR="0031744C" w:rsidRPr="006D6BA7">
        <w:rPr>
          <w:i/>
          <w:iCs/>
          <w:color w:val="000000"/>
          <w:spacing w:val="-10"/>
        </w:rPr>
        <w:t>TP)</w:t>
      </w:r>
      <w:r w:rsidR="0031744C" w:rsidRPr="006D6BA7">
        <w:rPr>
          <w:i/>
          <w:iCs/>
          <w:color w:val="000000"/>
          <w:spacing w:val="-10"/>
          <w:rtl/>
        </w:rPr>
        <w:t>.</w:t>
      </w:r>
    </w:p>
    <w:p w:rsidR="0031744C" w:rsidRPr="006D6BA7" w:rsidRDefault="009B2277" w:rsidP="00A66CE6">
      <w:pPr>
        <w:tabs>
          <w:tab w:val="left" w:pos="7957"/>
        </w:tabs>
        <w:ind w:left="794" w:hanging="794"/>
        <w:rPr>
          <w:i/>
          <w:iCs/>
          <w:spacing w:val="-4"/>
          <w:rtl/>
          <w:lang w:bidi="ar-EG"/>
        </w:rPr>
      </w:pPr>
      <w:r w:rsidRPr="006D6BA7">
        <w:rPr>
          <w:rFonts w:hint="cs"/>
          <w:rtl/>
        </w:rPr>
        <w:t>-</w:t>
      </w:r>
      <w:r w:rsidRPr="006D6BA7">
        <w:rPr>
          <w:rtl/>
        </w:rPr>
        <w:tab/>
      </w:r>
      <w:r w:rsidR="0031744C" w:rsidRPr="006D6BA7">
        <w:rPr>
          <w:rFonts w:hint="cs"/>
          <w:spacing w:val="-4"/>
          <w:rtl/>
        </w:rPr>
        <w:t xml:space="preserve">التوصية </w:t>
      </w:r>
      <w:r w:rsidR="00A66CE6" w:rsidRPr="006D6BA7">
        <w:rPr>
          <w:spacing w:val="-4"/>
        </w:rPr>
        <w:t>(2011) </w:t>
      </w:r>
      <w:r w:rsidR="00CD7514" w:rsidRPr="006D6BA7">
        <w:rPr>
          <w:spacing w:val="-4"/>
        </w:rPr>
        <w:t>ITU-T </w:t>
      </w:r>
      <w:r w:rsidR="0031744C" w:rsidRPr="006D6BA7">
        <w:rPr>
          <w:spacing w:val="-4"/>
        </w:rPr>
        <w:t>G.9960</w:t>
      </w:r>
      <w:r w:rsidR="0031744C" w:rsidRPr="006D6BA7">
        <w:rPr>
          <w:rFonts w:hint="cs"/>
          <w:spacing w:val="-4"/>
          <w:rtl/>
        </w:rPr>
        <w:t xml:space="preserve">، </w:t>
      </w:r>
      <w:r w:rsidR="0031744C" w:rsidRPr="006D6BA7">
        <w:rPr>
          <w:i/>
          <w:iCs/>
          <w:color w:val="000000"/>
          <w:spacing w:val="-4"/>
          <w:rtl/>
        </w:rPr>
        <w:t>أجهزة الإرسال</w:t>
      </w:r>
      <w:r w:rsidR="00CD7514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-</w:t>
      </w:r>
      <w:r w:rsidR="00CD7514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الاستقبال السلكية الموحدة عالية السرعة في الشبكات المن‍زلية</w:t>
      </w:r>
      <w:r w:rsidR="007C640C" w:rsidRPr="006D6BA7">
        <w:rPr>
          <w:rFonts w:hint="eastAsia"/>
          <w:i/>
          <w:iCs/>
          <w:color w:val="000000"/>
          <w:spacing w:val="-4"/>
          <w:rtl/>
        </w:rPr>
        <w:t> </w:t>
      </w:r>
      <w:r w:rsidRPr="006D6BA7">
        <w:rPr>
          <w:rFonts w:hint="cs"/>
          <w:i/>
          <w:iCs/>
          <w:color w:val="000000"/>
          <w:spacing w:val="-4"/>
          <w:rtl/>
        </w:rPr>
        <w:t>-</w:t>
      </w:r>
      <w:r w:rsidR="007C640C" w:rsidRPr="006D6BA7">
        <w:rPr>
          <w:rFonts w:hint="eastAsia"/>
          <w:i/>
          <w:iCs/>
          <w:color w:val="000000"/>
          <w:spacing w:val="-4"/>
          <w:rtl/>
        </w:rPr>
        <w:t> </w:t>
      </w:r>
      <w:r w:rsidR="0031744C" w:rsidRPr="006D6BA7">
        <w:rPr>
          <w:rFonts w:hint="cs"/>
          <w:i/>
          <w:iCs/>
          <w:spacing w:val="-4"/>
          <w:rtl/>
        </w:rPr>
        <w:t>مواصفات معمارية النظام والطبقة المادية.</w:t>
      </w:r>
    </w:p>
    <w:p w:rsidR="0031744C" w:rsidRPr="006D6BA7" w:rsidRDefault="009B2277" w:rsidP="00A66CE6">
      <w:pPr>
        <w:tabs>
          <w:tab w:val="left" w:pos="7957"/>
        </w:tabs>
        <w:ind w:left="794" w:hanging="794"/>
        <w:rPr>
          <w:i/>
          <w:iCs/>
          <w:spacing w:val="-4"/>
          <w:rtl/>
          <w:lang w:bidi="ar-SY"/>
        </w:rPr>
      </w:pPr>
      <w:r w:rsidRPr="006D6BA7">
        <w:rPr>
          <w:rFonts w:hint="cs"/>
          <w:rtl/>
        </w:rPr>
        <w:t>-</w:t>
      </w:r>
      <w:r w:rsidRPr="006D6BA7">
        <w:rPr>
          <w:rtl/>
          <w:lang w:bidi="ar-EG"/>
        </w:rPr>
        <w:tab/>
      </w:r>
      <w:r w:rsidR="0031744C" w:rsidRPr="006D6BA7">
        <w:rPr>
          <w:rFonts w:hint="cs"/>
          <w:spacing w:val="-4"/>
          <w:rtl/>
          <w:lang w:bidi="ar-EG"/>
        </w:rPr>
        <w:t xml:space="preserve">التصويب </w:t>
      </w:r>
      <w:r w:rsidR="0031744C" w:rsidRPr="006D6BA7">
        <w:rPr>
          <w:spacing w:val="-4"/>
          <w:lang w:bidi="ar-EG"/>
        </w:rPr>
        <w:t>1</w:t>
      </w:r>
      <w:r w:rsidR="0031744C" w:rsidRPr="006D6BA7">
        <w:rPr>
          <w:rFonts w:hint="cs"/>
          <w:spacing w:val="-4"/>
          <w:rtl/>
          <w:lang w:bidi="ar-SY"/>
        </w:rPr>
        <w:t xml:space="preserve"> للتوصية </w:t>
      </w:r>
      <w:r w:rsidR="00A66CE6" w:rsidRPr="006D6BA7">
        <w:rPr>
          <w:spacing w:val="-4"/>
          <w:lang w:bidi="ar-EG"/>
        </w:rPr>
        <w:t>(2010)</w:t>
      </w:r>
      <w:r w:rsidR="00A66CE6" w:rsidRPr="006D6BA7">
        <w:rPr>
          <w:spacing w:val="-4"/>
        </w:rPr>
        <w:t> </w:t>
      </w:r>
      <w:r w:rsidR="00CD7514" w:rsidRPr="006D6BA7">
        <w:rPr>
          <w:spacing w:val="-4"/>
        </w:rPr>
        <w:t>ITU-T </w:t>
      </w:r>
      <w:r w:rsidR="0031744C" w:rsidRPr="006D6BA7">
        <w:rPr>
          <w:spacing w:val="-4"/>
        </w:rPr>
        <w:t>G.9961</w:t>
      </w:r>
      <w:r w:rsidR="0031744C" w:rsidRPr="006D6BA7">
        <w:rPr>
          <w:rFonts w:hint="cs"/>
          <w:spacing w:val="-4"/>
          <w:rtl/>
          <w:lang w:bidi="ar-EG"/>
        </w:rPr>
        <w:t xml:space="preserve">، </w:t>
      </w:r>
      <w:r w:rsidR="0031744C" w:rsidRPr="006D6BA7">
        <w:rPr>
          <w:rFonts w:hint="cs"/>
          <w:i/>
          <w:iCs/>
          <w:spacing w:val="-4"/>
          <w:rtl/>
          <w:lang w:bidi="ar-EG"/>
        </w:rPr>
        <w:t xml:space="preserve">طبقة وصلة البيانات </w:t>
      </w:r>
      <w:r w:rsidR="0031744C" w:rsidRPr="006D6BA7">
        <w:rPr>
          <w:i/>
          <w:iCs/>
          <w:spacing w:val="-4"/>
          <w:lang w:bidi="ar-EG"/>
        </w:rPr>
        <w:t>(DLL)</w:t>
      </w:r>
      <w:r w:rsidR="0031744C" w:rsidRPr="006D6BA7">
        <w:rPr>
          <w:rFonts w:hint="cs"/>
          <w:i/>
          <w:iCs/>
          <w:spacing w:val="-4"/>
          <w:rtl/>
          <w:lang w:bidi="ar-EG"/>
        </w:rPr>
        <w:t xml:space="preserve"> ل</w:t>
      </w:r>
      <w:r w:rsidR="0031744C" w:rsidRPr="006D6BA7">
        <w:rPr>
          <w:i/>
          <w:iCs/>
          <w:color w:val="000000"/>
          <w:spacing w:val="-4"/>
          <w:rtl/>
        </w:rPr>
        <w:t>أجهزة الإرسال</w:t>
      </w:r>
      <w:r w:rsidR="00CD7514" w:rsidRPr="006D6BA7">
        <w:rPr>
          <w:rFonts w:hint="eastAsia"/>
          <w:i/>
          <w:iCs/>
          <w:color w:val="000000"/>
          <w:spacing w:val="-4"/>
          <w:rtl/>
          <w:lang w:bidi="ar-EG"/>
        </w:rPr>
        <w:t> </w:t>
      </w:r>
      <w:r w:rsidR="0031744C" w:rsidRPr="006D6BA7">
        <w:rPr>
          <w:i/>
          <w:iCs/>
          <w:color w:val="000000"/>
          <w:spacing w:val="-4"/>
          <w:rtl/>
        </w:rPr>
        <w:t>-</w:t>
      </w:r>
      <w:r w:rsidR="00CD7514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الاستقبال السلكية الموحدة عالية السرعة في الشبكات المن‍زلية</w:t>
      </w:r>
      <w:r w:rsidR="00101D07" w:rsidRPr="006D6BA7">
        <w:rPr>
          <w:rFonts w:hint="cs"/>
          <w:i/>
          <w:iCs/>
          <w:spacing w:val="-4"/>
          <w:rtl/>
        </w:rPr>
        <w:t>.</w:t>
      </w:r>
    </w:p>
    <w:p w:rsidR="0031744C" w:rsidRPr="006D6BA7" w:rsidRDefault="009B2277" w:rsidP="00A66CE6">
      <w:pPr>
        <w:tabs>
          <w:tab w:val="left" w:pos="7957"/>
        </w:tabs>
        <w:ind w:left="794" w:hanging="794"/>
        <w:rPr>
          <w:i/>
          <w:iCs/>
          <w:spacing w:val="-4"/>
          <w:rtl/>
          <w:lang w:bidi="ar-EG"/>
        </w:rPr>
      </w:pPr>
      <w:r w:rsidRPr="006D6BA7">
        <w:rPr>
          <w:rFonts w:hint="cs"/>
          <w:rtl/>
        </w:rPr>
        <w:t>-</w:t>
      </w:r>
      <w:r w:rsidRPr="006D6BA7">
        <w:rPr>
          <w:rtl/>
          <w:lang w:bidi="ar-SY"/>
        </w:rPr>
        <w:tab/>
      </w:r>
      <w:r w:rsidR="0031744C" w:rsidRPr="006D6BA7">
        <w:rPr>
          <w:rFonts w:hint="cs"/>
          <w:spacing w:val="-4"/>
          <w:rtl/>
          <w:lang w:bidi="ar-SY"/>
        </w:rPr>
        <w:t xml:space="preserve">التوصية </w:t>
      </w:r>
      <w:r w:rsidR="00A66CE6" w:rsidRPr="006D6BA7">
        <w:rPr>
          <w:spacing w:val="-4"/>
        </w:rPr>
        <w:t>(2011) </w:t>
      </w:r>
      <w:r w:rsidR="00CD7514" w:rsidRPr="006D6BA7">
        <w:rPr>
          <w:spacing w:val="-4"/>
        </w:rPr>
        <w:t>ITU-T </w:t>
      </w:r>
      <w:r w:rsidR="0031744C" w:rsidRPr="006D6BA7">
        <w:rPr>
          <w:spacing w:val="-4"/>
        </w:rPr>
        <w:t>G.9963</w:t>
      </w:r>
      <w:r w:rsidR="00BF550A" w:rsidRPr="006D6BA7">
        <w:rPr>
          <w:rFonts w:hint="cs"/>
          <w:spacing w:val="-4"/>
          <w:rtl/>
        </w:rPr>
        <w:t>،</w:t>
      </w:r>
      <w:r w:rsidR="0031744C" w:rsidRPr="006D6BA7">
        <w:rPr>
          <w:rFonts w:hint="cs"/>
          <w:spacing w:val="-4"/>
          <w:rtl/>
          <w:lang w:bidi="ar-EG"/>
        </w:rPr>
        <w:t xml:space="preserve"> </w:t>
      </w:r>
      <w:r w:rsidR="0031744C" w:rsidRPr="006D6BA7">
        <w:rPr>
          <w:i/>
          <w:iCs/>
          <w:color w:val="000000"/>
          <w:spacing w:val="-4"/>
          <w:rtl/>
        </w:rPr>
        <w:t>أجهزة الإرسال</w:t>
      </w:r>
      <w:r w:rsidR="00CD7514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-</w:t>
      </w:r>
      <w:r w:rsidR="00CD7514" w:rsidRPr="006D6BA7">
        <w:rPr>
          <w:rFonts w:hint="cs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  <w:rtl/>
        </w:rPr>
        <w:t>الاستقبال السلكية الموحدة عالية السرعة في الشبكات المن‍زلية</w:t>
      </w:r>
      <w:r w:rsidR="00C63A53" w:rsidRPr="006D6BA7">
        <w:rPr>
          <w:rFonts w:hint="cs"/>
          <w:i/>
          <w:iCs/>
          <w:color w:val="000000"/>
          <w:spacing w:val="-4"/>
          <w:rtl/>
        </w:rPr>
        <w:t> </w:t>
      </w:r>
      <w:r w:rsidRPr="006D6BA7">
        <w:rPr>
          <w:rFonts w:hint="cs"/>
          <w:i/>
          <w:iCs/>
          <w:color w:val="000000"/>
          <w:spacing w:val="-4"/>
          <w:rtl/>
        </w:rPr>
        <w:t>-</w:t>
      </w:r>
      <w:r w:rsidR="00C63A53" w:rsidRPr="006D6BA7">
        <w:rPr>
          <w:rFonts w:hint="eastAsia"/>
          <w:i/>
          <w:iCs/>
          <w:color w:val="000000"/>
          <w:spacing w:val="-4"/>
          <w:rtl/>
        </w:rPr>
        <w:t> </w:t>
      </w:r>
      <w:r w:rsidR="0031744C" w:rsidRPr="006D6BA7">
        <w:rPr>
          <w:rFonts w:hint="cs"/>
          <w:i/>
          <w:iCs/>
          <w:color w:val="000000"/>
          <w:spacing w:val="-4"/>
          <w:rtl/>
        </w:rPr>
        <w:t>دخل متعدد/خرج متعدد</w:t>
      </w:r>
      <w:r w:rsidR="0031744C" w:rsidRPr="006D6BA7">
        <w:rPr>
          <w:rFonts w:hint="eastAsia"/>
          <w:i/>
          <w:iCs/>
          <w:color w:val="000000"/>
          <w:spacing w:val="-4"/>
          <w:rtl/>
        </w:rPr>
        <w:t> </w:t>
      </w:r>
      <w:r w:rsidR="0031744C" w:rsidRPr="006D6BA7">
        <w:rPr>
          <w:i/>
          <w:iCs/>
          <w:color w:val="000000"/>
          <w:spacing w:val="-4"/>
        </w:rPr>
        <w:t>(MIMO)</w:t>
      </w:r>
      <w:r w:rsidR="0031744C" w:rsidRPr="006D6BA7">
        <w:rPr>
          <w:rFonts w:hint="cs"/>
          <w:i/>
          <w:iCs/>
          <w:color w:val="000000"/>
          <w:spacing w:val="-4"/>
          <w:rtl/>
        </w:rPr>
        <w:t>.</w:t>
      </w:r>
    </w:p>
    <w:p w:rsidR="00C56865" w:rsidRPr="00F060DD" w:rsidRDefault="00C56865" w:rsidP="00C56865">
      <w:pPr>
        <w:rPr>
          <w:rtl/>
          <w:lang w:bidi="ar-EG"/>
        </w:rPr>
      </w:pPr>
      <w:proofErr w:type="gramStart"/>
      <w:r>
        <w:rPr>
          <w:lang w:bidi="ar-EG"/>
        </w:rPr>
        <w:t>3</w:t>
      </w:r>
      <w:r w:rsidRPr="00F060DD">
        <w:tab/>
      </w:r>
      <w:r w:rsidRPr="00EC38BA">
        <w:rPr>
          <w:rFonts w:hint="cs"/>
          <w:spacing w:val="-6"/>
          <w:rtl/>
        </w:rPr>
        <w:t>ويمكن الاطلاع على معلومات براءات الاختراع المتاحة على الخط مباشرة في الموقع الإلكتروني لقطاع تقييس الاتصالات.</w:t>
      </w:r>
      <w:proofErr w:type="gramEnd"/>
    </w:p>
    <w:p w:rsidR="00C56865" w:rsidRPr="00F060DD" w:rsidRDefault="00C56865" w:rsidP="00101D07">
      <w:pPr>
        <w:rPr>
          <w:rtl/>
          <w:lang w:bidi="ar-EG"/>
        </w:rPr>
      </w:pPr>
      <w:proofErr w:type="gramStart"/>
      <w:r w:rsidRPr="00F060DD">
        <w:t>4</w:t>
      </w:r>
      <w:r w:rsidRPr="00F060DD">
        <w:tab/>
      </w:r>
      <w:r w:rsidRPr="00F060DD">
        <w:rPr>
          <w:rFonts w:hint="cs"/>
          <w:rtl/>
        </w:rPr>
        <w:t>وس</w:t>
      </w:r>
      <w:r w:rsidR="00101D07">
        <w:rPr>
          <w:rFonts w:hint="cs"/>
          <w:rtl/>
        </w:rPr>
        <w:t>ت</w:t>
      </w:r>
      <w:r w:rsidRPr="00F060DD">
        <w:rPr>
          <w:rFonts w:hint="cs"/>
          <w:rtl/>
        </w:rPr>
        <w:t>توفر قريباً نصوص التوصيات مسبقة النشر في الموقع الإلكتروني لقطاع تقييس الاتصالات</w:t>
      </w:r>
      <w:r w:rsidRPr="00F060DD">
        <w:rPr>
          <w:rFonts w:hint="cs"/>
          <w:rtl/>
          <w:lang w:bidi="ar-EG"/>
        </w:rPr>
        <w:t>.</w:t>
      </w:r>
      <w:proofErr w:type="gramEnd"/>
    </w:p>
    <w:p w:rsidR="00C56865" w:rsidRPr="00C56865" w:rsidRDefault="00C56865" w:rsidP="003F57A8">
      <w:pPr>
        <w:rPr>
          <w:rtl/>
          <w:lang w:bidi="ar-EG"/>
        </w:rPr>
      </w:pPr>
      <w:proofErr w:type="gramStart"/>
      <w:r w:rsidRPr="00F060DD">
        <w:t>5</w:t>
      </w:r>
      <w:r>
        <w:rPr>
          <w:rFonts w:hint="cs"/>
          <w:rtl/>
          <w:lang w:bidi="ar-SY"/>
        </w:rPr>
        <w:tab/>
      </w:r>
      <w:r w:rsidRPr="00F060DD">
        <w:rPr>
          <w:rFonts w:hint="cs"/>
          <w:rtl/>
          <w:lang w:bidi="ar-SY"/>
        </w:rPr>
        <w:t>وسينشر الاتحاد نصوص هذه التوصيات بأسرع ما</w:t>
      </w:r>
      <w:r>
        <w:rPr>
          <w:rFonts w:hint="eastAsia"/>
          <w:rtl/>
          <w:lang w:bidi="ar-SY"/>
        </w:rPr>
        <w:t> </w:t>
      </w:r>
      <w:r w:rsidRPr="00F060DD">
        <w:rPr>
          <w:rFonts w:hint="cs"/>
          <w:rtl/>
          <w:lang w:bidi="ar-SY"/>
        </w:rPr>
        <w:t>يمكن.</w:t>
      </w:r>
      <w:proofErr w:type="gramEnd"/>
    </w:p>
    <w:p w:rsidR="0031744C" w:rsidRPr="005463F4" w:rsidRDefault="0031744C" w:rsidP="0031744C">
      <w:pPr>
        <w:tabs>
          <w:tab w:val="left" w:pos="8537"/>
        </w:tabs>
        <w:spacing w:before="240"/>
        <w:rPr>
          <w:rtl/>
          <w:lang w:bidi="ar-EG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007569" w:rsidRPr="004579B5" w:rsidRDefault="00FD4FCE" w:rsidP="002D77E1">
      <w:pPr>
        <w:spacing w:before="1440"/>
        <w:jc w:val="left"/>
        <w:rPr>
          <w:lang w:bidi="ar-EG"/>
        </w:rPr>
      </w:pPr>
      <w:r w:rsidRPr="00F060DD">
        <w:rPr>
          <w:rFonts w:hint="cs"/>
          <w:rtl/>
        </w:rPr>
        <w:t>مالكو</w:t>
      </w:r>
      <w:r w:rsidRPr="00F060DD">
        <w:rPr>
          <w:rFonts w:hint="cs"/>
          <w:rtl/>
          <w:lang w:bidi="ar-EG"/>
        </w:rPr>
        <w:t>ل</w:t>
      </w:r>
      <w:r w:rsidRPr="00F060DD">
        <w:rPr>
          <w:rFonts w:hint="cs"/>
          <w:rtl/>
        </w:rPr>
        <w:t>م جونسون</w:t>
      </w:r>
      <w:r w:rsidRPr="00F060DD">
        <w:rPr>
          <w:rtl/>
          <w:lang w:bidi="ar-EG"/>
        </w:rPr>
        <w:br/>
      </w:r>
      <w:r w:rsidRPr="00F060D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317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11" w:rsidRDefault="003A3711">
      <w:r>
        <w:separator/>
      </w:r>
    </w:p>
  </w:endnote>
  <w:endnote w:type="continuationSeparator" w:id="0">
    <w:p w:rsidR="003A3711" w:rsidRDefault="003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89" w:rsidRDefault="00A32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11" w:rsidRPr="00C86D38" w:rsidRDefault="00A32B89" w:rsidP="00C86D38">
    <w:pPr>
      <w:pStyle w:val="Footer"/>
      <w:bidi w:val="0"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ITU-T\BUREAU\CIRC\249A.DOC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3A3711" w:rsidTr="003A37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A3711" w:rsidRDefault="003A3711" w:rsidP="003A371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A3711" w:rsidRDefault="003A3711" w:rsidP="003A371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A3711" w:rsidRDefault="003A3711" w:rsidP="003A371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A3711" w:rsidRDefault="003A3711" w:rsidP="003A371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A3711" w:rsidTr="003A3711">
      <w:trPr>
        <w:cantSplit/>
      </w:trPr>
      <w:tc>
        <w:tcPr>
          <w:tcW w:w="1062" w:type="pct"/>
        </w:tcPr>
        <w:p w:rsidR="003A3711" w:rsidRPr="008F5E3A" w:rsidRDefault="003A3711" w:rsidP="003A3711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3A3711" w:rsidRPr="008F5E3A" w:rsidRDefault="003A3711" w:rsidP="003A3711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3A3711" w:rsidRPr="008F5E3A" w:rsidRDefault="003A3711" w:rsidP="003A3711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3A3711" w:rsidRPr="00724ED5" w:rsidRDefault="003A3711" w:rsidP="003A3711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3A3711" w:rsidTr="003A3711">
      <w:trPr>
        <w:cantSplit/>
      </w:trPr>
      <w:tc>
        <w:tcPr>
          <w:tcW w:w="1062" w:type="pct"/>
        </w:tcPr>
        <w:p w:rsidR="003A3711" w:rsidRDefault="003A3711" w:rsidP="003A3711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3A3711" w:rsidRDefault="003A3711" w:rsidP="003A371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A3711" w:rsidRDefault="003A3711" w:rsidP="003A3711">
          <w:pPr>
            <w:pStyle w:val="itu"/>
          </w:pPr>
        </w:p>
      </w:tc>
      <w:tc>
        <w:tcPr>
          <w:tcW w:w="1131" w:type="pct"/>
        </w:tcPr>
        <w:p w:rsidR="003A3711" w:rsidRDefault="003A3711" w:rsidP="003A3711">
          <w:pPr>
            <w:pStyle w:val="itu"/>
          </w:pPr>
        </w:p>
      </w:tc>
    </w:tr>
  </w:tbl>
  <w:p w:rsidR="003A3711" w:rsidRPr="00AE03C4" w:rsidRDefault="003A3711" w:rsidP="00201BCB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11" w:rsidRDefault="003A3711">
      <w:r>
        <w:separator/>
      </w:r>
    </w:p>
  </w:footnote>
  <w:footnote w:type="continuationSeparator" w:id="0">
    <w:p w:rsidR="003A3711" w:rsidRDefault="003A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89" w:rsidRDefault="00A32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11" w:rsidRDefault="003A3711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A32B89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89" w:rsidRDefault="00A32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5F"/>
    <w:rsid w:val="00007569"/>
    <w:rsid w:val="00012BDE"/>
    <w:rsid w:val="000132B7"/>
    <w:rsid w:val="00020DB7"/>
    <w:rsid w:val="00020FCC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1A11"/>
    <w:rsid w:val="000D3455"/>
    <w:rsid w:val="000D3F69"/>
    <w:rsid w:val="000D6000"/>
    <w:rsid w:val="0010144A"/>
    <w:rsid w:val="001014A9"/>
    <w:rsid w:val="00101D07"/>
    <w:rsid w:val="001132C8"/>
    <w:rsid w:val="00127FFE"/>
    <w:rsid w:val="00133BF7"/>
    <w:rsid w:val="001401E7"/>
    <w:rsid w:val="00150879"/>
    <w:rsid w:val="001523BE"/>
    <w:rsid w:val="0016239F"/>
    <w:rsid w:val="001655CC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E5F84"/>
    <w:rsid w:val="001F1051"/>
    <w:rsid w:val="001F6CD8"/>
    <w:rsid w:val="00201BCB"/>
    <w:rsid w:val="00201E08"/>
    <w:rsid w:val="0021011A"/>
    <w:rsid w:val="00210134"/>
    <w:rsid w:val="0021347B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771F5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77E1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1744C"/>
    <w:rsid w:val="00326B4D"/>
    <w:rsid w:val="003310D2"/>
    <w:rsid w:val="00335239"/>
    <w:rsid w:val="00343BDE"/>
    <w:rsid w:val="00350939"/>
    <w:rsid w:val="00363805"/>
    <w:rsid w:val="00363E8E"/>
    <w:rsid w:val="0037690E"/>
    <w:rsid w:val="00393E7C"/>
    <w:rsid w:val="003A3711"/>
    <w:rsid w:val="003B2C5F"/>
    <w:rsid w:val="003B459A"/>
    <w:rsid w:val="003C2AC9"/>
    <w:rsid w:val="003D56B1"/>
    <w:rsid w:val="003E0350"/>
    <w:rsid w:val="003E051B"/>
    <w:rsid w:val="003E32A8"/>
    <w:rsid w:val="003E6B7D"/>
    <w:rsid w:val="003F57A8"/>
    <w:rsid w:val="004067A6"/>
    <w:rsid w:val="00417512"/>
    <w:rsid w:val="00422171"/>
    <w:rsid w:val="004221D4"/>
    <w:rsid w:val="00425397"/>
    <w:rsid w:val="00431A19"/>
    <w:rsid w:val="004331B3"/>
    <w:rsid w:val="0044591C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3CEA"/>
    <w:rsid w:val="004B49B9"/>
    <w:rsid w:val="004B49C6"/>
    <w:rsid w:val="004C4FB7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5F4CF1"/>
    <w:rsid w:val="005F6D2B"/>
    <w:rsid w:val="006011E0"/>
    <w:rsid w:val="0060203A"/>
    <w:rsid w:val="00603CB7"/>
    <w:rsid w:val="00605E96"/>
    <w:rsid w:val="00614F3F"/>
    <w:rsid w:val="00633EB6"/>
    <w:rsid w:val="006344E2"/>
    <w:rsid w:val="00637FB5"/>
    <w:rsid w:val="00642F8E"/>
    <w:rsid w:val="0064388F"/>
    <w:rsid w:val="00655E5A"/>
    <w:rsid w:val="00657A08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D6BA7"/>
    <w:rsid w:val="006E73B1"/>
    <w:rsid w:val="006F1BB1"/>
    <w:rsid w:val="00702808"/>
    <w:rsid w:val="0071127D"/>
    <w:rsid w:val="007149A7"/>
    <w:rsid w:val="007202C3"/>
    <w:rsid w:val="007238E9"/>
    <w:rsid w:val="007437F9"/>
    <w:rsid w:val="00746048"/>
    <w:rsid w:val="00753A83"/>
    <w:rsid w:val="007561C9"/>
    <w:rsid w:val="00757D5F"/>
    <w:rsid w:val="0076311C"/>
    <w:rsid w:val="00764273"/>
    <w:rsid w:val="00767D08"/>
    <w:rsid w:val="00775E3D"/>
    <w:rsid w:val="00776896"/>
    <w:rsid w:val="007804EA"/>
    <w:rsid w:val="00780C10"/>
    <w:rsid w:val="00795FF6"/>
    <w:rsid w:val="007A63EC"/>
    <w:rsid w:val="007A66C2"/>
    <w:rsid w:val="007A6984"/>
    <w:rsid w:val="007A7E70"/>
    <w:rsid w:val="007B1AED"/>
    <w:rsid w:val="007B277E"/>
    <w:rsid w:val="007B5E75"/>
    <w:rsid w:val="007C1AEA"/>
    <w:rsid w:val="007C640C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3728"/>
    <w:rsid w:val="008338B9"/>
    <w:rsid w:val="008512FB"/>
    <w:rsid w:val="00852573"/>
    <w:rsid w:val="00866CFB"/>
    <w:rsid w:val="0087077B"/>
    <w:rsid w:val="00875870"/>
    <w:rsid w:val="00876CC0"/>
    <w:rsid w:val="00883E59"/>
    <w:rsid w:val="00886A0C"/>
    <w:rsid w:val="00891057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4A3B"/>
    <w:rsid w:val="00965582"/>
    <w:rsid w:val="00973D3C"/>
    <w:rsid w:val="0097559C"/>
    <w:rsid w:val="0097651D"/>
    <w:rsid w:val="0098075F"/>
    <w:rsid w:val="00980D9A"/>
    <w:rsid w:val="009824F8"/>
    <w:rsid w:val="00982A5F"/>
    <w:rsid w:val="00986865"/>
    <w:rsid w:val="009938A9"/>
    <w:rsid w:val="009961EB"/>
    <w:rsid w:val="009A398E"/>
    <w:rsid w:val="009A61F8"/>
    <w:rsid w:val="009B0414"/>
    <w:rsid w:val="009B2277"/>
    <w:rsid w:val="009B5009"/>
    <w:rsid w:val="009C4ADE"/>
    <w:rsid w:val="009D2DD2"/>
    <w:rsid w:val="009E21AD"/>
    <w:rsid w:val="009F4B09"/>
    <w:rsid w:val="00A14ADB"/>
    <w:rsid w:val="00A22222"/>
    <w:rsid w:val="00A26EA0"/>
    <w:rsid w:val="00A32B89"/>
    <w:rsid w:val="00A46AB4"/>
    <w:rsid w:val="00A55013"/>
    <w:rsid w:val="00A6296D"/>
    <w:rsid w:val="00A655AC"/>
    <w:rsid w:val="00A66CE6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14AEF"/>
    <w:rsid w:val="00B204CB"/>
    <w:rsid w:val="00B22847"/>
    <w:rsid w:val="00B232BD"/>
    <w:rsid w:val="00B269E5"/>
    <w:rsid w:val="00B376AA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A1591"/>
    <w:rsid w:val="00BB2862"/>
    <w:rsid w:val="00BB3AA1"/>
    <w:rsid w:val="00BB639B"/>
    <w:rsid w:val="00BC45BA"/>
    <w:rsid w:val="00BC683A"/>
    <w:rsid w:val="00BD225D"/>
    <w:rsid w:val="00BD2A33"/>
    <w:rsid w:val="00BD51F1"/>
    <w:rsid w:val="00BE09D3"/>
    <w:rsid w:val="00BF550A"/>
    <w:rsid w:val="00C16CB6"/>
    <w:rsid w:val="00C335A4"/>
    <w:rsid w:val="00C33D50"/>
    <w:rsid w:val="00C42FC9"/>
    <w:rsid w:val="00C47940"/>
    <w:rsid w:val="00C5355E"/>
    <w:rsid w:val="00C53A1D"/>
    <w:rsid w:val="00C5483C"/>
    <w:rsid w:val="00C56865"/>
    <w:rsid w:val="00C56944"/>
    <w:rsid w:val="00C63A53"/>
    <w:rsid w:val="00C66212"/>
    <w:rsid w:val="00C67A47"/>
    <w:rsid w:val="00C714FF"/>
    <w:rsid w:val="00C7616B"/>
    <w:rsid w:val="00C766C5"/>
    <w:rsid w:val="00C86D38"/>
    <w:rsid w:val="00C96833"/>
    <w:rsid w:val="00CB63B9"/>
    <w:rsid w:val="00CC0E5D"/>
    <w:rsid w:val="00CC30F9"/>
    <w:rsid w:val="00CD3457"/>
    <w:rsid w:val="00CD49DF"/>
    <w:rsid w:val="00CD7514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AB0"/>
    <w:rsid w:val="00D61F3A"/>
    <w:rsid w:val="00D63CB6"/>
    <w:rsid w:val="00D668E2"/>
    <w:rsid w:val="00D807A7"/>
    <w:rsid w:val="00D82615"/>
    <w:rsid w:val="00D84854"/>
    <w:rsid w:val="00D86402"/>
    <w:rsid w:val="00D87242"/>
    <w:rsid w:val="00D90360"/>
    <w:rsid w:val="00DA07ED"/>
    <w:rsid w:val="00DA0A93"/>
    <w:rsid w:val="00DA1155"/>
    <w:rsid w:val="00DB0549"/>
    <w:rsid w:val="00DC2200"/>
    <w:rsid w:val="00DC4516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5797C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5F4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26B17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1E0"/>
    <w:rsid w:val="00FB089C"/>
    <w:rsid w:val="00FB1373"/>
    <w:rsid w:val="00FB3342"/>
    <w:rsid w:val="00FB6B6D"/>
    <w:rsid w:val="00FC16AB"/>
    <w:rsid w:val="00FC593B"/>
    <w:rsid w:val="00FC641F"/>
    <w:rsid w:val="00FC651D"/>
    <w:rsid w:val="00FD4FCE"/>
    <w:rsid w:val="00FD7538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A32B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A3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D126-8502-4260-8542-6CC7CEC3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381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2536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Bilani, Joumana</dc:creator>
  <cp:keywords/>
  <dc:description/>
  <cp:lastModifiedBy>Bettini, Nadine</cp:lastModifiedBy>
  <cp:revision>39</cp:revision>
  <cp:lastPrinted>2012-01-24T14:32:00Z</cp:lastPrinted>
  <dcterms:created xsi:type="dcterms:W3CDTF">2012-01-19T07:45:00Z</dcterms:created>
  <dcterms:modified xsi:type="dcterms:W3CDTF">2012-01-25T13:39:00Z</dcterms:modified>
</cp:coreProperties>
</file>