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B74CC6">
      <w:pPr>
        <w:tabs>
          <w:tab w:val="clear" w:pos="794"/>
          <w:tab w:val="clear" w:pos="1191"/>
          <w:tab w:val="clear" w:pos="1588"/>
          <w:tab w:val="clear" w:pos="1985"/>
          <w:tab w:val="left" w:pos="4962"/>
        </w:tabs>
      </w:pPr>
      <w:r>
        <w:tab/>
        <w:t xml:space="preserve">Ginebra, </w:t>
      </w:r>
      <w:r w:rsidR="00B74CC6">
        <w:t>2</w:t>
      </w:r>
      <w:r w:rsidR="007642FB">
        <w:t>2</w:t>
      </w:r>
      <w:r w:rsidR="00FB29A8">
        <w:t xml:space="preserve"> de diciembre de 2011</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1126"/>
        <w:gridCol w:w="3751"/>
        <w:gridCol w:w="5188"/>
      </w:tblGrid>
      <w:tr w:rsidR="00C34772" w:rsidTr="00BF51D2">
        <w:trPr>
          <w:cantSplit/>
          <w:trHeight w:val="340"/>
        </w:trPr>
        <w:tc>
          <w:tcPr>
            <w:tcW w:w="1126" w:type="dxa"/>
          </w:tcPr>
          <w:p w:rsidR="00C34772" w:rsidRPr="00B74CC6" w:rsidRDefault="00C34772" w:rsidP="00303D62">
            <w:pPr>
              <w:tabs>
                <w:tab w:val="left" w:pos="4111"/>
              </w:tabs>
              <w:spacing w:before="10"/>
              <w:ind w:left="57"/>
              <w:rPr>
                <w:szCs w:val="24"/>
              </w:rPr>
            </w:pPr>
            <w:r w:rsidRPr="00B74CC6">
              <w:rPr>
                <w:szCs w:val="24"/>
              </w:rPr>
              <w:t>Ref.:</w:t>
            </w:r>
          </w:p>
          <w:p w:rsidR="00B74CC6" w:rsidRDefault="00B74CC6" w:rsidP="00303D62">
            <w:pPr>
              <w:tabs>
                <w:tab w:val="left" w:pos="4111"/>
              </w:tabs>
              <w:spacing w:before="10"/>
              <w:ind w:left="57"/>
              <w:rPr>
                <w:sz w:val="22"/>
              </w:rPr>
            </w:pPr>
          </w:p>
          <w:p w:rsidR="00B74CC6" w:rsidRDefault="00B74CC6" w:rsidP="00303D62">
            <w:pPr>
              <w:tabs>
                <w:tab w:val="left" w:pos="4111"/>
              </w:tabs>
              <w:spacing w:before="10"/>
              <w:ind w:left="57"/>
              <w:rPr>
                <w:sz w:val="22"/>
              </w:rPr>
            </w:pPr>
          </w:p>
          <w:p w:rsidR="00B74CC6" w:rsidRDefault="00B74CC6" w:rsidP="00303D62">
            <w:pPr>
              <w:tabs>
                <w:tab w:val="left" w:pos="4111"/>
              </w:tabs>
              <w:spacing w:before="10"/>
              <w:ind w:left="57"/>
              <w:rPr>
                <w:sz w:val="22"/>
              </w:rPr>
            </w:pPr>
            <w:r>
              <w:t>Tel.:</w:t>
            </w:r>
            <w:r>
              <w:br/>
              <w:t>Fax:</w:t>
            </w:r>
          </w:p>
        </w:tc>
        <w:tc>
          <w:tcPr>
            <w:tcW w:w="3751" w:type="dxa"/>
          </w:tcPr>
          <w:p w:rsidR="00C34772" w:rsidRDefault="00FB29A8" w:rsidP="007642FB">
            <w:pPr>
              <w:tabs>
                <w:tab w:val="left" w:pos="4111"/>
              </w:tabs>
              <w:spacing w:before="0"/>
              <w:ind w:left="57"/>
              <w:rPr>
                <w:b/>
              </w:rPr>
            </w:pPr>
            <w:r>
              <w:rPr>
                <w:b/>
              </w:rPr>
              <w:t>Circular TSB 24</w:t>
            </w:r>
            <w:r w:rsidR="007642FB">
              <w:rPr>
                <w:b/>
              </w:rPr>
              <w:t>6</w:t>
            </w:r>
          </w:p>
          <w:p w:rsidR="00B74CC6" w:rsidRDefault="00621EF1" w:rsidP="00B74CC6">
            <w:pPr>
              <w:tabs>
                <w:tab w:val="left" w:pos="4111"/>
              </w:tabs>
              <w:spacing w:before="0"/>
              <w:ind w:left="57"/>
              <w:rPr>
                <w:lang w:val="es-ES"/>
              </w:rPr>
            </w:pPr>
            <w:r w:rsidRPr="00560BA7">
              <w:rPr>
                <w:lang w:val="es-ES"/>
              </w:rPr>
              <w:t>COM 15/</w:t>
            </w:r>
            <w:proofErr w:type="spellStart"/>
            <w:r w:rsidRPr="00560BA7">
              <w:rPr>
                <w:lang w:val="es-ES"/>
              </w:rPr>
              <w:t>GJ</w:t>
            </w:r>
            <w:proofErr w:type="spellEnd"/>
          </w:p>
          <w:p w:rsidR="00C34772" w:rsidRDefault="00B74CC6" w:rsidP="00B74CC6">
            <w:pPr>
              <w:tabs>
                <w:tab w:val="left" w:pos="4111"/>
              </w:tabs>
              <w:spacing w:before="0"/>
              <w:ind w:left="57"/>
            </w:pPr>
            <w:r>
              <w:rPr>
                <w:lang w:val="es-ES"/>
              </w:rPr>
              <w:br/>
            </w:r>
            <w:r>
              <w:t>+</w:t>
            </w:r>
            <w:r w:rsidRPr="00560BA7">
              <w:rPr>
                <w:lang w:val="es-ES"/>
              </w:rPr>
              <w:t>41 22 730 5515</w:t>
            </w:r>
            <w:r>
              <w:rPr>
                <w:lang w:val="es-ES"/>
              </w:rPr>
              <w:br/>
            </w:r>
            <w:r>
              <w:t>+</w:t>
            </w:r>
            <w:r w:rsidRPr="00560BA7">
              <w:rPr>
                <w:lang w:val="es-ES"/>
              </w:rPr>
              <w:t>41 22 730 5853</w:t>
            </w:r>
          </w:p>
        </w:tc>
        <w:tc>
          <w:tcPr>
            <w:tcW w:w="5188" w:type="dxa"/>
          </w:tcPr>
          <w:p w:rsidR="00FB29A8" w:rsidRDefault="00C34772" w:rsidP="00BF51D2">
            <w:pPr>
              <w:tabs>
                <w:tab w:val="clear" w:pos="794"/>
                <w:tab w:val="left" w:pos="226"/>
                <w:tab w:val="left" w:pos="4111"/>
              </w:tabs>
              <w:spacing w:before="0"/>
              <w:ind w:left="226" w:hanging="226"/>
            </w:pPr>
            <w:r>
              <w:t>-</w:t>
            </w:r>
            <w:r>
              <w:tab/>
              <w:t>A las Administraciones de los Estados Miembros de la Unión</w:t>
            </w:r>
            <w:r w:rsidR="00BF51D2">
              <w:t>;</w:t>
            </w:r>
          </w:p>
          <w:p w:rsidR="00FB29A8" w:rsidRDefault="00BF51D2" w:rsidP="00BF51D2">
            <w:pPr>
              <w:tabs>
                <w:tab w:val="clear" w:pos="794"/>
                <w:tab w:val="left" w:pos="226"/>
                <w:tab w:val="left" w:pos="4111"/>
              </w:tabs>
              <w:spacing w:before="0"/>
              <w:ind w:left="226" w:hanging="226"/>
            </w:pPr>
            <w:r>
              <w:t>-</w:t>
            </w:r>
            <w:r w:rsidR="00FB29A8">
              <w:tab/>
              <w:t>A los Miembros del Sector UIT-T;</w:t>
            </w:r>
          </w:p>
          <w:p w:rsidR="00C34772" w:rsidRDefault="00C34772" w:rsidP="00BF51D2">
            <w:pPr>
              <w:tabs>
                <w:tab w:val="clear" w:pos="794"/>
                <w:tab w:val="left" w:pos="226"/>
                <w:tab w:val="left" w:pos="4111"/>
              </w:tabs>
              <w:spacing w:before="0"/>
              <w:ind w:left="226" w:hanging="226"/>
            </w:pPr>
          </w:p>
        </w:tc>
      </w:tr>
      <w:tr w:rsidR="00C34772" w:rsidTr="00BF51D2">
        <w:trPr>
          <w:cantSplit/>
        </w:trPr>
        <w:tc>
          <w:tcPr>
            <w:tcW w:w="1126" w:type="dxa"/>
          </w:tcPr>
          <w:p w:rsidR="00C34772" w:rsidRDefault="00C34772" w:rsidP="00B74CC6">
            <w:pPr>
              <w:tabs>
                <w:tab w:val="left" w:pos="4111"/>
              </w:tabs>
              <w:spacing w:before="10"/>
              <w:ind w:left="57"/>
            </w:pPr>
            <w:r>
              <w:t>Correo-e:</w:t>
            </w:r>
          </w:p>
        </w:tc>
        <w:tc>
          <w:tcPr>
            <w:tcW w:w="3751" w:type="dxa"/>
          </w:tcPr>
          <w:p w:rsidR="00C34772" w:rsidRDefault="00621EF1" w:rsidP="00B74CC6">
            <w:pPr>
              <w:tabs>
                <w:tab w:val="left" w:pos="4111"/>
              </w:tabs>
              <w:spacing w:before="0"/>
              <w:ind w:left="57"/>
            </w:pPr>
            <w:hyperlink r:id="rId10" w:history="1">
              <w:r w:rsidRPr="00AA3A25">
                <w:rPr>
                  <w:rStyle w:val="Hyperlink"/>
                  <w:lang w:val="es-ES"/>
                </w:rPr>
                <w:t>tsbsg15@itu.int</w:t>
              </w:r>
            </w:hyperlink>
            <w:r w:rsidR="00C34772">
              <w:t xml:space="preserve"> </w:t>
            </w:r>
          </w:p>
        </w:tc>
        <w:tc>
          <w:tcPr>
            <w:tcW w:w="5188" w:type="dxa"/>
          </w:tcPr>
          <w:p w:rsidR="00B74CC6" w:rsidRDefault="00B74CC6" w:rsidP="00303D62">
            <w:pPr>
              <w:tabs>
                <w:tab w:val="left" w:pos="4111"/>
              </w:tabs>
              <w:spacing w:before="0"/>
              <w:rPr>
                <w:b/>
              </w:rPr>
            </w:pPr>
          </w:p>
          <w:p w:rsidR="00C34772" w:rsidRDefault="00C34772" w:rsidP="00303D62">
            <w:pPr>
              <w:tabs>
                <w:tab w:val="left" w:pos="4111"/>
              </w:tabs>
              <w:spacing w:before="0"/>
            </w:pPr>
            <w:r>
              <w:rPr>
                <w:b/>
              </w:rPr>
              <w:t>Copia</w:t>
            </w:r>
            <w:r>
              <w:t>:</w:t>
            </w:r>
          </w:p>
          <w:p w:rsidR="00621EF1" w:rsidRDefault="00621EF1" w:rsidP="00621EF1">
            <w:pPr>
              <w:tabs>
                <w:tab w:val="clear" w:pos="794"/>
                <w:tab w:val="left" w:pos="226"/>
                <w:tab w:val="left" w:pos="4111"/>
              </w:tabs>
              <w:spacing w:before="0"/>
              <w:ind w:left="226" w:hanging="226"/>
            </w:pPr>
            <w:r>
              <w:t>-</w:t>
            </w:r>
            <w:r>
              <w:tab/>
              <w:t>A los Asoci</w:t>
            </w:r>
            <w:bookmarkStart w:id="0" w:name="_GoBack"/>
            <w:bookmarkEnd w:id="0"/>
            <w:r>
              <w:t>ados del UIT-T;</w:t>
            </w:r>
          </w:p>
          <w:p w:rsidR="00621EF1" w:rsidRDefault="00621EF1" w:rsidP="00621EF1">
            <w:pPr>
              <w:tabs>
                <w:tab w:val="clear" w:pos="794"/>
                <w:tab w:val="left" w:pos="226"/>
                <w:tab w:val="left" w:pos="4111"/>
              </w:tabs>
              <w:spacing w:before="0"/>
              <w:ind w:left="226" w:hanging="226"/>
            </w:pPr>
            <w:r w:rsidRPr="00665FBD">
              <w:t>-</w:t>
            </w:r>
            <w:r>
              <w:tab/>
              <w:t>A las Instituciones Académicas del UIT-T;</w:t>
            </w:r>
          </w:p>
          <w:p w:rsidR="00621EF1" w:rsidRDefault="00621EF1" w:rsidP="00621EF1">
            <w:pPr>
              <w:tabs>
                <w:tab w:val="clear" w:pos="794"/>
                <w:tab w:val="left" w:pos="226"/>
                <w:tab w:val="left" w:pos="4111"/>
              </w:tabs>
              <w:spacing w:before="0"/>
              <w:ind w:left="226" w:hanging="226"/>
            </w:pPr>
            <w:r>
              <w:t>-</w:t>
            </w:r>
            <w:r>
              <w:tab/>
              <w:t>Al Presidente y a los Vicepresidentes de la Comisión de Estudio</w:t>
            </w:r>
            <w:r w:rsidR="00B74CC6">
              <w:t xml:space="preserve"> 15</w:t>
            </w:r>
            <w:r>
              <w:t xml:space="preserve"> del UIT-T</w:t>
            </w:r>
          </w:p>
          <w:p w:rsidR="00C34772" w:rsidRDefault="00C34772" w:rsidP="00BF51D2">
            <w:pPr>
              <w:tabs>
                <w:tab w:val="clear" w:pos="794"/>
                <w:tab w:val="left" w:pos="218"/>
                <w:tab w:val="left" w:pos="4111"/>
              </w:tabs>
              <w:spacing w:before="0"/>
              <w:ind w:left="226" w:hanging="226"/>
            </w:pPr>
            <w:r>
              <w:t>-</w:t>
            </w:r>
            <w:r>
              <w:tab/>
              <w:t>Al Director de la Oficina de Desarrollo de las Telecomunicaciones;</w:t>
            </w:r>
          </w:p>
          <w:p w:rsidR="00C34772" w:rsidRDefault="00C34772" w:rsidP="00BF51D2">
            <w:pPr>
              <w:tabs>
                <w:tab w:val="clear" w:pos="794"/>
                <w:tab w:val="left" w:pos="226"/>
                <w:tab w:val="left" w:pos="4111"/>
              </w:tabs>
              <w:spacing w:before="0"/>
              <w:ind w:left="226" w:hanging="226"/>
            </w:pPr>
            <w:r>
              <w:t>-</w:t>
            </w:r>
            <w:r>
              <w:tab/>
              <w:t>Al Director de la Oficina de Radiocomunicaciones</w:t>
            </w:r>
          </w:p>
        </w:tc>
      </w:tr>
    </w:tbl>
    <w:p w:rsidR="00C34772" w:rsidRDefault="00C34772" w:rsidP="00303D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5833"/>
      </w:tblGrid>
      <w:tr w:rsidR="00C34772" w:rsidTr="00621EF1">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5833" w:type="dxa"/>
          </w:tcPr>
          <w:p w:rsidR="00C34772" w:rsidRDefault="00621EF1" w:rsidP="00766C24">
            <w:pPr>
              <w:tabs>
                <w:tab w:val="left" w:pos="4111"/>
              </w:tabs>
              <w:spacing w:before="0"/>
              <w:ind w:left="57"/>
            </w:pPr>
            <w:r w:rsidRPr="00560BA7">
              <w:rPr>
                <w:b/>
                <w:lang w:val="es-ES"/>
              </w:rPr>
              <w:t>Propuesta de supresión de las Recomendaciones UIT-T L.15, L.42, L.52 y L.65, acordada por la Comisión de Estudio 15 en su reunión del 16 de diciembre de 2011</w:t>
            </w:r>
          </w:p>
        </w:tc>
      </w:tr>
    </w:tbl>
    <w:p w:rsidR="00C34772" w:rsidRDefault="00C34772" w:rsidP="00303D62"/>
    <w:p w:rsidR="00C34772" w:rsidRDefault="00C34772" w:rsidP="00303D62">
      <w:r>
        <w:t>Muy Señora mía/Muy Señor mío:</w:t>
      </w:r>
    </w:p>
    <w:p w:rsidR="000965A3" w:rsidRDefault="000965A3" w:rsidP="00B74CC6">
      <w:pPr>
        <w:rPr>
          <w:lang w:val="es-ES"/>
        </w:rPr>
      </w:pPr>
      <w:r w:rsidRPr="000965A3">
        <w:rPr>
          <w:szCs w:val="24"/>
          <w:lang w:val="es-ES"/>
        </w:rPr>
        <w:t>1</w:t>
      </w:r>
      <w:r w:rsidRPr="000965A3">
        <w:rPr>
          <w:szCs w:val="24"/>
          <w:lang w:val="es-ES"/>
        </w:rPr>
        <w:tab/>
      </w:r>
      <w:r w:rsidR="00621EF1" w:rsidRPr="00560BA7">
        <w:rPr>
          <w:lang w:val="es-ES"/>
        </w:rPr>
        <w:t xml:space="preserve">A petición del Presidente de la Comisión de Estudio 15, </w:t>
      </w:r>
      <w:r w:rsidR="00621EF1" w:rsidRPr="00560BA7">
        <w:rPr>
          <w:i/>
          <w:iCs/>
          <w:lang w:val="es-ES"/>
        </w:rPr>
        <w:t>Infraestructuras de las redes ópticas de transporte y las redes de acceso</w:t>
      </w:r>
      <w:r w:rsidR="00621EF1" w:rsidRPr="00560BA7">
        <w:rPr>
          <w:lang w:val="es-ES"/>
        </w:rPr>
        <w:t>, tengo el honor de informarle que esta Comisión acordó, en su reunión celebrada el 16 de diciembre de 2011, suprimir las siguientes Recomendaciones UIT</w:t>
      </w:r>
      <w:r w:rsidR="00B74CC6">
        <w:rPr>
          <w:lang w:val="es-ES"/>
        </w:rPr>
        <w:noBreakHyphen/>
      </w:r>
      <w:r w:rsidR="00621EF1" w:rsidRPr="00560BA7">
        <w:rPr>
          <w:lang w:val="es-ES"/>
        </w:rPr>
        <w:t xml:space="preserve">T, de conformidad con lo dispuesto en el § 8.2 de la Recomendación A.8 de la </w:t>
      </w:r>
      <w:proofErr w:type="spellStart"/>
      <w:r w:rsidR="00621EF1" w:rsidRPr="00560BA7">
        <w:rPr>
          <w:lang w:val="es-ES"/>
        </w:rPr>
        <w:t>AMNT</w:t>
      </w:r>
      <w:proofErr w:type="spellEnd"/>
      <w:r w:rsidR="00621EF1" w:rsidRPr="00560BA7">
        <w:rPr>
          <w:lang w:val="es-ES"/>
        </w:rPr>
        <w:t xml:space="preserve"> (Johannesburgo, 2008):</w:t>
      </w:r>
    </w:p>
    <w:p w:rsidR="00621EF1" w:rsidRPr="00560BA7" w:rsidRDefault="00621EF1" w:rsidP="00621EF1">
      <w:pPr>
        <w:rPr>
          <w:lang w:val="es-ES"/>
        </w:rPr>
      </w:pPr>
      <w:r w:rsidRPr="00560BA7">
        <w:rPr>
          <w:lang w:val="es-ES"/>
        </w:rPr>
        <w:t xml:space="preserve">UIT-T L.15, </w:t>
      </w:r>
      <w:r w:rsidRPr="00560BA7">
        <w:rPr>
          <w:i/>
          <w:iCs/>
          <w:lang w:val="es-ES"/>
        </w:rPr>
        <w:t xml:space="preserve">Redes de distribución local de fibra óptica </w:t>
      </w:r>
      <w:r w:rsidR="00B50FFA" w:rsidRPr="00B50FFA">
        <w:rPr>
          <w:i/>
          <w:iCs/>
          <w:lang w:val="es-ES"/>
        </w:rPr>
        <w:t>–</w:t>
      </w:r>
      <w:r w:rsidRPr="00560BA7">
        <w:rPr>
          <w:i/>
          <w:iCs/>
          <w:lang w:val="es-ES"/>
        </w:rPr>
        <w:t xml:space="preserve"> Factores que han de considerarse para su construcción</w:t>
      </w:r>
      <w:r w:rsidRPr="00560BA7">
        <w:rPr>
          <w:lang w:val="es-ES"/>
        </w:rPr>
        <w:t>.</w:t>
      </w:r>
    </w:p>
    <w:p w:rsidR="00621EF1" w:rsidRPr="00560BA7" w:rsidRDefault="00621EF1" w:rsidP="00621EF1">
      <w:pPr>
        <w:rPr>
          <w:lang w:val="es-ES"/>
        </w:rPr>
      </w:pPr>
      <w:r w:rsidRPr="00560BA7">
        <w:rPr>
          <w:lang w:val="es-ES"/>
        </w:rPr>
        <w:t xml:space="preserve">UIT-T L.42, </w:t>
      </w:r>
      <w:r w:rsidRPr="00560BA7">
        <w:rPr>
          <w:i/>
          <w:iCs/>
          <w:lang w:val="es-ES"/>
        </w:rPr>
        <w:t>Soluciones de fibra óptica ampliadas en la red de acceso</w:t>
      </w:r>
      <w:r w:rsidRPr="00560BA7">
        <w:rPr>
          <w:lang w:val="es-ES"/>
        </w:rPr>
        <w:t>.</w:t>
      </w:r>
    </w:p>
    <w:p w:rsidR="00621EF1" w:rsidRPr="00560BA7" w:rsidRDefault="00621EF1" w:rsidP="00621EF1">
      <w:pPr>
        <w:rPr>
          <w:lang w:val="es-ES"/>
        </w:rPr>
      </w:pPr>
      <w:r w:rsidRPr="00560BA7">
        <w:rPr>
          <w:lang w:val="es-ES"/>
        </w:rPr>
        <w:t xml:space="preserve">UIT-T L.52, </w:t>
      </w:r>
      <w:r w:rsidRPr="00560BA7">
        <w:rPr>
          <w:i/>
          <w:iCs/>
          <w:lang w:val="es-ES"/>
        </w:rPr>
        <w:t>Instalación de redes ópticas pasivas</w:t>
      </w:r>
      <w:r w:rsidRPr="00560BA7">
        <w:rPr>
          <w:lang w:val="es-ES"/>
        </w:rPr>
        <w:t>.</w:t>
      </w:r>
    </w:p>
    <w:p w:rsidR="00621EF1" w:rsidRPr="000965A3" w:rsidRDefault="00621EF1" w:rsidP="00621EF1">
      <w:pPr>
        <w:rPr>
          <w:sz w:val="23"/>
          <w:szCs w:val="23"/>
          <w:lang w:val="es-ES"/>
        </w:rPr>
      </w:pPr>
      <w:r w:rsidRPr="00560BA7">
        <w:rPr>
          <w:lang w:val="es-ES"/>
        </w:rPr>
        <w:t xml:space="preserve">UIT-T L.65, </w:t>
      </w:r>
      <w:r w:rsidRPr="00560BA7">
        <w:rPr>
          <w:i/>
          <w:iCs/>
          <w:lang w:val="es-ES"/>
        </w:rPr>
        <w:t>Distribución de las redes de acceso de fibra óptica</w:t>
      </w:r>
      <w:r w:rsidRPr="00560BA7">
        <w:rPr>
          <w:lang w:val="es-ES"/>
        </w:rPr>
        <w:t>.</w:t>
      </w:r>
    </w:p>
    <w:p w:rsidR="000965A3" w:rsidRPr="000965A3" w:rsidRDefault="00621EF1" w:rsidP="000965A3">
      <w:pPr>
        <w:rPr>
          <w:szCs w:val="24"/>
          <w:lang w:val="es-ES"/>
        </w:rPr>
      </w:pPr>
      <w:r w:rsidRPr="00560BA7">
        <w:rPr>
          <w:lang w:val="es-ES"/>
        </w:rPr>
        <w:t>Participaron un total de 34 Estados Miembros y 64 Miembros de Sector y no se expresaron objeciones a dicho acuerdo.</w:t>
      </w:r>
    </w:p>
    <w:p w:rsidR="000965A3" w:rsidRPr="000965A3" w:rsidRDefault="000965A3" w:rsidP="00621EF1">
      <w:pPr>
        <w:rPr>
          <w:szCs w:val="24"/>
          <w:lang w:val="es-ES"/>
        </w:rPr>
      </w:pPr>
      <w:r w:rsidRPr="000965A3">
        <w:rPr>
          <w:szCs w:val="24"/>
          <w:lang w:val="es-ES"/>
        </w:rPr>
        <w:t>2</w:t>
      </w:r>
      <w:r w:rsidRPr="000965A3">
        <w:rPr>
          <w:szCs w:val="24"/>
          <w:lang w:val="es-ES"/>
        </w:rPr>
        <w:tab/>
      </w:r>
      <w:r w:rsidR="00621EF1" w:rsidRPr="00560BA7">
        <w:rPr>
          <w:lang w:val="es-ES"/>
        </w:rPr>
        <w:t xml:space="preserve">El </w:t>
      </w:r>
      <w:r w:rsidR="00621EF1" w:rsidRPr="00560BA7">
        <w:rPr>
          <w:b/>
          <w:lang w:val="es-ES"/>
        </w:rPr>
        <w:t>anexo 1</w:t>
      </w:r>
      <w:r w:rsidR="00621EF1" w:rsidRPr="00560BA7">
        <w:rPr>
          <w:lang w:val="es-ES"/>
        </w:rPr>
        <w:t xml:space="preserve"> contiene información sobre este acuerdo, junto con un resumen explicativo de los motivos de la supresión.</w:t>
      </w:r>
    </w:p>
    <w:p w:rsidR="000965A3" w:rsidRDefault="000965A3" w:rsidP="00621EF1">
      <w:pPr>
        <w:rPr>
          <w:lang w:val="es-ES"/>
        </w:rPr>
      </w:pPr>
      <w:r w:rsidRPr="000965A3">
        <w:rPr>
          <w:szCs w:val="24"/>
          <w:lang w:val="es-ES"/>
        </w:rPr>
        <w:t>3</w:t>
      </w:r>
      <w:r w:rsidRPr="000965A3">
        <w:rPr>
          <w:szCs w:val="24"/>
          <w:lang w:val="es-ES"/>
        </w:rPr>
        <w:tab/>
      </w:r>
      <w:r w:rsidR="00621EF1" w:rsidRPr="00560BA7">
        <w:rPr>
          <w:lang w:val="es-ES"/>
        </w:rPr>
        <w:t xml:space="preserve">Habida cuenta de lo dispuesto en el § 8.2 de la Recomendación A.8, le agradecería que me comunicase </w:t>
      </w:r>
      <w:r w:rsidR="00621EF1" w:rsidRPr="00B50FFA">
        <w:rPr>
          <w:bCs/>
          <w:lang w:val="es-ES"/>
        </w:rPr>
        <w:t>antes</w:t>
      </w:r>
      <w:r w:rsidR="00621EF1" w:rsidRPr="00560BA7">
        <w:rPr>
          <w:lang w:val="es-ES"/>
        </w:rPr>
        <w:t xml:space="preserve"> de las 24.00 horas </w:t>
      </w:r>
      <w:proofErr w:type="spellStart"/>
      <w:r w:rsidR="00621EF1" w:rsidRPr="00560BA7">
        <w:rPr>
          <w:lang w:val="es-ES"/>
        </w:rPr>
        <w:t>UTC</w:t>
      </w:r>
      <w:proofErr w:type="spellEnd"/>
      <w:r w:rsidR="00621EF1" w:rsidRPr="00560BA7">
        <w:rPr>
          <w:lang w:val="es-ES"/>
        </w:rPr>
        <w:t xml:space="preserve"> </w:t>
      </w:r>
      <w:r w:rsidR="00621EF1" w:rsidRPr="00560BA7">
        <w:rPr>
          <w:b/>
          <w:lang w:val="es-ES"/>
        </w:rPr>
        <w:t>del 22 de marzo de 2012</w:t>
      </w:r>
      <w:r w:rsidR="00621EF1" w:rsidRPr="00560BA7">
        <w:rPr>
          <w:lang w:val="es-ES"/>
        </w:rPr>
        <w:t xml:space="preserve"> si su Administración/Organización aprueba o rechaza dicha supresión.</w:t>
      </w:r>
    </w:p>
    <w:p w:rsidR="00621EF1" w:rsidRPr="000965A3" w:rsidRDefault="00621EF1" w:rsidP="00621EF1">
      <w:pPr>
        <w:rPr>
          <w:szCs w:val="24"/>
          <w:lang w:val="es-ES"/>
        </w:rPr>
      </w:pPr>
      <w:r w:rsidRPr="00560BA7">
        <w:rPr>
          <w:lang w:val="es-ES"/>
        </w:rPr>
        <w:lastRenderedPageBreak/>
        <w:t>Si algunos Estados Miembros o Miembros del Sector consideran que no debe aceptarse la supresión, deberán comunicar los motivos de su oposición, tras lo cual el asunto volverá a la Comisión de Estudio.</w:t>
      </w:r>
    </w:p>
    <w:p w:rsidR="000965A3" w:rsidRPr="000965A3" w:rsidRDefault="000965A3" w:rsidP="00621EF1">
      <w:pPr>
        <w:rPr>
          <w:lang w:val="es-ES"/>
        </w:rPr>
      </w:pPr>
      <w:r w:rsidRPr="000965A3">
        <w:rPr>
          <w:szCs w:val="24"/>
          <w:lang w:val="es-ES"/>
        </w:rPr>
        <w:t>4</w:t>
      </w:r>
      <w:r w:rsidRPr="000965A3">
        <w:rPr>
          <w:szCs w:val="24"/>
          <w:lang w:val="es-ES"/>
        </w:rPr>
        <w:tab/>
      </w:r>
      <w:r w:rsidR="00621EF1" w:rsidRPr="00560BA7">
        <w:rPr>
          <w:lang w:val="es-ES"/>
        </w:rPr>
        <w:t>Vencido el plazo indicado (22 de marzo de 2012), el Director de la TSB notificará mediante una circular los resultados de la consulta. Esta información se publicará asimismo en el Boletín de Explotación de la UIT.</w:t>
      </w:r>
    </w:p>
    <w:p w:rsidR="00C34772" w:rsidRDefault="00621EF1" w:rsidP="0072280E">
      <w:pPr>
        <w:spacing w:before="240"/>
      </w:pPr>
      <w:r>
        <w:t>Le saluda muy a</w:t>
      </w:r>
      <w:r w:rsidR="00C34772">
        <w:t>tentamente</w:t>
      </w:r>
      <w:r w:rsidR="00766C24">
        <w:t>.</w:t>
      </w:r>
    </w:p>
    <w:p w:rsidR="00C34772" w:rsidRDefault="00C34772" w:rsidP="00303D62"/>
    <w:p w:rsidR="00C34772" w:rsidRDefault="00C34772" w:rsidP="00303D62"/>
    <w:p w:rsidR="00C34772" w:rsidRDefault="00C34772" w:rsidP="00303D62"/>
    <w:p w:rsidR="00401C20" w:rsidRDefault="00C34772" w:rsidP="00CD591A">
      <w:r w:rsidRPr="00CA080F">
        <w:t>Malcolm Johnson</w:t>
      </w:r>
      <w:r>
        <w:br/>
        <w:t>Director de la Oficina de</w:t>
      </w:r>
      <w:r>
        <w:br/>
        <w:t>Normalización de las Telecomunicaciones</w:t>
      </w:r>
    </w:p>
    <w:p w:rsidR="000965A3" w:rsidRDefault="000965A3" w:rsidP="00CD591A"/>
    <w:p w:rsidR="000965A3" w:rsidRPr="00154ED2" w:rsidRDefault="000965A3" w:rsidP="00621EF1">
      <w:r w:rsidRPr="00154ED2">
        <w:rPr>
          <w:b/>
          <w:bCs/>
        </w:rPr>
        <w:t>Anexo</w:t>
      </w:r>
      <w:r w:rsidRPr="00154ED2">
        <w:t xml:space="preserve">: </w:t>
      </w:r>
      <w:r w:rsidR="00621EF1" w:rsidRPr="00154ED2">
        <w:t>1</w:t>
      </w:r>
    </w:p>
    <w:p w:rsidR="00621EF1" w:rsidRPr="00154ED2" w:rsidRDefault="00621EF1">
      <w:pPr>
        <w:tabs>
          <w:tab w:val="clear" w:pos="794"/>
          <w:tab w:val="clear" w:pos="1191"/>
          <w:tab w:val="clear" w:pos="1588"/>
          <w:tab w:val="clear" w:pos="1985"/>
        </w:tabs>
        <w:overflowPunct/>
        <w:autoSpaceDE/>
        <w:autoSpaceDN/>
        <w:adjustRightInd/>
        <w:spacing w:before="0"/>
        <w:textAlignment w:val="auto"/>
      </w:pPr>
      <w:r w:rsidRPr="00154ED2">
        <w:br w:type="page"/>
      </w:r>
    </w:p>
    <w:p w:rsidR="00621EF1" w:rsidRPr="00560BA7" w:rsidRDefault="00621EF1" w:rsidP="00621EF1">
      <w:pPr>
        <w:pStyle w:val="Annex"/>
        <w:rPr>
          <w:lang w:val="es-ES"/>
        </w:rPr>
      </w:pPr>
      <w:bookmarkStart w:id="1" w:name="_Toc245140783"/>
      <w:bookmarkStart w:id="2" w:name="_Toc245261791"/>
      <w:r w:rsidRPr="00560BA7">
        <w:rPr>
          <w:lang w:val="es-ES"/>
        </w:rPr>
        <w:lastRenderedPageBreak/>
        <w:t>AnexO 1</w:t>
      </w:r>
    </w:p>
    <w:p w:rsidR="00621EF1" w:rsidRPr="00560BA7" w:rsidRDefault="00621EF1" w:rsidP="00621EF1">
      <w:pPr>
        <w:keepNext/>
        <w:keepLines/>
        <w:overflowPunct/>
        <w:autoSpaceDE/>
        <w:autoSpaceDN/>
        <w:adjustRightInd/>
        <w:spacing w:before="0"/>
        <w:jc w:val="center"/>
        <w:textAlignment w:val="auto"/>
        <w:rPr>
          <w:lang w:val="es-ES"/>
        </w:rPr>
      </w:pPr>
      <w:r w:rsidRPr="00560BA7">
        <w:rPr>
          <w:lang w:val="es-ES"/>
        </w:rPr>
        <w:t>(</w:t>
      </w:r>
      <w:proofErr w:type="gramStart"/>
      <w:r w:rsidRPr="00560BA7">
        <w:rPr>
          <w:lang w:val="es-ES"/>
        </w:rPr>
        <w:t>a</w:t>
      </w:r>
      <w:proofErr w:type="gramEnd"/>
      <w:r w:rsidRPr="00560BA7">
        <w:rPr>
          <w:lang w:val="es-ES"/>
        </w:rPr>
        <w:t xml:space="preserve"> la Circular 246 de la TSB)</w:t>
      </w:r>
    </w:p>
    <w:bookmarkEnd w:id="1"/>
    <w:bookmarkEnd w:id="2"/>
    <w:p w:rsidR="00621EF1" w:rsidRDefault="00621EF1" w:rsidP="00621EF1">
      <w:pPr>
        <w:pStyle w:val="AnnexNotitle"/>
        <w:rPr>
          <w:lang w:val="es-ES"/>
        </w:rPr>
      </w:pPr>
      <w:r w:rsidRPr="00560BA7">
        <w:rPr>
          <w:lang w:val="es-ES"/>
        </w:rPr>
        <w:t>Supresión de las Recomendaciones UIT-T L.15, L.42, L.52 y L.65</w:t>
      </w:r>
    </w:p>
    <w:p w:rsidR="00621EF1" w:rsidRPr="00621EF1" w:rsidRDefault="00621EF1" w:rsidP="00621EF1">
      <w:pPr>
        <w:pStyle w:val="Normalaftertitle0"/>
        <w:rPr>
          <w:lang w:val="es-ES"/>
        </w:rPr>
      </w:pPr>
    </w:p>
    <w:p w:rsidR="00621EF1" w:rsidRPr="00560BA7" w:rsidRDefault="00621EF1" w:rsidP="00621EF1">
      <w:pPr>
        <w:overflowPunct/>
        <w:autoSpaceDE/>
        <w:autoSpaceDN/>
        <w:adjustRightInd/>
        <w:textAlignment w:val="auto"/>
        <w:rPr>
          <w:szCs w:val="24"/>
          <w:lang w:val="es-ES"/>
        </w:rPr>
      </w:pPr>
      <w:r w:rsidRPr="00560BA7">
        <w:rPr>
          <w:b/>
          <w:lang w:val="es-ES"/>
        </w:rPr>
        <w:t xml:space="preserve">Recomendación </w:t>
      </w:r>
      <w:r>
        <w:rPr>
          <w:b/>
          <w:lang w:val="es-ES"/>
        </w:rPr>
        <w:t>UIT</w:t>
      </w:r>
      <w:r w:rsidRPr="00560BA7">
        <w:rPr>
          <w:b/>
          <w:lang w:val="es-ES"/>
        </w:rPr>
        <w:t xml:space="preserve">-T </w:t>
      </w:r>
      <w:r w:rsidRPr="00560BA7">
        <w:rPr>
          <w:b/>
          <w:szCs w:val="24"/>
          <w:lang w:val="es-ES"/>
        </w:rPr>
        <w:t>L.15</w:t>
      </w:r>
      <w:r w:rsidRPr="00560BA7">
        <w:rPr>
          <w:szCs w:val="24"/>
          <w:lang w:val="es-ES"/>
        </w:rPr>
        <w:t xml:space="preserve">, </w:t>
      </w:r>
      <w:r w:rsidRPr="00560BA7">
        <w:rPr>
          <w:i/>
          <w:iCs/>
          <w:szCs w:val="24"/>
          <w:lang w:val="es-ES"/>
        </w:rPr>
        <w:t xml:space="preserve">Redes de distribución local de fibra óptica </w:t>
      </w:r>
      <w:r w:rsidRPr="00621EF1">
        <w:rPr>
          <w:i/>
          <w:iCs/>
          <w:szCs w:val="24"/>
          <w:lang w:val="es-ES"/>
        </w:rPr>
        <w:t>–</w:t>
      </w:r>
      <w:r w:rsidRPr="00560BA7">
        <w:rPr>
          <w:i/>
          <w:iCs/>
          <w:szCs w:val="24"/>
          <w:lang w:val="es-ES"/>
        </w:rPr>
        <w:t xml:space="preserve"> Factores que han de considerarse para su construcción</w:t>
      </w:r>
      <w:r w:rsidRPr="00560BA7">
        <w:rPr>
          <w:szCs w:val="24"/>
          <w:lang w:val="es-ES"/>
        </w:rPr>
        <w:t>:</w:t>
      </w:r>
      <w:r w:rsidRPr="00560BA7">
        <w:t xml:space="preserve"> </w:t>
      </w:r>
    </w:p>
    <w:p w:rsidR="00621EF1" w:rsidRPr="00560BA7" w:rsidRDefault="00621EF1" w:rsidP="00B50FFA">
      <w:pPr>
        <w:pStyle w:val="enumlev1"/>
        <w:ind w:left="0" w:firstLine="0"/>
        <w:rPr>
          <w:lang w:val="es-ES"/>
        </w:rPr>
      </w:pPr>
      <w:r w:rsidRPr="00560BA7">
        <w:rPr>
          <w:lang w:val="es-ES"/>
        </w:rPr>
        <w:t>–</w:t>
      </w:r>
      <w:r w:rsidRPr="00560BA7">
        <w:rPr>
          <w:lang w:val="es-ES"/>
        </w:rPr>
        <w:tab/>
        <w:t xml:space="preserve">trata de las redes de distribución ópticas construidas con cables de fibra </w:t>
      </w:r>
      <w:proofErr w:type="spellStart"/>
      <w:r w:rsidRPr="00560BA7">
        <w:rPr>
          <w:lang w:val="es-ES"/>
        </w:rPr>
        <w:t>monomodo</w:t>
      </w:r>
      <w:proofErr w:type="spellEnd"/>
      <w:r w:rsidRPr="00560BA7">
        <w:rPr>
          <w:lang w:val="es-ES"/>
        </w:rPr>
        <w:t>;</w:t>
      </w:r>
    </w:p>
    <w:p w:rsidR="00621EF1" w:rsidRPr="00560BA7" w:rsidRDefault="00621EF1" w:rsidP="00B50FFA">
      <w:pPr>
        <w:pStyle w:val="enumlev1"/>
        <w:ind w:left="0" w:firstLine="0"/>
        <w:rPr>
          <w:lang w:val="es-ES"/>
        </w:rPr>
      </w:pPr>
      <w:r w:rsidRPr="00560BA7">
        <w:rPr>
          <w:lang w:val="es-ES"/>
        </w:rPr>
        <w:t>–</w:t>
      </w:r>
      <w:r w:rsidRPr="00560BA7">
        <w:rPr>
          <w:lang w:val="es-ES"/>
        </w:rPr>
        <w:tab/>
        <w:t xml:space="preserve">describe las arquitecturas de red física que han sido utilizadas para cumplir los diferentes </w:t>
      </w:r>
      <w:r>
        <w:rPr>
          <w:lang w:val="es-ES"/>
        </w:rPr>
        <w:tab/>
      </w:r>
      <w:r w:rsidRPr="00560BA7">
        <w:rPr>
          <w:lang w:val="es-ES"/>
        </w:rPr>
        <w:t>objetivos de sistema;</w:t>
      </w:r>
    </w:p>
    <w:p w:rsidR="00621EF1" w:rsidRPr="00560BA7" w:rsidRDefault="00621EF1" w:rsidP="00B50FFA">
      <w:pPr>
        <w:pStyle w:val="enumlev1"/>
        <w:ind w:left="0" w:firstLine="0"/>
        <w:rPr>
          <w:lang w:val="es-ES"/>
        </w:rPr>
      </w:pPr>
      <w:r w:rsidRPr="00560BA7">
        <w:rPr>
          <w:lang w:val="es-ES"/>
        </w:rPr>
        <w:t>–</w:t>
      </w:r>
      <w:r w:rsidRPr="00560BA7">
        <w:rPr>
          <w:lang w:val="es-ES"/>
        </w:rPr>
        <w:tab/>
        <w:t>tiene en cuenta las condiciones ambientales en las zonas de servicio a los abonados;</w:t>
      </w:r>
    </w:p>
    <w:p w:rsidR="00621EF1" w:rsidRPr="00560BA7" w:rsidRDefault="00621EF1" w:rsidP="00B50FFA">
      <w:pPr>
        <w:pStyle w:val="enumlev1"/>
        <w:ind w:left="0" w:firstLine="0"/>
        <w:rPr>
          <w:lang w:val="es-ES"/>
        </w:rPr>
      </w:pPr>
      <w:r w:rsidRPr="00560BA7">
        <w:rPr>
          <w:lang w:val="es-ES"/>
        </w:rPr>
        <w:t>–</w:t>
      </w:r>
      <w:r w:rsidRPr="00560BA7">
        <w:rPr>
          <w:lang w:val="es-ES"/>
        </w:rPr>
        <w:tab/>
        <w:t xml:space="preserve">hace referencia a requisitos relacionados con el sistema y con el trabajo de la Comisión de </w:t>
      </w:r>
      <w:r>
        <w:rPr>
          <w:lang w:val="es-ES"/>
        </w:rPr>
        <w:tab/>
      </w:r>
      <w:r w:rsidRPr="00560BA7">
        <w:rPr>
          <w:lang w:val="es-ES"/>
        </w:rPr>
        <w:t>Estudio XV;</w:t>
      </w:r>
    </w:p>
    <w:p w:rsidR="00621EF1" w:rsidRPr="00560BA7" w:rsidRDefault="00621EF1" w:rsidP="00B50FFA">
      <w:pPr>
        <w:pStyle w:val="enumlev1"/>
        <w:ind w:left="0" w:firstLine="0"/>
        <w:rPr>
          <w:lang w:val="es-ES"/>
        </w:rPr>
      </w:pPr>
      <w:r w:rsidRPr="00560BA7">
        <w:rPr>
          <w:lang w:val="es-ES"/>
        </w:rPr>
        <w:t>–</w:t>
      </w:r>
      <w:r w:rsidRPr="00560BA7">
        <w:rPr>
          <w:lang w:val="es-ES"/>
        </w:rPr>
        <w:tab/>
        <w:t>hace referencia a componentes ópticos pasivos utilizados para la construcción de la red;</w:t>
      </w:r>
    </w:p>
    <w:p w:rsidR="00621EF1" w:rsidRPr="00560BA7" w:rsidRDefault="00621EF1" w:rsidP="00B50FFA">
      <w:pPr>
        <w:pStyle w:val="enumlev1"/>
        <w:ind w:left="0" w:firstLine="0"/>
        <w:rPr>
          <w:lang w:val="es-ES"/>
        </w:rPr>
      </w:pPr>
      <w:r w:rsidRPr="00560BA7">
        <w:rPr>
          <w:lang w:val="es-ES"/>
        </w:rPr>
        <w:t>–</w:t>
      </w:r>
      <w:r w:rsidRPr="00560BA7">
        <w:rPr>
          <w:lang w:val="es-ES"/>
        </w:rPr>
        <w:tab/>
        <w:t>trata asuntos de instalación y mantenimiento;</w:t>
      </w:r>
    </w:p>
    <w:p w:rsidR="00621EF1" w:rsidRPr="00560BA7" w:rsidRDefault="00621EF1" w:rsidP="00B50FFA">
      <w:pPr>
        <w:pStyle w:val="enumlev1"/>
        <w:ind w:left="0" w:firstLine="0"/>
        <w:rPr>
          <w:lang w:val="es-ES"/>
        </w:rPr>
      </w:pPr>
      <w:r w:rsidRPr="00560BA7">
        <w:rPr>
          <w:lang w:val="es-ES"/>
        </w:rPr>
        <w:t>–</w:t>
      </w:r>
      <w:r w:rsidRPr="00560BA7">
        <w:rPr>
          <w:lang w:val="es-ES"/>
        </w:rPr>
        <w:tab/>
        <w:t>considera el suministro de energía eléctrica; y</w:t>
      </w:r>
    </w:p>
    <w:p w:rsidR="00621EF1" w:rsidRPr="00560BA7" w:rsidRDefault="00621EF1" w:rsidP="00B50FFA">
      <w:pPr>
        <w:pStyle w:val="enumlev1"/>
        <w:ind w:left="0" w:firstLine="0"/>
        <w:rPr>
          <w:lang w:val="es-ES"/>
        </w:rPr>
      </w:pPr>
      <w:r w:rsidRPr="00560BA7">
        <w:rPr>
          <w:lang w:val="es-ES"/>
        </w:rPr>
        <w:t>–</w:t>
      </w:r>
      <w:r w:rsidRPr="00560BA7">
        <w:rPr>
          <w:lang w:val="es-ES"/>
        </w:rPr>
        <w:tab/>
        <w:t>considera los requisitos de seguridad óptica.</w:t>
      </w:r>
    </w:p>
    <w:p w:rsidR="00621EF1" w:rsidRPr="00560BA7" w:rsidRDefault="00621EF1" w:rsidP="00621EF1">
      <w:pPr>
        <w:overflowPunct/>
        <w:autoSpaceDE/>
        <w:autoSpaceDN/>
        <w:adjustRightInd/>
        <w:textAlignment w:val="auto"/>
        <w:rPr>
          <w:i/>
          <w:iCs/>
          <w:szCs w:val="24"/>
          <w:lang w:val="es-ES"/>
        </w:rPr>
      </w:pPr>
      <w:r w:rsidRPr="00560BA7">
        <w:rPr>
          <w:b/>
          <w:bCs/>
          <w:lang w:val="es-ES"/>
        </w:rPr>
        <w:t xml:space="preserve">Recomendación </w:t>
      </w:r>
      <w:r>
        <w:rPr>
          <w:b/>
          <w:bCs/>
          <w:lang w:val="es-ES"/>
        </w:rPr>
        <w:t>U</w:t>
      </w:r>
      <w:r w:rsidRPr="00560BA7">
        <w:rPr>
          <w:b/>
          <w:bCs/>
          <w:lang w:val="es-ES"/>
        </w:rPr>
        <w:t xml:space="preserve">IT-T </w:t>
      </w:r>
      <w:r w:rsidRPr="00560BA7">
        <w:rPr>
          <w:b/>
          <w:bCs/>
          <w:szCs w:val="24"/>
          <w:lang w:val="es-ES"/>
        </w:rPr>
        <w:t>L.42</w:t>
      </w:r>
      <w:r w:rsidRPr="00560BA7">
        <w:rPr>
          <w:szCs w:val="24"/>
          <w:lang w:val="es-ES"/>
        </w:rPr>
        <w:t xml:space="preserve">, </w:t>
      </w:r>
      <w:r w:rsidRPr="00560BA7">
        <w:rPr>
          <w:i/>
          <w:iCs/>
          <w:szCs w:val="24"/>
          <w:lang w:val="es-ES"/>
        </w:rPr>
        <w:t>Soluciones de fibra óptica ampliadas en la red de acceso</w:t>
      </w:r>
      <w:r w:rsidRPr="00560BA7">
        <w:rPr>
          <w:lang w:val="es-ES"/>
        </w:rPr>
        <w:t xml:space="preserve">, </w:t>
      </w:r>
      <w:r w:rsidRPr="00560BA7">
        <w:rPr>
          <w:szCs w:val="24"/>
          <w:lang w:val="es-ES"/>
        </w:rPr>
        <w:t>describe la red óptica de acceso que ha de utilizarse en el diseño e instalación de fibra a la vivienda (</w:t>
      </w:r>
      <w:proofErr w:type="spellStart"/>
      <w:r w:rsidRPr="00560BA7">
        <w:rPr>
          <w:szCs w:val="24"/>
          <w:lang w:val="es-ES"/>
        </w:rPr>
        <w:t>FTTH</w:t>
      </w:r>
      <w:proofErr w:type="spellEnd"/>
      <w:r w:rsidRPr="00560BA7">
        <w:rPr>
          <w:szCs w:val="24"/>
          <w:lang w:val="es-ES"/>
        </w:rPr>
        <w:t>). Se trata aquí principalmente de las arquitecturas de la red de acceso y la transformación de las redes ópticas en redes ópticas de acceso.</w:t>
      </w:r>
    </w:p>
    <w:p w:rsidR="00621EF1" w:rsidRPr="00560BA7" w:rsidRDefault="00621EF1" w:rsidP="00621EF1">
      <w:pPr>
        <w:overflowPunct/>
        <w:autoSpaceDE/>
        <w:autoSpaceDN/>
        <w:adjustRightInd/>
        <w:textAlignment w:val="auto"/>
        <w:rPr>
          <w:i/>
          <w:iCs/>
          <w:szCs w:val="24"/>
          <w:lang w:val="es-ES"/>
        </w:rPr>
      </w:pPr>
      <w:r w:rsidRPr="00560BA7">
        <w:rPr>
          <w:b/>
          <w:bCs/>
          <w:lang w:val="es-ES"/>
        </w:rPr>
        <w:t xml:space="preserve">Recomendación </w:t>
      </w:r>
      <w:r>
        <w:rPr>
          <w:b/>
          <w:bCs/>
          <w:lang w:val="es-ES"/>
        </w:rPr>
        <w:t>U</w:t>
      </w:r>
      <w:r w:rsidRPr="00560BA7">
        <w:rPr>
          <w:b/>
          <w:bCs/>
          <w:lang w:val="es-ES"/>
        </w:rPr>
        <w:t xml:space="preserve">IT-T </w:t>
      </w:r>
      <w:r w:rsidRPr="00560BA7">
        <w:rPr>
          <w:b/>
          <w:bCs/>
          <w:szCs w:val="24"/>
          <w:lang w:val="es-ES"/>
        </w:rPr>
        <w:t>L.52</w:t>
      </w:r>
      <w:r w:rsidRPr="00560BA7">
        <w:rPr>
          <w:szCs w:val="24"/>
          <w:lang w:val="es-ES"/>
        </w:rPr>
        <w:t xml:space="preserve">, </w:t>
      </w:r>
      <w:r w:rsidRPr="00560BA7">
        <w:rPr>
          <w:i/>
          <w:iCs/>
          <w:szCs w:val="24"/>
          <w:lang w:val="es-ES"/>
        </w:rPr>
        <w:t>Instalación de redes ópticas pasivas</w:t>
      </w:r>
      <w:r w:rsidRPr="00560BA7">
        <w:rPr>
          <w:szCs w:val="24"/>
          <w:lang w:val="es-ES"/>
        </w:rPr>
        <w:t>, describe la instalación de redes ópticas pasivas (PON) para el diseño y la construcción de redes de acceso óptico de fibra a la vivienda (</w:t>
      </w:r>
      <w:proofErr w:type="spellStart"/>
      <w:r w:rsidRPr="00560BA7">
        <w:rPr>
          <w:szCs w:val="24"/>
          <w:lang w:val="es-ES"/>
        </w:rPr>
        <w:t>FTTH</w:t>
      </w:r>
      <w:proofErr w:type="spellEnd"/>
      <w:r w:rsidRPr="00560BA7">
        <w:rPr>
          <w:szCs w:val="24"/>
          <w:lang w:val="es-ES"/>
        </w:rPr>
        <w:t>).</w:t>
      </w:r>
    </w:p>
    <w:p w:rsidR="00621EF1" w:rsidRPr="00560BA7" w:rsidRDefault="00621EF1" w:rsidP="00621EF1">
      <w:pPr>
        <w:overflowPunct/>
        <w:autoSpaceDE/>
        <w:autoSpaceDN/>
        <w:adjustRightInd/>
        <w:textAlignment w:val="auto"/>
        <w:rPr>
          <w:szCs w:val="24"/>
          <w:lang w:val="es-ES"/>
        </w:rPr>
      </w:pPr>
      <w:r w:rsidRPr="00560BA7">
        <w:rPr>
          <w:b/>
          <w:bCs/>
          <w:lang w:val="es-ES"/>
        </w:rPr>
        <w:t xml:space="preserve">Recomendación </w:t>
      </w:r>
      <w:r>
        <w:rPr>
          <w:b/>
          <w:bCs/>
          <w:lang w:val="es-ES"/>
        </w:rPr>
        <w:t>U</w:t>
      </w:r>
      <w:r w:rsidRPr="00560BA7">
        <w:rPr>
          <w:b/>
          <w:bCs/>
          <w:lang w:val="es-ES"/>
        </w:rPr>
        <w:t xml:space="preserve">IT-T </w:t>
      </w:r>
      <w:r w:rsidRPr="00560BA7">
        <w:rPr>
          <w:b/>
          <w:bCs/>
          <w:szCs w:val="24"/>
          <w:lang w:val="es-ES"/>
        </w:rPr>
        <w:t>L.65</w:t>
      </w:r>
      <w:r w:rsidRPr="00560BA7">
        <w:rPr>
          <w:szCs w:val="24"/>
          <w:lang w:val="es-ES"/>
        </w:rPr>
        <w:t xml:space="preserve">, </w:t>
      </w:r>
      <w:r w:rsidRPr="00560BA7">
        <w:rPr>
          <w:i/>
          <w:iCs/>
          <w:szCs w:val="24"/>
          <w:lang w:val="es-ES"/>
        </w:rPr>
        <w:t>Distribución de las redes de acceso de fibra óptica</w:t>
      </w:r>
      <w:r w:rsidRPr="00560BA7">
        <w:rPr>
          <w:lang w:val="es-ES"/>
        </w:rPr>
        <w:t xml:space="preserve">, </w:t>
      </w:r>
      <w:r>
        <w:rPr>
          <w:lang w:val="es-ES"/>
        </w:rPr>
        <w:t xml:space="preserve">trata de cuatro fases de distribución de la fibra óptica basadas en el número creciente de clientes, a saber, la fase inicial, la fase de crecimiento, la fase de madurez y la fase final, a fin de permitir el diseño, la construcción y el mantenimiento de redes de acceso de fibra óptica de manera inmediata, efectiva y económica. </w:t>
      </w:r>
    </w:p>
    <w:p w:rsidR="00621EF1" w:rsidRPr="00560BA7" w:rsidRDefault="00621EF1" w:rsidP="00B74CC6">
      <w:pPr>
        <w:pStyle w:val="headingb"/>
        <w:spacing w:before="240"/>
        <w:rPr>
          <w:lang w:val="es-ES"/>
        </w:rPr>
      </w:pPr>
      <w:r>
        <w:rPr>
          <w:lang w:val="es-ES"/>
        </w:rPr>
        <w:t>Motivos para la supresión de las cuatro Recomendaciones arriba citadas</w:t>
      </w:r>
    </w:p>
    <w:p w:rsidR="00621EF1" w:rsidRPr="00560BA7" w:rsidRDefault="00621EF1" w:rsidP="00621EF1">
      <w:pPr>
        <w:rPr>
          <w:lang w:val="es-ES" w:eastAsia="ja-JP"/>
        </w:rPr>
      </w:pPr>
      <w:r>
        <w:rPr>
          <w:lang w:val="es-ES" w:eastAsia="ja-JP"/>
        </w:rPr>
        <w:t xml:space="preserve">El contenido de las cuatro Recomendaciones arriba mencionadas ya se considera obsoleto, ya que ha sido </w:t>
      </w:r>
      <w:r w:rsidR="00B74CC6">
        <w:rPr>
          <w:lang w:val="es-ES" w:eastAsia="ja-JP"/>
        </w:rPr>
        <w:t>r</w:t>
      </w:r>
      <w:r w:rsidR="00B50FFA">
        <w:rPr>
          <w:lang w:val="es-ES" w:eastAsia="ja-JP"/>
        </w:rPr>
        <w:t>e</w:t>
      </w:r>
      <w:r w:rsidR="00B74CC6">
        <w:rPr>
          <w:lang w:val="es-ES" w:eastAsia="ja-JP"/>
        </w:rPr>
        <w:t>emplazado</w:t>
      </w:r>
      <w:r>
        <w:rPr>
          <w:lang w:val="es-ES" w:eastAsia="ja-JP"/>
        </w:rPr>
        <w:t xml:space="preserve"> por la </w:t>
      </w:r>
      <w:r w:rsidRPr="00560BA7">
        <w:rPr>
          <w:lang w:val="es-ES" w:eastAsia="ja-JP"/>
        </w:rPr>
        <w:t>Recomendación UIT-T L.90 (</w:t>
      </w:r>
      <w:r>
        <w:rPr>
          <w:lang w:val="es-ES" w:eastAsia="ja-JP"/>
        </w:rPr>
        <w:t>antes</w:t>
      </w:r>
      <w:r w:rsidRPr="00560BA7">
        <w:rPr>
          <w:lang w:val="es-ES" w:eastAsia="ja-JP"/>
        </w:rPr>
        <w:t xml:space="preserve"> </w:t>
      </w:r>
      <w:proofErr w:type="spellStart"/>
      <w:r w:rsidRPr="00560BA7">
        <w:rPr>
          <w:lang w:val="es-ES" w:eastAsia="ja-JP"/>
        </w:rPr>
        <w:t>L.oanbs</w:t>
      </w:r>
      <w:proofErr w:type="spellEnd"/>
      <w:r w:rsidRPr="00560BA7">
        <w:rPr>
          <w:lang w:val="es-ES" w:eastAsia="ja-JP"/>
        </w:rPr>
        <w:t xml:space="preserve">), </w:t>
      </w:r>
      <w:r>
        <w:rPr>
          <w:lang w:val="es-ES" w:eastAsia="ja-JP"/>
        </w:rPr>
        <w:t xml:space="preserve">que obtuvo el consentimiento de la Comisión de Estudio 15 del UIT-T el 16 de diciembre de 2011. </w:t>
      </w:r>
    </w:p>
    <w:p w:rsidR="00621EF1" w:rsidRPr="00560BA7" w:rsidRDefault="00621EF1" w:rsidP="00621EF1">
      <w:pPr>
        <w:overflowPunct/>
        <w:autoSpaceDE/>
        <w:autoSpaceDN/>
        <w:adjustRightInd/>
        <w:textAlignment w:val="auto"/>
        <w:rPr>
          <w:szCs w:val="24"/>
          <w:lang w:val="es-ES"/>
        </w:rPr>
      </w:pPr>
    </w:p>
    <w:p w:rsidR="00621EF1" w:rsidRPr="00560BA7" w:rsidRDefault="00621EF1" w:rsidP="00621EF1">
      <w:pPr>
        <w:overflowPunct/>
        <w:autoSpaceDE/>
        <w:autoSpaceDN/>
        <w:adjustRightInd/>
        <w:spacing w:beforeLines="50"/>
        <w:textAlignment w:val="auto"/>
        <w:rPr>
          <w:szCs w:val="24"/>
          <w:lang w:val="es-ES" w:eastAsia="ja-JP"/>
        </w:rPr>
      </w:pPr>
    </w:p>
    <w:p w:rsidR="00621EF1" w:rsidRPr="00560BA7" w:rsidRDefault="00621EF1" w:rsidP="00621EF1">
      <w:pPr>
        <w:overflowPunct/>
        <w:autoSpaceDE/>
        <w:autoSpaceDN/>
        <w:adjustRightInd/>
        <w:spacing w:beforeLines="50"/>
        <w:jc w:val="center"/>
        <w:textAlignment w:val="auto"/>
        <w:rPr>
          <w:szCs w:val="24"/>
          <w:lang w:val="es-ES" w:eastAsia="ja-JP"/>
        </w:rPr>
      </w:pPr>
      <w:r w:rsidRPr="00560BA7">
        <w:rPr>
          <w:lang w:val="es-ES"/>
        </w:rPr>
        <w:t>_____________</w:t>
      </w:r>
    </w:p>
    <w:p w:rsidR="00621EF1" w:rsidRPr="00560BA7" w:rsidRDefault="00621EF1" w:rsidP="00621EF1">
      <w:pPr>
        <w:spacing w:before="720"/>
        <w:rPr>
          <w:bCs/>
          <w:lang w:val="es-ES"/>
        </w:rPr>
      </w:pPr>
    </w:p>
    <w:p w:rsidR="00621EF1" w:rsidRPr="00BF51D2" w:rsidRDefault="00621EF1" w:rsidP="00621EF1">
      <w:pPr>
        <w:rPr>
          <w:lang w:val="en-US"/>
        </w:rPr>
      </w:pPr>
    </w:p>
    <w:sectPr w:rsidR="00621EF1" w:rsidRPr="00BF51D2" w:rsidSect="00621EF1">
      <w:headerReference w:type="default" r:id="rId11"/>
      <w:footerReference w:type="default" r:id="rId12"/>
      <w:footerReference w:type="first" r:id="rId13"/>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FFA" w:rsidRDefault="00B50FFA">
      <w:r>
        <w:separator/>
      </w:r>
    </w:p>
  </w:endnote>
  <w:endnote w:type="continuationSeparator" w:id="0">
    <w:p w:rsidR="00B50FFA" w:rsidRDefault="00B5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FFA" w:rsidRPr="00154ED2" w:rsidRDefault="00154ED2" w:rsidP="00154ED2">
    <w:pPr>
      <w:pStyle w:val="Footer"/>
      <w:rPr>
        <w:lang w:val="fr-CH"/>
      </w:rPr>
    </w:pPr>
    <w:r w:rsidRPr="00154ED2">
      <w:rPr>
        <w:lang w:val="fr-CH"/>
      </w:rPr>
      <w:t>I</w:t>
    </w:r>
    <w:r>
      <w:rPr>
        <w:lang w:val="fr-CH"/>
      </w:rPr>
      <w:t>TU-T\BUREAU\</w:t>
    </w:r>
    <w:proofErr w:type="spellStart"/>
    <w:r>
      <w:rPr>
        <w:lang w:val="fr-CH"/>
      </w:rPr>
      <w:t>CIRC</w:t>
    </w:r>
    <w:proofErr w:type="spellEnd"/>
    <w:r>
      <w:rPr>
        <w:lang w:val="fr-CH"/>
      </w:rPr>
      <w:t>\246S</w:t>
    </w:r>
    <w:r w:rsidRPr="00154ED2">
      <w:rPr>
        <w:lang w:val="fr-CH"/>
      </w:rPr>
      <w:t>.DOC</w:t>
    </w:r>
    <w:r w:rsidRPr="00154ED2">
      <w:rPr>
        <w:lang w:val="fr-CH"/>
      </w:rPr>
      <w:tab/>
    </w:r>
    <w:r w:rsidRPr="00154ED2">
      <w:rPr>
        <w:lang w:val="fr-CH"/>
      </w:rPr>
      <w:tab/>
    </w:r>
    <w:r w:rsidRPr="00154ED2">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B50FFA" w:rsidRPr="00154ED2" w:rsidTr="00621EF1">
      <w:trPr>
        <w:cantSplit/>
      </w:trPr>
      <w:tc>
        <w:tcPr>
          <w:tcW w:w="1062" w:type="pct"/>
          <w:tcBorders>
            <w:top w:val="single" w:sz="6" w:space="0" w:color="auto"/>
          </w:tcBorders>
          <w:tcMar>
            <w:top w:w="57" w:type="dxa"/>
          </w:tcMar>
        </w:tcPr>
        <w:p w:rsidR="00B50FFA" w:rsidRDefault="00B50FFA" w:rsidP="00621EF1">
          <w:pPr>
            <w:pStyle w:val="itu"/>
          </w:pPr>
          <w:r>
            <w:t>Place des Nations</w:t>
          </w:r>
        </w:p>
      </w:tc>
      <w:tc>
        <w:tcPr>
          <w:tcW w:w="1584" w:type="pct"/>
          <w:tcBorders>
            <w:top w:val="single" w:sz="6" w:space="0" w:color="auto"/>
          </w:tcBorders>
          <w:tcMar>
            <w:top w:w="57" w:type="dxa"/>
          </w:tcMar>
        </w:tcPr>
        <w:p w:rsidR="00B50FFA" w:rsidRDefault="00B50FFA" w:rsidP="00621EF1">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B50FFA" w:rsidRDefault="00B50FFA" w:rsidP="00621EF1">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50FFA" w:rsidRDefault="00B50FFA" w:rsidP="00621EF1">
          <w:pPr>
            <w:pStyle w:val="itu"/>
          </w:pPr>
          <w:r>
            <w:t>E-mail:</w:t>
          </w:r>
          <w:r>
            <w:tab/>
            <w:t>itumail@itu.int</w:t>
          </w:r>
        </w:p>
      </w:tc>
    </w:tr>
    <w:tr w:rsidR="00B50FFA" w:rsidTr="00621EF1">
      <w:trPr>
        <w:cantSplit/>
      </w:trPr>
      <w:tc>
        <w:tcPr>
          <w:tcW w:w="1062" w:type="pct"/>
        </w:tcPr>
        <w:p w:rsidR="00B50FFA" w:rsidRDefault="00B50FFA" w:rsidP="00621EF1">
          <w:pPr>
            <w:pStyle w:val="itu"/>
          </w:pPr>
          <w:r>
            <w:t xml:space="preserve">CH-1211 </w:t>
          </w:r>
          <w:proofErr w:type="spellStart"/>
          <w:r>
            <w:t>Ginebra</w:t>
          </w:r>
          <w:proofErr w:type="spellEnd"/>
          <w:r>
            <w:t xml:space="preserve"> 20</w:t>
          </w:r>
        </w:p>
      </w:tc>
      <w:tc>
        <w:tcPr>
          <w:tcW w:w="1584" w:type="pct"/>
        </w:tcPr>
        <w:p w:rsidR="00B50FFA" w:rsidRDefault="00B50FFA" w:rsidP="00621EF1">
          <w:pPr>
            <w:pStyle w:val="itu"/>
          </w:pPr>
          <w:r>
            <w:t>Telefax</w:t>
          </w:r>
          <w:r>
            <w:tab/>
            <w:t>Gr3:</w:t>
          </w:r>
          <w:r>
            <w:tab/>
            <w:t>+41 22 733 72 56</w:t>
          </w:r>
        </w:p>
      </w:tc>
      <w:tc>
        <w:tcPr>
          <w:tcW w:w="1223" w:type="pct"/>
        </w:tcPr>
        <w:p w:rsidR="00B50FFA" w:rsidRDefault="00B50FFA" w:rsidP="00621EF1">
          <w:pPr>
            <w:pStyle w:val="itu"/>
          </w:pPr>
          <w:proofErr w:type="spellStart"/>
          <w:r>
            <w:t>Telegrama</w:t>
          </w:r>
          <w:proofErr w:type="spellEnd"/>
          <w:r>
            <w:t xml:space="preserve"> ITU </w:t>
          </w:r>
          <w:proofErr w:type="spellStart"/>
          <w:r>
            <w:t>GENEVE</w:t>
          </w:r>
          <w:proofErr w:type="spellEnd"/>
        </w:p>
      </w:tc>
      <w:tc>
        <w:tcPr>
          <w:tcW w:w="1131" w:type="pct"/>
        </w:tcPr>
        <w:p w:rsidR="00B50FFA" w:rsidRDefault="00B50FFA" w:rsidP="00621EF1">
          <w:pPr>
            <w:pStyle w:val="itu"/>
          </w:pPr>
          <w:r>
            <w:tab/>
            <w:t>www.itu.int</w:t>
          </w:r>
        </w:p>
      </w:tc>
    </w:tr>
    <w:tr w:rsidR="00B50FFA" w:rsidTr="00621EF1">
      <w:trPr>
        <w:cantSplit/>
      </w:trPr>
      <w:tc>
        <w:tcPr>
          <w:tcW w:w="1062" w:type="pct"/>
        </w:tcPr>
        <w:p w:rsidR="00B50FFA" w:rsidRDefault="00B50FFA" w:rsidP="00621EF1">
          <w:pPr>
            <w:pStyle w:val="itu"/>
          </w:pPr>
          <w:proofErr w:type="spellStart"/>
          <w:r>
            <w:t>Suiza</w:t>
          </w:r>
          <w:proofErr w:type="spellEnd"/>
        </w:p>
      </w:tc>
      <w:tc>
        <w:tcPr>
          <w:tcW w:w="1584" w:type="pct"/>
        </w:tcPr>
        <w:p w:rsidR="00B50FFA" w:rsidRDefault="00B50FFA" w:rsidP="00621EF1">
          <w:pPr>
            <w:pStyle w:val="itu"/>
          </w:pPr>
          <w:r>
            <w:tab/>
            <w:t>Gr4:</w:t>
          </w:r>
          <w:r>
            <w:tab/>
            <w:t>+41 22 730 65 00</w:t>
          </w:r>
        </w:p>
      </w:tc>
      <w:tc>
        <w:tcPr>
          <w:tcW w:w="1223" w:type="pct"/>
        </w:tcPr>
        <w:p w:rsidR="00B50FFA" w:rsidRDefault="00B50FFA" w:rsidP="00621EF1">
          <w:pPr>
            <w:pStyle w:val="itu"/>
          </w:pPr>
        </w:p>
      </w:tc>
      <w:tc>
        <w:tcPr>
          <w:tcW w:w="1131" w:type="pct"/>
        </w:tcPr>
        <w:p w:rsidR="00B50FFA" w:rsidRDefault="00B50FFA" w:rsidP="00621EF1">
          <w:pPr>
            <w:pStyle w:val="itu"/>
          </w:pPr>
        </w:p>
      </w:tc>
    </w:tr>
  </w:tbl>
  <w:p w:rsidR="00B50FFA" w:rsidRDefault="00B50FFA" w:rsidP="00621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FFA" w:rsidRDefault="00B50FFA">
      <w:r>
        <w:t>____________________</w:t>
      </w:r>
    </w:p>
  </w:footnote>
  <w:footnote w:type="continuationSeparator" w:id="0">
    <w:p w:rsidR="00B50FFA" w:rsidRDefault="00B50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48095"/>
      <w:docPartObj>
        <w:docPartGallery w:val="Page Numbers (Top of Page)"/>
        <w:docPartUnique/>
      </w:docPartObj>
    </w:sdtPr>
    <w:sdtEndPr>
      <w:rPr>
        <w:noProof/>
      </w:rPr>
    </w:sdtEndPr>
    <w:sdtContent>
      <w:p w:rsidR="00B50FFA" w:rsidRDefault="00B50FFA">
        <w:pPr>
          <w:pStyle w:val="Header"/>
        </w:pPr>
        <w:r w:rsidRPr="0072280E">
          <w:rPr>
            <w:sz w:val="18"/>
            <w:szCs w:val="18"/>
          </w:rPr>
          <w:fldChar w:fldCharType="begin"/>
        </w:r>
        <w:r w:rsidRPr="0072280E">
          <w:rPr>
            <w:sz w:val="18"/>
            <w:szCs w:val="18"/>
          </w:rPr>
          <w:instrText xml:space="preserve"> PAGE   \* MERGEFORMAT </w:instrText>
        </w:r>
        <w:r w:rsidRPr="0072280E">
          <w:rPr>
            <w:sz w:val="18"/>
            <w:szCs w:val="18"/>
          </w:rPr>
          <w:fldChar w:fldCharType="separate"/>
        </w:r>
        <w:r w:rsidR="00154ED2">
          <w:rPr>
            <w:noProof/>
            <w:sz w:val="18"/>
            <w:szCs w:val="18"/>
          </w:rPr>
          <w:t>3</w:t>
        </w:r>
        <w:r w:rsidRPr="0072280E">
          <w:rPr>
            <w:noProof/>
            <w:sz w:val="18"/>
            <w:szCs w:val="18"/>
          </w:rPr>
          <w:fldChar w:fldCharType="end"/>
        </w:r>
      </w:p>
    </w:sdtContent>
  </w:sdt>
  <w:p w:rsidR="00B50FFA" w:rsidRDefault="00B50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9A8"/>
    <w:rsid w:val="00002529"/>
    <w:rsid w:val="00056F9C"/>
    <w:rsid w:val="000965A3"/>
    <w:rsid w:val="000C382F"/>
    <w:rsid w:val="001173CC"/>
    <w:rsid w:val="00154ED2"/>
    <w:rsid w:val="001A54CC"/>
    <w:rsid w:val="00257FB4"/>
    <w:rsid w:val="002F662A"/>
    <w:rsid w:val="00303D62"/>
    <w:rsid w:val="00335367"/>
    <w:rsid w:val="00370C2D"/>
    <w:rsid w:val="003D1E8D"/>
    <w:rsid w:val="003D673B"/>
    <w:rsid w:val="003F2855"/>
    <w:rsid w:val="00401C20"/>
    <w:rsid w:val="004C4144"/>
    <w:rsid w:val="00542B2C"/>
    <w:rsid w:val="005C21E1"/>
    <w:rsid w:val="00621EF1"/>
    <w:rsid w:val="006969B4"/>
    <w:rsid w:val="0072280E"/>
    <w:rsid w:val="007642FB"/>
    <w:rsid w:val="00766C24"/>
    <w:rsid w:val="00781E2A"/>
    <w:rsid w:val="008258C2"/>
    <w:rsid w:val="00844784"/>
    <w:rsid w:val="008505BD"/>
    <w:rsid w:val="00850C78"/>
    <w:rsid w:val="00861395"/>
    <w:rsid w:val="008C17AD"/>
    <w:rsid w:val="008D02CD"/>
    <w:rsid w:val="0095172A"/>
    <w:rsid w:val="009E1C61"/>
    <w:rsid w:val="00A54E47"/>
    <w:rsid w:val="00AE7093"/>
    <w:rsid w:val="00B422BC"/>
    <w:rsid w:val="00B43F77"/>
    <w:rsid w:val="00B50FFA"/>
    <w:rsid w:val="00B74CC6"/>
    <w:rsid w:val="00B95F0A"/>
    <w:rsid w:val="00B96180"/>
    <w:rsid w:val="00BF51D2"/>
    <w:rsid w:val="00C17AC0"/>
    <w:rsid w:val="00C34772"/>
    <w:rsid w:val="00CA5656"/>
    <w:rsid w:val="00CD591A"/>
    <w:rsid w:val="00D81346"/>
    <w:rsid w:val="00DD77C9"/>
    <w:rsid w:val="00E839B0"/>
    <w:rsid w:val="00E9195D"/>
    <w:rsid w:val="00E92C09"/>
    <w:rsid w:val="00E96447"/>
    <w:rsid w:val="00F301DA"/>
    <w:rsid w:val="00F6461F"/>
    <w:rsid w:val="00FB29A8"/>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1063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bsg15@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ezt\Application%20Data\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F7CE-B1A5-4BA3-B80B-0CFEB94E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28</TotalTime>
  <Pages>3</Pages>
  <Words>753</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4664</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Perez Tello, Almudena</dc:creator>
  <cp:keywords/>
  <dc:description/>
  <cp:lastModifiedBy>RC</cp:lastModifiedBy>
  <cp:revision>4</cp:revision>
  <cp:lastPrinted>2012-01-05T11:04:00Z</cp:lastPrinted>
  <dcterms:created xsi:type="dcterms:W3CDTF">2012-01-05T10:31:00Z</dcterms:created>
  <dcterms:modified xsi:type="dcterms:W3CDTF">2012-01-11T14:48:00Z</dcterms:modified>
</cp:coreProperties>
</file>