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616"/>
        <w:tblW w:w="9781" w:type="dxa"/>
        <w:tblLayout w:type="fixed"/>
        <w:tblCellMar>
          <w:left w:w="0" w:type="dxa"/>
          <w:right w:w="0" w:type="dxa"/>
        </w:tblCellMar>
        <w:tblLook w:val="0000"/>
      </w:tblPr>
      <w:tblGrid>
        <w:gridCol w:w="6426"/>
        <w:gridCol w:w="3355"/>
      </w:tblGrid>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color w:val="FFFFFF"/>
                <w:sz w:val="26"/>
                <w:szCs w:val="26"/>
              </w:rPr>
            </w:pPr>
            <w:r w:rsidRPr="00BB01E0">
              <w:rPr>
                <w:rFonts w:ascii="Verdana" w:hAnsi="Verdana"/>
                <w:b/>
                <w:bCs/>
                <w:sz w:val="26"/>
                <w:szCs w:val="26"/>
              </w:rPr>
              <w:t>Oficina de Normalización</w:t>
            </w:r>
            <w:r w:rsidRPr="00BB01E0">
              <w:rPr>
                <w:rFonts w:ascii="Verdana" w:hAnsi="Verdana"/>
                <w:b/>
                <w:bCs/>
                <w:sz w:val="26"/>
                <w:szCs w:val="26"/>
              </w:rPr>
              <w:br/>
              <w:t>de las Telecomunicaciones</w:t>
            </w:r>
          </w:p>
        </w:tc>
        <w:tc>
          <w:tcPr>
            <w:tcW w:w="3355" w:type="dxa"/>
            <w:vAlign w:val="center"/>
          </w:tcPr>
          <w:p w:rsidR="00C34772" w:rsidRPr="00BB01E0" w:rsidRDefault="00C34772" w:rsidP="00303D62">
            <w:pPr>
              <w:spacing w:before="0"/>
              <w:jc w:val="right"/>
              <w:rPr>
                <w:rFonts w:ascii="Verdana" w:hAnsi="Verdana"/>
                <w:color w:val="FFFFFF"/>
                <w:sz w:val="26"/>
                <w:szCs w:val="26"/>
              </w:rPr>
            </w:pPr>
            <w:r>
              <w:rPr>
                <w:rFonts w:ascii="Verdana" w:hAnsi="Verdana"/>
                <w:b/>
                <w:bCs/>
                <w:noProof/>
                <w:color w:val="FFFFFF"/>
                <w:sz w:val="26"/>
                <w:szCs w:val="24"/>
                <w:lang w:val="en-US" w:eastAsia="zh-CN"/>
              </w:rPr>
              <w:drawing>
                <wp:inline distT="0" distB="0" distL="0" distR="0">
                  <wp:extent cx="1770380" cy="702310"/>
                  <wp:effectExtent l="0" t="0" r="1270" b="2540"/>
                  <wp:docPr id="2" name="Picture 2"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_"/>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70380" cy="702310"/>
                          </a:xfrm>
                          <a:prstGeom prst="rect">
                            <a:avLst/>
                          </a:prstGeom>
                          <a:noFill/>
                          <a:ln>
                            <a:noFill/>
                          </a:ln>
                        </pic:spPr>
                      </pic:pic>
                    </a:graphicData>
                  </a:graphic>
                </wp:inline>
              </w:drawing>
            </w:r>
          </w:p>
        </w:tc>
      </w:tr>
      <w:tr w:rsidR="00C34772" w:rsidRPr="00BB01E0" w:rsidTr="00303D62">
        <w:trPr>
          <w:cantSplit/>
        </w:trPr>
        <w:tc>
          <w:tcPr>
            <w:tcW w:w="6426" w:type="dxa"/>
            <w:vAlign w:val="center"/>
          </w:tcPr>
          <w:p w:rsidR="00C34772" w:rsidRPr="00BB01E0" w:rsidRDefault="00C34772" w:rsidP="00303D62">
            <w:pPr>
              <w:tabs>
                <w:tab w:val="right" w:pos="8732"/>
              </w:tabs>
              <w:spacing w:before="0"/>
              <w:rPr>
                <w:rFonts w:ascii="Verdana" w:hAnsi="Verdana"/>
                <w:b/>
                <w:bCs/>
                <w:iCs/>
                <w:sz w:val="18"/>
                <w:szCs w:val="18"/>
              </w:rPr>
            </w:pPr>
          </w:p>
        </w:tc>
        <w:tc>
          <w:tcPr>
            <w:tcW w:w="3355" w:type="dxa"/>
            <w:vAlign w:val="center"/>
          </w:tcPr>
          <w:p w:rsidR="00C34772" w:rsidRPr="00BB01E0" w:rsidRDefault="00C34772" w:rsidP="00303D62">
            <w:pPr>
              <w:spacing w:before="0"/>
              <w:ind w:left="993" w:hanging="993"/>
              <w:jc w:val="right"/>
              <w:rPr>
                <w:rFonts w:ascii="Verdana" w:hAnsi="Verdana"/>
                <w:sz w:val="18"/>
                <w:szCs w:val="18"/>
              </w:rPr>
            </w:pPr>
          </w:p>
        </w:tc>
      </w:tr>
    </w:tbl>
    <w:p w:rsidR="00C34772" w:rsidRDefault="00C34772" w:rsidP="00303D62">
      <w:pPr>
        <w:tabs>
          <w:tab w:val="clear" w:pos="794"/>
          <w:tab w:val="clear" w:pos="1191"/>
          <w:tab w:val="clear" w:pos="1588"/>
          <w:tab w:val="clear" w:pos="1985"/>
          <w:tab w:val="left" w:pos="4962"/>
        </w:tabs>
      </w:pPr>
    </w:p>
    <w:p w:rsidR="00C34772" w:rsidRDefault="00C34772" w:rsidP="00303D62">
      <w:pPr>
        <w:tabs>
          <w:tab w:val="clear" w:pos="794"/>
          <w:tab w:val="clear" w:pos="1191"/>
          <w:tab w:val="clear" w:pos="1588"/>
          <w:tab w:val="clear" w:pos="1985"/>
          <w:tab w:val="left" w:pos="4962"/>
        </w:tabs>
      </w:pPr>
      <w:r>
        <w:tab/>
        <w:t xml:space="preserve">Ginebra, </w:t>
      </w:r>
      <w:r w:rsidR="000C142D">
        <w:t>23 de junio de 2011</w:t>
      </w:r>
    </w:p>
    <w:p w:rsidR="00C34772" w:rsidRDefault="00C34772" w:rsidP="00303D62">
      <w:pPr>
        <w:spacing w:before="0"/>
      </w:pPr>
    </w:p>
    <w:tbl>
      <w:tblPr>
        <w:tblW w:w="10206" w:type="dxa"/>
        <w:tblInd w:w="8" w:type="dxa"/>
        <w:tblLayout w:type="fixed"/>
        <w:tblCellMar>
          <w:left w:w="0" w:type="dxa"/>
          <w:right w:w="0" w:type="dxa"/>
        </w:tblCellMar>
        <w:tblLook w:val="0000"/>
      </w:tblPr>
      <w:tblGrid>
        <w:gridCol w:w="993"/>
        <w:gridCol w:w="3884"/>
        <w:gridCol w:w="5329"/>
      </w:tblGrid>
      <w:tr w:rsidR="00C34772" w:rsidTr="00303D62">
        <w:trPr>
          <w:cantSplit/>
          <w:trHeight w:val="340"/>
        </w:trPr>
        <w:tc>
          <w:tcPr>
            <w:tcW w:w="993" w:type="dxa"/>
          </w:tcPr>
          <w:p w:rsidR="00C34772" w:rsidRDefault="00C34772" w:rsidP="00303D62">
            <w:pPr>
              <w:tabs>
                <w:tab w:val="left" w:pos="4111"/>
              </w:tabs>
              <w:spacing w:before="10"/>
              <w:ind w:left="57"/>
              <w:rPr>
                <w:sz w:val="22"/>
              </w:rPr>
            </w:pPr>
            <w:r>
              <w:rPr>
                <w:sz w:val="22"/>
              </w:rPr>
              <w:t>Ref.:</w:t>
            </w: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p>
          <w:p w:rsidR="00C34772" w:rsidRDefault="00C34772" w:rsidP="00303D62">
            <w:pPr>
              <w:tabs>
                <w:tab w:val="left" w:pos="4111"/>
              </w:tabs>
              <w:spacing w:before="10"/>
              <w:ind w:left="57"/>
              <w:rPr>
                <w:sz w:val="22"/>
              </w:rPr>
            </w:pPr>
            <w:r>
              <w:rPr>
                <w:sz w:val="22"/>
              </w:rPr>
              <w:t>Tel.:</w:t>
            </w:r>
            <w:r>
              <w:rPr>
                <w:sz w:val="22"/>
              </w:rPr>
              <w:br/>
              <w:t>Fax:</w:t>
            </w:r>
          </w:p>
        </w:tc>
        <w:tc>
          <w:tcPr>
            <w:tcW w:w="3884" w:type="dxa"/>
          </w:tcPr>
          <w:p w:rsidR="00C34772" w:rsidRDefault="00C34772" w:rsidP="000C142D">
            <w:pPr>
              <w:tabs>
                <w:tab w:val="left" w:pos="4111"/>
              </w:tabs>
              <w:spacing w:before="0"/>
              <w:ind w:left="57"/>
              <w:rPr>
                <w:b/>
              </w:rPr>
            </w:pPr>
            <w:r>
              <w:rPr>
                <w:b/>
              </w:rPr>
              <w:t xml:space="preserve">Circular TSB </w:t>
            </w:r>
            <w:r w:rsidR="000C142D">
              <w:rPr>
                <w:b/>
              </w:rPr>
              <w:t>203</w:t>
            </w:r>
          </w:p>
          <w:p w:rsidR="00C34772" w:rsidRDefault="00C34772" w:rsidP="00303D62">
            <w:pPr>
              <w:tabs>
                <w:tab w:val="left" w:pos="4111"/>
              </w:tabs>
              <w:spacing w:before="0"/>
              <w:ind w:left="57"/>
              <w:rPr>
                <w:b/>
              </w:rPr>
            </w:pPr>
            <w:r>
              <w:t xml:space="preserve">COM </w:t>
            </w:r>
            <w:r w:rsidR="000C142D" w:rsidRPr="00956736">
              <w:rPr>
                <w:lang w:val="pt-BR"/>
              </w:rPr>
              <w:t>15/GJ</w:t>
            </w:r>
          </w:p>
          <w:p w:rsidR="00C34772" w:rsidRDefault="00C34772" w:rsidP="00303D62">
            <w:pPr>
              <w:tabs>
                <w:tab w:val="left" w:pos="4111"/>
              </w:tabs>
              <w:spacing w:before="0"/>
              <w:ind w:left="57"/>
            </w:pPr>
          </w:p>
          <w:p w:rsidR="00C34772" w:rsidRDefault="00C34772" w:rsidP="00303D62">
            <w:pPr>
              <w:tabs>
                <w:tab w:val="left" w:pos="4111"/>
              </w:tabs>
              <w:spacing w:before="0"/>
              <w:ind w:left="57"/>
            </w:pPr>
            <w:r>
              <w:t>+41 22 730</w:t>
            </w:r>
            <w:r w:rsidR="000C142D">
              <w:t xml:space="preserve"> 6356</w:t>
            </w:r>
            <w:r>
              <w:br/>
              <w:t>+41 22 730 5853</w:t>
            </w:r>
          </w:p>
        </w:tc>
        <w:tc>
          <w:tcPr>
            <w:tcW w:w="5329" w:type="dxa"/>
          </w:tcPr>
          <w:p w:rsidR="00C34772" w:rsidRDefault="00C34772" w:rsidP="00303D62">
            <w:pPr>
              <w:tabs>
                <w:tab w:val="clear" w:pos="794"/>
                <w:tab w:val="clear" w:pos="1191"/>
                <w:tab w:val="clear" w:pos="1588"/>
                <w:tab w:val="clear" w:pos="1985"/>
                <w:tab w:val="left" w:pos="284"/>
              </w:tabs>
              <w:spacing w:before="0"/>
              <w:ind w:left="284" w:hanging="227"/>
            </w:pPr>
            <w:bookmarkStart w:id="0" w:name="Addressee_S"/>
            <w:bookmarkEnd w:id="0"/>
            <w:r>
              <w:t>-</w:t>
            </w:r>
            <w:r>
              <w:tab/>
              <w:t>A las Administraciones de los Estados Miembros de la Unión</w:t>
            </w:r>
          </w:p>
        </w:tc>
      </w:tr>
      <w:tr w:rsidR="00C34772" w:rsidTr="00303D62">
        <w:trPr>
          <w:cantSplit/>
        </w:trPr>
        <w:tc>
          <w:tcPr>
            <w:tcW w:w="993" w:type="dxa"/>
          </w:tcPr>
          <w:p w:rsidR="00C34772" w:rsidRDefault="00C34772" w:rsidP="00303D62">
            <w:pPr>
              <w:tabs>
                <w:tab w:val="left" w:pos="4111"/>
              </w:tabs>
              <w:spacing w:before="10"/>
              <w:ind w:left="57"/>
              <w:rPr>
                <w:sz w:val="22"/>
              </w:rPr>
            </w:pPr>
            <w:r>
              <w:rPr>
                <w:sz w:val="22"/>
              </w:rPr>
              <w:t>Correo-e:</w:t>
            </w:r>
          </w:p>
        </w:tc>
        <w:tc>
          <w:tcPr>
            <w:tcW w:w="3884" w:type="dxa"/>
          </w:tcPr>
          <w:p w:rsidR="00C34772" w:rsidRDefault="00C36008" w:rsidP="00C36008">
            <w:pPr>
              <w:tabs>
                <w:tab w:val="left" w:pos="4111"/>
              </w:tabs>
              <w:spacing w:before="0"/>
              <w:ind w:left="57"/>
            </w:pPr>
            <w:hyperlink r:id="rId9" w:history="1">
              <w:r w:rsidRPr="0019796A">
                <w:rPr>
                  <w:rStyle w:val="Hyperlink"/>
                </w:rPr>
                <w:t>tsbsg</w:t>
              </w:r>
              <w:r w:rsidRPr="0019796A">
                <w:rPr>
                  <w:rStyle w:val="Hyperlink"/>
                </w:rPr>
                <w:t>1</w:t>
              </w:r>
              <w:r w:rsidRPr="0019796A">
                <w:rPr>
                  <w:rStyle w:val="Hyperlink"/>
                </w:rPr>
                <w:t>5@itu.int</w:t>
              </w:r>
            </w:hyperlink>
            <w:r>
              <w:t xml:space="preserve"> </w:t>
            </w:r>
            <w:r w:rsidR="00C34772">
              <w:t xml:space="preserve"> </w:t>
            </w:r>
          </w:p>
        </w:tc>
        <w:tc>
          <w:tcPr>
            <w:tcW w:w="5329" w:type="dxa"/>
          </w:tcPr>
          <w:p w:rsidR="00C34772" w:rsidRDefault="00C34772" w:rsidP="00303D62">
            <w:pPr>
              <w:tabs>
                <w:tab w:val="left" w:pos="4111"/>
              </w:tabs>
              <w:spacing w:before="0"/>
            </w:pPr>
            <w:r>
              <w:rPr>
                <w:b/>
              </w:rPr>
              <w:t>Copia</w:t>
            </w:r>
            <w:r>
              <w:t>:</w:t>
            </w:r>
          </w:p>
          <w:p w:rsidR="00C34772" w:rsidRDefault="00C34772" w:rsidP="00303D62">
            <w:pPr>
              <w:tabs>
                <w:tab w:val="clear" w:pos="794"/>
                <w:tab w:val="left" w:pos="226"/>
                <w:tab w:val="left" w:pos="4111"/>
              </w:tabs>
              <w:spacing w:before="0"/>
            </w:pPr>
            <w:r>
              <w:t>-</w:t>
            </w:r>
            <w:r>
              <w:tab/>
              <w:t>A los Miembros del Sector UIT</w:t>
            </w:r>
            <w:r>
              <w:noBreakHyphen/>
              <w:t>T;</w:t>
            </w:r>
          </w:p>
          <w:p w:rsidR="00C34772" w:rsidRDefault="00C34772" w:rsidP="00303D62">
            <w:pPr>
              <w:tabs>
                <w:tab w:val="clear" w:pos="794"/>
                <w:tab w:val="left" w:pos="226"/>
                <w:tab w:val="left" w:pos="4111"/>
              </w:tabs>
              <w:spacing w:before="0"/>
            </w:pPr>
            <w:r>
              <w:t>-</w:t>
            </w:r>
            <w:r>
              <w:tab/>
              <w:t>A los Asociados del UIT</w:t>
            </w:r>
            <w:r>
              <w:noBreakHyphen/>
              <w:t>T;</w:t>
            </w:r>
          </w:p>
          <w:p w:rsidR="00C34772" w:rsidRDefault="00C34772" w:rsidP="00303D62">
            <w:pPr>
              <w:tabs>
                <w:tab w:val="clear" w:pos="794"/>
                <w:tab w:val="left" w:pos="226"/>
                <w:tab w:val="left" w:pos="4111"/>
              </w:tabs>
              <w:spacing w:before="0"/>
            </w:pPr>
            <w:r w:rsidRPr="00665FBD">
              <w:t>-</w:t>
            </w:r>
            <w:r>
              <w:tab/>
              <w:t xml:space="preserve">A las Instituciones Académicas del </w:t>
            </w:r>
            <w:r w:rsidRPr="00665FBD">
              <w:t>UIT-T</w:t>
            </w:r>
            <w:r>
              <w:t>;</w:t>
            </w:r>
          </w:p>
          <w:p w:rsidR="00C34772" w:rsidRDefault="00C34772" w:rsidP="000C142D">
            <w:pPr>
              <w:tabs>
                <w:tab w:val="left" w:pos="226"/>
                <w:tab w:val="left" w:pos="4111"/>
              </w:tabs>
              <w:spacing w:before="0"/>
              <w:ind w:left="226" w:hanging="226"/>
            </w:pPr>
            <w:r>
              <w:t>-</w:t>
            </w:r>
            <w:r>
              <w:tab/>
              <w:t>Al Presidente y a los Vicepresidentes de la</w:t>
            </w:r>
            <w:r>
              <w:br/>
              <w:t xml:space="preserve">Comisión de Estudio </w:t>
            </w:r>
            <w:r w:rsidR="000C142D">
              <w:t>15</w:t>
            </w:r>
            <w:r>
              <w:t>;</w:t>
            </w:r>
          </w:p>
          <w:p w:rsidR="00C34772" w:rsidRDefault="00C34772" w:rsidP="00303D62">
            <w:pPr>
              <w:tabs>
                <w:tab w:val="clear" w:pos="794"/>
                <w:tab w:val="clear" w:pos="1191"/>
                <w:tab w:val="clear" w:pos="1588"/>
                <w:tab w:val="clear" w:pos="1985"/>
                <w:tab w:val="left" w:pos="226"/>
                <w:tab w:val="left" w:pos="510"/>
              </w:tabs>
              <w:spacing w:before="0"/>
              <w:ind w:left="226" w:hanging="169"/>
            </w:pPr>
            <w:r>
              <w:t>-</w:t>
            </w:r>
            <w:r>
              <w:tab/>
              <w:t>Al Director de la Oficina de Desarrollo de las Telecomunicaciones;</w:t>
            </w:r>
          </w:p>
          <w:p w:rsidR="00C34772" w:rsidRDefault="00C34772" w:rsidP="00303D62">
            <w:pPr>
              <w:tabs>
                <w:tab w:val="clear" w:pos="794"/>
                <w:tab w:val="clear" w:pos="1191"/>
                <w:tab w:val="clear" w:pos="1588"/>
                <w:tab w:val="clear" w:pos="1985"/>
                <w:tab w:val="left" w:pos="226"/>
                <w:tab w:val="left" w:pos="510"/>
              </w:tabs>
              <w:spacing w:before="0"/>
              <w:ind w:left="226" w:hanging="169"/>
            </w:pPr>
            <w:r>
              <w:t>-</w:t>
            </w:r>
            <w:r>
              <w:tab/>
              <w:t>Al Director de la Oficina de Radiocomunicaciones</w:t>
            </w:r>
          </w:p>
        </w:tc>
      </w:tr>
    </w:tbl>
    <w:p w:rsidR="00C34772" w:rsidRDefault="00C34772" w:rsidP="00303D62"/>
    <w:tbl>
      <w:tblPr>
        <w:tblW w:w="0" w:type="auto"/>
        <w:tblInd w:w="8" w:type="dxa"/>
        <w:tblLayout w:type="fixed"/>
        <w:tblCellMar>
          <w:left w:w="0" w:type="dxa"/>
          <w:right w:w="0" w:type="dxa"/>
        </w:tblCellMar>
        <w:tblLook w:val="0000"/>
      </w:tblPr>
      <w:tblGrid>
        <w:gridCol w:w="822"/>
        <w:gridCol w:w="7116"/>
      </w:tblGrid>
      <w:tr w:rsidR="00C34772" w:rsidTr="00303D62">
        <w:trPr>
          <w:cantSplit/>
        </w:trPr>
        <w:tc>
          <w:tcPr>
            <w:tcW w:w="822" w:type="dxa"/>
          </w:tcPr>
          <w:p w:rsidR="00C34772" w:rsidRDefault="00C34772" w:rsidP="00303D62">
            <w:pPr>
              <w:tabs>
                <w:tab w:val="left" w:pos="4111"/>
              </w:tabs>
              <w:spacing w:before="10"/>
              <w:ind w:left="57"/>
              <w:rPr>
                <w:sz w:val="22"/>
              </w:rPr>
            </w:pPr>
            <w:r>
              <w:rPr>
                <w:sz w:val="22"/>
              </w:rPr>
              <w:t>Asunto:</w:t>
            </w:r>
          </w:p>
        </w:tc>
        <w:tc>
          <w:tcPr>
            <w:tcW w:w="7116" w:type="dxa"/>
          </w:tcPr>
          <w:p w:rsidR="00C34772" w:rsidRDefault="00C34772" w:rsidP="00AE24AC">
            <w:pPr>
              <w:tabs>
                <w:tab w:val="left" w:pos="4111"/>
              </w:tabs>
              <w:spacing w:before="0"/>
              <w:rPr>
                <w:b/>
              </w:rPr>
            </w:pPr>
            <w:r>
              <w:rPr>
                <w:b/>
              </w:rPr>
              <w:t xml:space="preserve">Reunión de la Comisión de Estudio </w:t>
            </w:r>
            <w:r w:rsidR="00775959">
              <w:rPr>
                <w:b/>
              </w:rPr>
              <w:t>15</w:t>
            </w:r>
            <w:r>
              <w:rPr>
                <w:b/>
              </w:rPr>
              <w:t xml:space="preserve"> para la aprobación de los proyectos de nueva</w:t>
            </w:r>
            <w:r w:rsidR="00AE24AC">
              <w:rPr>
                <w:b/>
              </w:rPr>
              <w:t>s</w:t>
            </w:r>
            <w:r>
              <w:rPr>
                <w:b/>
              </w:rPr>
              <w:t xml:space="preserve"> Recomendaci</w:t>
            </w:r>
            <w:r w:rsidR="00AE24AC">
              <w:rPr>
                <w:b/>
              </w:rPr>
              <w:t>o</w:t>
            </w:r>
            <w:r>
              <w:rPr>
                <w:b/>
              </w:rPr>
              <w:t>n</w:t>
            </w:r>
            <w:r w:rsidR="00AE24AC">
              <w:rPr>
                <w:b/>
              </w:rPr>
              <w:t>es</w:t>
            </w:r>
            <w:r>
              <w:rPr>
                <w:b/>
              </w:rPr>
              <w:t xml:space="preserve"> UIT-T </w:t>
            </w:r>
            <w:r w:rsidR="00775959" w:rsidRPr="00775959">
              <w:rPr>
                <w:b/>
              </w:rPr>
              <w:t xml:space="preserve">G.9980, G.9955 </w:t>
            </w:r>
            <w:r w:rsidR="00775959">
              <w:rPr>
                <w:b/>
              </w:rPr>
              <w:t>y</w:t>
            </w:r>
            <w:r w:rsidR="00775959" w:rsidRPr="00775959">
              <w:rPr>
                <w:b/>
              </w:rPr>
              <w:t xml:space="preserve"> G.8113.1</w:t>
            </w:r>
            <w:r w:rsidRPr="00335367">
              <w:rPr>
                <w:bCs/>
                <w:i/>
                <w:iCs/>
              </w:rPr>
              <w:t xml:space="preserve"> </w:t>
            </w:r>
            <w:r>
              <w:rPr>
                <w:b/>
              </w:rPr>
              <w:t>de conformidad con las disposiciones de la Resolución 1, Sección 9, de la AMNT (Johannesburgo, 2008))</w:t>
            </w:r>
            <w:r>
              <w:rPr>
                <w:b/>
              </w:rPr>
              <w:br/>
              <w:t xml:space="preserve">Ginebra, </w:t>
            </w:r>
            <w:r w:rsidR="00775959">
              <w:rPr>
                <w:b/>
              </w:rPr>
              <w:t>16 de diciembre de 2011</w:t>
            </w:r>
          </w:p>
        </w:tc>
      </w:tr>
    </w:tbl>
    <w:p w:rsidR="00C34772" w:rsidRDefault="00C34772" w:rsidP="00303D62">
      <w:bookmarkStart w:id="1" w:name="StartTyping_S"/>
      <w:bookmarkStart w:id="2" w:name="suitetext"/>
      <w:bookmarkStart w:id="3" w:name="text"/>
      <w:bookmarkEnd w:id="1"/>
      <w:bookmarkEnd w:id="2"/>
      <w:bookmarkEnd w:id="3"/>
    </w:p>
    <w:p w:rsidR="00C34772" w:rsidRDefault="00C34772" w:rsidP="00303D62">
      <w:r>
        <w:t>Muy Señora mía/Muy Señor mío:</w:t>
      </w:r>
    </w:p>
    <w:p w:rsidR="00C34772" w:rsidRDefault="00C34772" w:rsidP="00AE24AC">
      <w:pPr>
        <w:pStyle w:val="Normalaftertitle"/>
      </w:pPr>
      <w:r>
        <w:rPr>
          <w:bCs/>
        </w:rPr>
        <w:t>1</w:t>
      </w:r>
      <w:r>
        <w:tab/>
        <w:t xml:space="preserve">A petición del Presidente de la Comisión de Estudio </w:t>
      </w:r>
      <w:r w:rsidR="00775959">
        <w:t>15</w:t>
      </w:r>
      <w:r>
        <w:t xml:space="preserve">, </w:t>
      </w:r>
      <w:r w:rsidR="00775959">
        <w:rPr>
          <w:i/>
          <w:iCs/>
        </w:rPr>
        <w:t xml:space="preserve">Infraestructuras de las redes </w:t>
      </w:r>
      <w:r w:rsidR="005F0045">
        <w:rPr>
          <w:i/>
          <w:iCs/>
        </w:rPr>
        <w:t>ópticas</w:t>
      </w:r>
      <w:r w:rsidR="00775959">
        <w:rPr>
          <w:i/>
          <w:iCs/>
        </w:rPr>
        <w:t xml:space="preserve"> de transporte y de las redes de acceso</w:t>
      </w:r>
      <w:r>
        <w:t xml:space="preserve">, tengo el honor de informarle que esta Comisión de Estudio, que se reunirá del </w:t>
      </w:r>
      <w:r w:rsidR="00775959">
        <w:t xml:space="preserve">5 </w:t>
      </w:r>
      <w:r>
        <w:t xml:space="preserve">al </w:t>
      </w:r>
      <w:r w:rsidR="00775959">
        <w:t>16 de diciembre de 2011</w:t>
      </w:r>
      <w:r>
        <w:t xml:space="preserve">, se propone aplicar el procedimiento descrito en la Resolución 1, Sección 9, de la AMNT (Johannesburgo, 2008) para la aprobación de los proyectos de </w:t>
      </w:r>
      <w:r w:rsidR="00611994">
        <w:t>nueva</w:t>
      </w:r>
      <w:r w:rsidR="00AE24AC">
        <w:t>s</w:t>
      </w:r>
      <w:r w:rsidR="00611994">
        <w:t xml:space="preserve"> </w:t>
      </w:r>
      <w:r>
        <w:t>Recomendaci</w:t>
      </w:r>
      <w:r w:rsidR="00AE24AC">
        <w:t>o</w:t>
      </w:r>
      <w:r w:rsidR="00611994">
        <w:t>n</w:t>
      </w:r>
      <w:r w:rsidR="00AE24AC">
        <w:t>es</w:t>
      </w:r>
      <w:r>
        <w:t xml:space="preserve"> mencionados arriba.</w:t>
      </w:r>
    </w:p>
    <w:p w:rsidR="00C34772" w:rsidRDefault="00C34772" w:rsidP="00AE24AC">
      <w:r>
        <w:rPr>
          <w:bCs/>
        </w:rPr>
        <w:t>2</w:t>
      </w:r>
      <w:r>
        <w:tab/>
        <w:t xml:space="preserve">El </w:t>
      </w:r>
      <w:r>
        <w:rPr>
          <w:b/>
        </w:rPr>
        <w:t>anexo 1</w:t>
      </w:r>
      <w:r>
        <w:t xml:space="preserve"> contiene el título y el resumen de los proyectos de </w:t>
      </w:r>
      <w:r w:rsidR="00AE24AC">
        <w:t>nuevas Recomendaciones</w:t>
      </w:r>
      <w:r>
        <w:t xml:space="preserve"> UIT</w:t>
      </w:r>
      <w:r w:rsidR="00775959">
        <w:noBreakHyphen/>
      </w:r>
      <w:r>
        <w:t>T, con indicación de los documentos en que figuran.</w:t>
      </w:r>
    </w:p>
    <w:p w:rsidR="00C34772" w:rsidRDefault="00C34772" w:rsidP="00AE24AC">
      <w:r>
        <w:rPr>
          <w:bCs/>
        </w:rPr>
        <w:t>3</w:t>
      </w:r>
      <w:r>
        <w:tab/>
        <w:t>Todo Estado Miembro, Miembro de Sector, Asociado o Institución Académica de la UIT consciente de la titularidad de una patente propia o ajena que pueda cubrir total o parcialmente los elementos de</w:t>
      </w:r>
      <w:r w:rsidR="00AE24AC">
        <w:t xml:space="preserve"> </w:t>
      </w:r>
      <w:r>
        <w:t>l</w:t>
      </w:r>
      <w:r w:rsidR="00AE24AC">
        <w:t>os</w:t>
      </w:r>
      <w:r>
        <w:t xml:space="preserve"> proyecto</w:t>
      </w:r>
      <w:r w:rsidR="00AE24AC">
        <w:t>s</w:t>
      </w:r>
      <w:r>
        <w:t xml:space="preserve"> de Recomendaci</w:t>
      </w:r>
      <w:r w:rsidR="00AE24AC">
        <w:t>o</w:t>
      </w:r>
      <w:r>
        <w:t>n</w:t>
      </w:r>
      <w:r w:rsidR="00AE24AC">
        <w:t>es</w:t>
      </w:r>
      <w:r>
        <w:t xml:space="preserve"> propuesto</w:t>
      </w:r>
      <w:r w:rsidR="00AE24AC">
        <w:t>s</w:t>
      </w:r>
      <w:r>
        <w:t xml:space="preserve"> para aprobación debe poner esa información en conocimiento de la TSB, de conformidad con la política sobre patentes del UIT</w:t>
      </w:r>
      <w:r>
        <w:noBreakHyphen/>
        <w:t>T/UIT</w:t>
      </w:r>
      <w:r w:rsidR="00611994">
        <w:noBreakHyphen/>
      </w:r>
      <w:r>
        <w:t>R/ISO/CEI.</w:t>
      </w:r>
    </w:p>
    <w:p w:rsidR="00C34772" w:rsidRDefault="00C34772" w:rsidP="00303D62">
      <w:r>
        <w:t>Puede accederse en línea a la información disponible sobre patentes a través del sitio Web del UIT</w:t>
      </w:r>
      <w:r>
        <w:noBreakHyphen/>
        <w:t>T (</w:t>
      </w:r>
      <w:hyperlink r:id="rId10" w:history="1">
        <w:r w:rsidR="00C36008" w:rsidRPr="0019796A">
          <w:rPr>
            <w:rStyle w:val="Hyperlink"/>
          </w:rPr>
          <w:t>www.itu.int</w:t>
        </w:r>
        <w:r w:rsidR="00C36008" w:rsidRPr="0019796A">
          <w:rPr>
            <w:rStyle w:val="Hyperlink"/>
          </w:rPr>
          <w:t>/</w:t>
        </w:r>
        <w:r w:rsidR="00C36008" w:rsidRPr="0019796A">
          <w:rPr>
            <w:rStyle w:val="Hyperlink"/>
          </w:rPr>
          <w:t>ITU-T/ipr/</w:t>
        </w:r>
      </w:hyperlink>
      <w:r>
        <w:t>).</w:t>
      </w:r>
    </w:p>
    <w:p w:rsidR="00C34772" w:rsidRDefault="00C34772" w:rsidP="00303D62"/>
    <w:p w:rsidR="00C34772" w:rsidRDefault="00C34772" w:rsidP="00AE24AC">
      <w:r>
        <w:rPr>
          <w:bCs/>
        </w:rPr>
        <w:br w:type="page"/>
      </w:r>
      <w:r>
        <w:rPr>
          <w:bCs/>
        </w:rPr>
        <w:lastRenderedPageBreak/>
        <w:t>4</w:t>
      </w:r>
      <w:r>
        <w:tab/>
        <w:t xml:space="preserve">Teniendo en cuenta las disposiciones de la Resolución 1, Sección 9, le agradecería que me comunicase </w:t>
      </w:r>
      <w:r>
        <w:rPr>
          <w:b/>
        </w:rPr>
        <w:t>antes</w:t>
      </w:r>
      <w:r>
        <w:t xml:space="preserve"> de las 24.00 horas UTC </w:t>
      </w:r>
      <w:r>
        <w:rPr>
          <w:b/>
        </w:rPr>
        <w:t xml:space="preserve">del </w:t>
      </w:r>
      <w:r w:rsidR="00775959">
        <w:rPr>
          <w:b/>
        </w:rPr>
        <w:t xml:space="preserve">25 de noviembre de 2011 </w:t>
      </w:r>
      <w:r>
        <w:t xml:space="preserve">si su Administración otorga a la Comisión de Estudio </w:t>
      </w:r>
      <w:r w:rsidR="00775959">
        <w:t xml:space="preserve">15 </w:t>
      </w:r>
      <w:r>
        <w:t>la autoridad necesaria para que durante su reunión puedan considerar la aprobación de est</w:t>
      </w:r>
      <w:r w:rsidR="00AE24AC">
        <w:t>os</w:t>
      </w:r>
      <w:r>
        <w:t xml:space="preserve"> proyecto</w:t>
      </w:r>
      <w:r w:rsidR="00AE24AC">
        <w:t>s</w:t>
      </w:r>
      <w:r w:rsidR="00775959">
        <w:t xml:space="preserve"> </w:t>
      </w:r>
      <w:r w:rsidR="00AE24AC">
        <w:t>de nuevas Recomendaciones</w:t>
      </w:r>
      <w:r>
        <w:t>.</w:t>
      </w:r>
    </w:p>
    <w:p w:rsidR="00C34772" w:rsidRDefault="00C34772" w:rsidP="00AE24AC">
      <w:r>
        <w:t>Si algunos Estados Miembros opinan que no puede procederse a considerar la aprobación, deben indicar sus razones de desaprobación así como los posibles cambios que facilitarían el nuevo examen y la aprobación de los proyectos</w:t>
      </w:r>
      <w:r w:rsidR="00AE24AC" w:rsidRPr="00AE24AC">
        <w:t xml:space="preserve"> </w:t>
      </w:r>
      <w:r w:rsidR="00AE24AC">
        <w:t>de nuevas Recomendaciones</w:t>
      </w:r>
      <w:r>
        <w:t>.</w:t>
      </w:r>
    </w:p>
    <w:p w:rsidR="00C34772" w:rsidRDefault="00C34772" w:rsidP="00AE24AC">
      <w:r>
        <w:rPr>
          <w:bCs/>
        </w:rPr>
        <w:t>5</w:t>
      </w:r>
      <w:r>
        <w:tab/>
        <w:t xml:space="preserve">Si el 70% como mínimo de las respuestas de los Estados Miembros están a favor de que se considere la aprobación de estos proyectos de </w:t>
      </w:r>
      <w:r w:rsidR="00AE24AC">
        <w:t>nuevas Recomendaciones</w:t>
      </w:r>
      <w:r w:rsidR="00611994">
        <w:t xml:space="preserve"> </w:t>
      </w:r>
      <w:r>
        <w:t xml:space="preserve">en la reunión de la Comisión de Estudio, </w:t>
      </w:r>
      <w:r>
        <w:rPr>
          <w:b/>
        </w:rPr>
        <w:t xml:space="preserve">el </w:t>
      </w:r>
      <w:r w:rsidR="00611994">
        <w:rPr>
          <w:b/>
        </w:rPr>
        <w:t>16 de diciembre de 2011</w:t>
      </w:r>
      <w:r>
        <w:rPr>
          <w:b/>
        </w:rPr>
        <w:t xml:space="preserve"> </w:t>
      </w:r>
      <w:r>
        <w:t xml:space="preserve">se dedicará una </w:t>
      </w:r>
      <w:r w:rsidR="00D54642">
        <w:t>Sesión Plenaria</w:t>
      </w:r>
      <w:r>
        <w:t xml:space="preserve"> a la aplicación del procedimiento de aprobación.</w:t>
      </w:r>
    </w:p>
    <w:p w:rsidR="00C34772" w:rsidRDefault="00C34772" w:rsidP="00D54642">
      <w:r>
        <w:t xml:space="preserve">Invito pues a su Administración a que envíe un representante a dicha reunión. Se invita a las </w:t>
      </w:r>
      <w:r>
        <w:rPr>
          <w:b/>
        </w:rPr>
        <w:t>Administraciones de los Estados Miembros de la Unión</w:t>
      </w:r>
      <w:r>
        <w:t xml:space="preserve"> a precisar el nombre de su Jefe de delegación. Si su Administración desea estar representada en esa reunión por una empresa de explotación reconocida, un organismo científico o industrial u otra entidad que se ocupe de cuestiones de telecomunicaciones, habrá de comunicarlo al Director de conformidad con lo dispuesto en el </w:t>
      </w:r>
      <w:r w:rsidR="00D54642">
        <w:t>A</w:t>
      </w:r>
      <w:r>
        <w:t>rtículo 19, número 239, del Convenio de la UIT.</w:t>
      </w:r>
    </w:p>
    <w:p w:rsidR="00C34772" w:rsidRDefault="00C34772" w:rsidP="00611994">
      <w:r>
        <w:rPr>
          <w:bCs/>
        </w:rPr>
        <w:t>6</w:t>
      </w:r>
      <w:r>
        <w:tab/>
        <w:t>El orden del día y toda la información pertinente sobre la reunión de la Comisión de Estudio</w:t>
      </w:r>
      <w:r w:rsidR="00611994">
        <w:t xml:space="preserve"> 15 </w:t>
      </w:r>
      <w:r>
        <w:t xml:space="preserve">figurarán en la Carta </w:t>
      </w:r>
      <w:r w:rsidR="00611994">
        <w:t>C</w:t>
      </w:r>
      <w:r>
        <w:t xml:space="preserve">olectiva </w:t>
      </w:r>
      <w:r w:rsidR="00611994">
        <w:t>8</w:t>
      </w:r>
      <w:r>
        <w:t>/</w:t>
      </w:r>
      <w:r w:rsidR="00611994">
        <w:t>15.</w:t>
      </w:r>
    </w:p>
    <w:p w:rsidR="00C34772" w:rsidRDefault="00C34772" w:rsidP="00AE24AC">
      <w:r>
        <w:rPr>
          <w:bCs/>
        </w:rPr>
        <w:t>7</w:t>
      </w:r>
      <w:r>
        <w:tab/>
        <w:t xml:space="preserve">Después de la reunión, el Director de la TSB notificará por </w:t>
      </w:r>
      <w:r w:rsidR="00AE24AC">
        <w:t>C</w:t>
      </w:r>
      <w:bookmarkStart w:id="4" w:name="_GoBack"/>
      <w:bookmarkEnd w:id="4"/>
      <w:r>
        <w:t>ircular la decisión tomada sobre estas Recomendaci</w:t>
      </w:r>
      <w:r w:rsidR="00611994">
        <w:t>o</w:t>
      </w:r>
      <w:r>
        <w:t>nes. Esta información se publicará también en el Boletín de Explotación de la UIT.</w:t>
      </w:r>
    </w:p>
    <w:p w:rsidR="00C34772" w:rsidRDefault="00C34772" w:rsidP="00B55A3E">
      <w:pPr>
        <w:ind w:right="92"/>
      </w:pPr>
      <w:r>
        <w:t>Le saluda muy atentamente</w:t>
      </w:r>
      <w:r w:rsidR="00B55A3E">
        <w:t>.</w:t>
      </w:r>
    </w:p>
    <w:p w:rsidR="00C34772" w:rsidRDefault="00C34772" w:rsidP="00303D62">
      <w:pPr>
        <w:spacing w:before="1701"/>
        <w:ind w:right="91"/>
      </w:pPr>
      <w:r w:rsidRPr="00B422BC">
        <w:t>Malcolm Johnson</w:t>
      </w:r>
      <w:r>
        <w:br/>
        <w:t>Director de la Oficina de</w:t>
      </w:r>
      <w:r>
        <w:br/>
        <w:t>Normalización de las Telecomunicaciones</w:t>
      </w:r>
    </w:p>
    <w:p w:rsidR="00C34772" w:rsidRDefault="00C34772" w:rsidP="00303D62">
      <w:pPr>
        <w:spacing w:before="400"/>
        <w:ind w:right="91"/>
      </w:pPr>
    </w:p>
    <w:p w:rsidR="00C34772" w:rsidRPr="008505BD" w:rsidRDefault="00C34772" w:rsidP="00303D62">
      <w:pPr>
        <w:rPr>
          <w:bCs/>
        </w:rPr>
      </w:pPr>
      <w:r>
        <w:rPr>
          <w:b/>
        </w:rPr>
        <w:t xml:space="preserve">Anexo: </w:t>
      </w:r>
      <w:r w:rsidR="00611994">
        <w:rPr>
          <w:b/>
        </w:rPr>
        <w:t>1</w:t>
      </w:r>
    </w:p>
    <w:p w:rsidR="0015328D" w:rsidRPr="00C36008" w:rsidRDefault="0015328D">
      <w:pPr>
        <w:tabs>
          <w:tab w:val="clear" w:pos="794"/>
          <w:tab w:val="clear" w:pos="1191"/>
          <w:tab w:val="clear" w:pos="1588"/>
          <w:tab w:val="clear" w:pos="1985"/>
        </w:tabs>
        <w:overflowPunct/>
        <w:autoSpaceDE/>
        <w:autoSpaceDN/>
        <w:adjustRightInd/>
        <w:spacing w:before="0"/>
        <w:textAlignment w:val="auto"/>
      </w:pPr>
      <w:r w:rsidRPr="00C36008">
        <w:br w:type="page"/>
      </w:r>
    </w:p>
    <w:p w:rsidR="0015328D" w:rsidRPr="0015328D" w:rsidRDefault="0015328D" w:rsidP="0015328D">
      <w:pPr>
        <w:pStyle w:val="Annex"/>
      </w:pPr>
      <w:r w:rsidRPr="0015328D">
        <w:t>ANEXO 1</w:t>
      </w:r>
      <w:r w:rsidRPr="0015328D">
        <w:br/>
        <w:t>(</w:t>
      </w:r>
      <w:r w:rsidRPr="0015328D">
        <w:rPr>
          <w:caps w:val="0"/>
        </w:rPr>
        <w:t xml:space="preserve">a la </w:t>
      </w:r>
      <w:r>
        <w:rPr>
          <w:caps w:val="0"/>
        </w:rPr>
        <w:t>C</w:t>
      </w:r>
      <w:r w:rsidRPr="0015328D">
        <w:rPr>
          <w:caps w:val="0"/>
        </w:rPr>
        <w:t xml:space="preserve">ircular </w:t>
      </w:r>
      <w:r w:rsidRPr="0015328D">
        <w:t>TSB 203)</w:t>
      </w:r>
    </w:p>
    <w:p w:rsidR="0015328D" w:rsidRPr="0015328D" w:rsidRDefault="0015328D" w:rsidP="0015328D">
      <w:pPr>
        <w:pStyle w:val="AnnexTitle"/>
        <w:rPr>
          <w:szCs w:val="24"/>
        </w:rPr>
      </w:pPr>
      <w:r w:rsidRPr="00DC5553">
        <w:rPr>
          <w:lang w:val="es-ES"/>
        </w:rPr>
        <w:t>Resumen y ubicación de los textos</w:t>
      </w:r>
    </w:p>
    <w:p w:rsidR="0015328D" w:rsidRPr="0015328D" w:rsidRDefault="0015328D" w:rsidP="0015328D">
      <w:pPr>
        <w:spacing w:before="360"/>
        <w:rPr>
          <w:b/>
          <w:bCs/>
          <w:sz w:val="28"/>
          <w:szCs w:val="28"/>
        </w:rPr>
      </w:pPr>
      <w:r w:rsidRPr="0015328D">
        <w:rPr>
          <w:b/>
          <w:bCs/>
          <w:szCs w:val="24"/>
        </w:rPr>
        <w:t xml:space="preserve">Proyecto de nueva Recomendación UIT-T G.9980 (ex. </w:t>
      </w:r>
      <w:proofErr w:type="spellStart"/>
      <w:r w:rsidRPr="0015328D">
        <w:rPr>
          <w:b/>
          <w:bCs/>
          <w:szCs w:val="24"/>
        </w:rPr>
        <w:t>G.cwmp</w:t>
      </w:r>
      <w:proofErr w:type="spellEnd"/>
      <w:r w:rsidRPr="0015328D">
        <w:rPr>
          <w:b/>
          <w:bCs/>
          <w:szCs w:val="24"/>
        </w:rPr>
        <w:t>), Gestión remota del equipo en las instalaciones del cliente por redes de banda ancha – Protocolo de gestión de equipos en las instalaciones del cliente en redes de área extensa</w:t>
      </w:r>
      <w:r w:rsidR="00A650F4">
        <w:rPr>
          <w:b/>
          <w:bCs/>
          <w:szCs w:val="24"/>
        </w:rPr>
        <w:t xml:space="preserve"> </w:t>
      </w:r>
      <w:r w:rsidRPr="0015328D">
        <w:rPr>
          <w:b/>
          <w:bCs/>
          <w:szCs w:val="24"/>
        </w:rPr>
        <w:t xml:space="preserve">(CPE WAN Management </w:t>
      </w:r>
      <w:proofErr w:type="spellStart"/>
      <w:r w:rsidRPr="0015328D">
        <w:rPr>
          <w:b/>
          <w:bCs/>
          <w:szCs w:val="24"/>
        </w:rPr>
        <w:t>Protocol</w:t>
      </w:r>
      <w:proofErr w:type="spellEnd"/>
      <w:r w:rsidRPr="0015328D">
        <w:rPr>
          <w:b/>
          <w:bCs/>
          <w:szCs w:val="24"/>
        </w:rPr>
        <w:t>, CWMP)</w:t>
      </w:r>
      <w:r>
        <w:rPr>
          <w:b/>
          <w:bCs/>
          <w:szCs w:val="24"/>
        </w:rPr>
        <w:t xml:space="preserve"> </w:t>
      </w:r>
      <w:r w:rsidRPr="0015328D">
        <w:rPr>
          <w:b/>
          <w:bCs/>
          <w:szCs w:val="24"/>
        </w:rPr>
        <w:t>COM 15 – R 20</w:t>
      </w:r>
    </w:p>
    <w:p w:rsidR="0015328D" w:rsidRPr="0015328D" w:rsidRDefault="0015328D" w:rsidP="0015328D">
      <w:pPr>
        <w:rPr>
          <w:b/>
        </w:rPr>
      </w:pPr>
      <w:r w:rsidRPr="0015328D">
        <w:rPr>
          <w:b/>
        </w:rPr>
        <w:t>Resumen</w:t>
      </w:r>
    </w:p>
    <w:p w:rsidR="0015328D" w:rsidRPr="0015328D" w:rsidRDefault="0015328D" w:rsidP="0015328D">
      <w:r w:rsidRPr="00DC5553">
        <w:rPr>
          <w:lang w:val="es-ES"/>
        </w:rPr>
        <w:t>En esta Recomendación se definen los requisitos para la gestión remota de dispositivos en red situados en el hogar del cliente, por parte del proveedor de servicio. Contiene una descripción general de las referencias normativas necesarias para un conjunto de especificaciones técnicas. Describe la relación entre las distintas especificaciones técnicas de este conjunto. En las cláusulas 3 y 4 se incluye un glosario de términos y definiciones utilizados en las especificaciones técnicas.</w:t>
      </w:r>
    </w:p>
    <w:p w:rsidR="0015328D" w:rsidRPr="0015328D" w:rsidRDefault="0015328D" w:rsidP="0015328D">
      <w:pPr>
        <w:spacing w:before="240"/>
        <w:rPr>
          <w:b/>
          <w:bCs/>
          <w:sz w:val="28"/>
          <w:szCs w:val="28"/>
        </w:rPr>
      </w:pPr>
      <w:r w:rsidRPr="0015328D">
        <w:rPr>
          <w:b/>
          <w:bCs/>
          <w:szCs w:val="24"/>
        </w:rPr>
        <w:t xml:space="preserve">Proyecto de nueva Recomendación UIT-T G.9955 (ex. </w:t>
      </w:r>
      <w:proofErr w:type="spellStart"/>
      <w:r w:rsidRPr="0015328D">
        <w:rPr>
          <w:b/>
          <w:bCs/>
          <w:szCs w:val="24"/>
        </w:rPr>
        <w:t>G.hnem</w:t>
      </w:r>
      <w:proofErr w:type="spellEnd"/>
      <w:r w:rsidRPr="0015328D">
        <w:rPr>
          <w:b/>
          <w:bCs/>
          <w:szCs w:val="24"/>
        </w:rPr>
        <w:t>), Transceptores de comunicación por la línea eléctrica de banda estrecha con modulación por división de frecuencia ortogonal (MDFO) – Especificación de la capa física</w:t>
      </w:r>
      <w:r w:rsidRPr="0015328D">
        <w:rPr>
          <w:b/>
          <w:bCs/>
          <w:szCs w:val="24"/>
        </w:rPr>
        <w:br/>
        <w:t>COM 15 – R 21</w:t>
      </w:r>
    </w:p>
    <w:p w:rsidR="0015328D" w:rsidRPr="0015328D" w:rsidRDefault="0015328D" w:rsidP="0015328D">
      <w:pPr>
        <w:rPr>
          <w:b/>
        </w:rPr>
      </w:pPr>
      <w:r w:rsidRPr="0015328D">
        <w:rPr>
          <w:b/>
        </w:rPr>
        <w:t>Resumen</w:t>
      </w:r>
    </w:p>
    <w:p w:rsidR="0015328D" w:rsidRPr="0015328D" w:rsidRDefault="0015328D" w:rsidP="0015328D">
      <w:r w:rsidRPr="0015328D">
        <w:t>En esta Recomendación se especifica la capa física para los transceptores de comunicaciones por la línea eléctrica de banda estrecha con modulación por división de frecuencia ortogonal (MDFO)</w:t>
      </w:r>
      <w:r w:rsidR="00A650F4">
        <w:t xml:space="preserve"> </w:t>
      </w:r>
      <w:r w:rsidRPr="0015328D">
        <w:t xml:space="preserve">mediante líneas de corriente alterna y continua a frecuencias inferiores a 500 </w:t>
      </w:r>
      <w:proofErr w:type="spellStart"/>
      <w:r w:rsidRPr="0015328D">
        <w:t>kHz</w:t>
      </w:r>
      <w:proofErr w:type="spellEnd"/>
      <w:r w:rsidRPr="0015328D">
        <w:t xml:space="preserve">. Esta Recomendación permite las comunicaciones en interiores y exteriores por líneas de tensión baja y media, mediante transformadores de baja a media tensión y transformadores de media a baja tensión en comunicaciones rurales urbanas y de larga distancia. Esta Recomendación se contemplan aplicaciones de medición en la red de distribución, infraestructura de medición avanzada (IMA) y otras aplicaciones de la red inteligente de distribución de energía eléctrica, tales como comunicaciones del vehículo eléctrico a la estación de carga, la </w:t>
      </w:r>
      <w:proofErr w:type="spellStart"/>
      <w:r w:rsidRPr="0015328D">
        <w:t>domótica</w:t>
      </w:r>
      <w:proofErr w:type="spellEnd"/>
      <w:r w:rsidRPr="0015328D">
        <w:t xml:space="preserve"> y otros tipos de comunicación en las redes de área residencial (HAN).</w:t>
      </w:r>
    </w:p>
    <w:p w:rsidR="0015328D" w:rsidRPr="0015328D" w:rsidRDefault="0015328D" w:rsidP="0015328D">
      <w:pPr>
        <w:spacing w:before="240"/>
        <w:rPr>
          <w:b/>
          <w:bCs/>
          <w:szCs w:val="24"/>
        </w:rPr>
      </w:pPr>
      <w:r w:rsidRPr="0015328D">
        <w:rPr>
          <w:b/>
          <w:bCs/>
          <w:szCs w:val="24"/>
        </w:rPr>
        <w:t xml:space="preserve">Proyecto de nueva Recomendación UIT-T G.8113.1 (ex. </w:t>
      </w:r>
      <w:proofErr w:type="spellStart"/>
      <w:r w:rsidRPr="0015328D">
        <w:rPr>
          <w:b/>
          <w:bCs/>
          <w:szCs w:val="24"/>
        </w:rPr>
        <w:t>G.tpoam</w:t>
      </w:r>
      <w:proofErr w:type="spellEnd"/>
      <w:r w:rsidRPr="0015328D">
        <w:rPr>
          <w:b/>
          <w:bCs/>
          <w:szCs w:val="24"/>
        </w:rPr>
        <w:t xml:space="preserve">, </w:t>
      </w:r>
      <w:proofErr w:type="spellStart"/>
      <w:r w:rsidRPr="0015328D">
        <w:rPr>
          <w:b/>
          <w:bCs/>
          <w:szCs w:val="24"/>
        </w:rPr>
        <w:t>G.mplstpoam</w:t>
      </w:r>
      <w:proofErr w:type="spellEnd"/>
      <w:r w:rsidRPr="0015328D">
        <w:rPr>
          <w:b/>
          <w:bCs/>
          <w:szCs w:val="24"/>
        </w:rPr>
        <w:t>), Mecanismos de operación, administración y mantenimiento para el perfil de transporte de las redes con conmutación por etiquetas multiprotocolo (MPLS-TP) en la red de transporte por paquetes (PTN)</w:t>
      </w:r>
      <w:r w:rsidRPr="0015328D">
        <w:rPr>
          <w:b/>
          <w:bCs/>
          <w:szCs w:val="24"/>
        </w:rPr>
        <w:br/>
        <w:t>COM 15 – R 22</w:t>
      </w:r>
    </w:p>
    <w:p w:rsidR="0015328D" w:rsidRPr="0015328D" w:rsidRDefault="0015328D" w:rsidP="0015328D">
      <w:pPr>
        <w:rPr>
          <w:rFonts w:eastAsia="MS Mincho"/>
          <w:b/>
          <w:lang w:eastAsia="ja-JP"/>
        </w:rPr>
      </w:pPr>
      <w:r w:rsidRPr="0015328D">
        <w:rPr>
          <w:rFonts w:eastAsia="MS Mincho"/>
          <w:b/>
        </w:rPr>
        <w:t>Resumen</w:t>
      </w:r>
    </w:p>
    <w:p w:rsidR="0015328D" w:rsidRPr="00DC5553" w:rsidRDefault="0015328D" w:rsidP="0015328D">
      <w:pPr>
        <w:rPr>
          <w:lang w:val="es-ES"/>
        </w:rPr>
      </w:pPr>
      <w:r w:rsidRPr="00DC5553">
        <w:rPr>
          <w:lang w:val="es-ES"/>
        </w:rPr>
        <w:t>La Recomendación UIT-T G.8113.1 especifica los mecanismos para operaciones, administración y mantenimiento (OAM) del plano de usuario en las redes MPLS-TP con el fin de cumplir los requisitos de OAM del MPLS-TP definidos en la [IETF RFC 5860]. También se especifican los formatos de los paquetes MPLS-TP OAM y la sintaxis y la semántica de los campos de los paquetes MPLS-TP OAM.</w:t>
      </w:r>
    </w:p>
    <w:p w:rsidR="0015328D" w:rsidRPr="00DC5553" w:rsidRDefault="0015328D" w:rsidP="0015328D">
      <w:pPr>
        <w:rPr>
          <w:lang w:val="es-ES"/>
        </w:rPr>
      </w:pPr>
      <w:r w:rsidRPr="00DC5553">
        <w:rPr>
          <w:lang w:val="es-ES"/>
        </w:rPr>
        <w:t>Los mecanismos de OAM definidos en esta Recomendación efectúan el reenvío común de paquetes de usuario MPLS-TP y paquetes MPLS-TP OAM. En las redes de transporte, el trayecto de retorno OAM siempre está dentro de la banda.</w:t>
      </w:r>
    </w:p>
    <w:p w:rsidR="0015328D" w:rsidRDefault="0015328D">
      <w:pPr>
        <w:tabs>
          <w:tab w:val="clear" w:pos="794"/>
          <w:tab w:val="clear" w:pos="1191"/>
          <w:tab w:val="clear" w:pos="1588"/>
          <w:tab w:val="clear" w:pos="1985"/>
        </w:tabs>
        <w:overflowPunct/>
        <w:autoSpaceDE/>
        <w:autoSpaceDN/>
        <w:adjustRightInd/>
        <w:spacing w:before="0"/>
        <w:textAlignment w:val="auto"/>
        <w:rPr>
          <w:lang w:val="es-ES"/>
        </w:rPr>
      </w:pPr>
      <w:r>
        <w:rPr>
          <w:lang w:val="es-ES"/>
        </w:rPr>
        <w:br w:type="page"/>
      </w:r>
    </w:p>
    <w:p w:rsidR="0015328D" w:rsidRPr="00DC5553" w:rsidRDefault="0015328D" w:rsidP="0015328D">
      <w:pPr>
        <w:rPr>
          <w:lang w:val="es-ES"/>
        </w:rPr>
      </w:pPr>
      <w:r w:rsidRPr="00DC5553">
        <w:rPr>
          <w:lang w:val="es-ES"/>
        </w:rPr>
        <w:t>Los mecanismos MPLS-TP OAM que se describen en esta Recomendación se aplican a conexiones</w:t>
      </w:r>
      <w:r w:rsidR="00A650F4">
        <w:rPr>
          <w:lang w:val="es-ES"/>
        </w:rPr>
        <w:t xml:space="preserve"> </w:t>
      </w:r>
      <w:r w:rsidRPr="00DC5553">
        <w:rPr>
          <w:lang w:val="es-ES"/>
        </w:rPr>
        <w:t>MPLS-TP punto a punto bidireccionales en la misma ruta. En una versión futura de esta Recomendación se describirán las conexiones MPLS-TP punto a punto y punto a punto unidireccionales.</w:t>
      </w:r>
    </w:p>
    <w:p w:rsidR="0015328D" w:rsidRDefault="0015328D" w:rsidP="0015328D">
      <w:pPr>
        <w:rPr>
          <w:lang w:val="es-ES"/>
        </w:rPr>
      </w:pPr>
      <w:r w:rsidRPr="00DC5553">
        <w:rPr>
          <w:lang w:val="es-ES"/>
        </w:rPr>
        <w:t>Esta Recomendación está en consonancia con el perfil de transporte de MPLS definido por el IETF.</w:t>
      </w:r>
      <w:r w:rsidR="00A650F4">
        <w:rPr>
          <w:lang w:val="es-ES"/>
        </w:rPr>
        <w:t xml:space="preserve"> </w:t>
      </w:r>
      <w:r w:rsidRPr="00DC5553">
        <w:rPr>
          <w:lang w:val="es-ES"/>
        </w:rPr>
        <w:t>En caso de discrepancia entre la presente Recomendación y las RFC del IETF citadas como referencia normativa, en lo que respecta a la arquitectura, marco y protocolos relacionados con el MPLS-TP, prevalecerán las RFC.</w:t>
      </w:r>
    </w:p>
    <w:p w:rsidR="0015328D" w:rsidRDefault="0015328D" w:rsidP="0015328D">
      <w:pPr>
        <w:rPr>
          <w:lang w:val="es-ES"/>
        </w:rPr>
      </w:pPr>
    </w:p>
    <w:p w:rsidR="0015328D" w:rsidRDefault="0015328D">
      <w:pPr>
        <w:jc w:val="center"/>
      </w:pPr>
      <w:r>
        <w:t>______________</w:t>
      </w:r>
    </w:p>
    <w:p w:rsidR="0015328D" w:rsidRPr="0015328D" w:rsidRDefault="0015328D" w:rsidP="0015328D"/>
    <w:sectPr w:rsidR="0015328D" w:rsidRPr="0015328D" w:rsidSect="00800A58">
      <w:headerReference w:type="default" r:id="rId11"/>
      <w:footerReference w:type="default" r:id="rId12"/>
      <w:footerReference w:type="first" r:id="rId13"/>
      <w:pgSz w:w="11907" w:h="16840" w:code="9"/>
      <w:pgMar w:top="1134" w:right="1134" w:bottom="1134" w:left="1134" w:header="567" w:footer="567" w:gutter="0"/>
      <w:paperSrc w:first="261" w:other="26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0045" w:rsidRDefault="005F0045">
      <w:r>
        <w:separator/>
      </w:r>
    </w:p>
  </w:endnote>
  <w:endnote w:type="continuationSeparator" w:id="0">
    <w:p w:rsidR="005F0045" w:rsidRDefault="005F00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Arial"/>
    <w:panose1 w:val="020B0402020204020303"/>
    <w:charset w:val="00"/>
    <w:family w:val="swiss"/>
    <w:pitch w:val="variable"/>
    <w:sig w:usb0="00000087" w:usb1="00000000" w:usb2="00000000" w:usb3="00000000" w:csb0="0000001B" w:csb1="00000000"/>
  </w:font>
  <w:font w:name="Verdana">
    <w:panose1 w:val="020B0604030504040204"/>
    <w:charset w:val="00"/>
    <w:family w:val="swiss"/>
    <w:pitch w:val="variable"/>
    <w:sig w:usb0="20000287" w:usb1="00000000"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宋体">
    <w:altName w:val="Times New Roman"/>
    <w:panose1 w:val="00000000000000000000"/>
    <w:charset w:val="4D"/>
    <w:family w:val="roman"/>
    <w:notTrueType/>
    <w:pitch w:val="default"/>
    <w:sig w:usb0="00000000" w:usb1="0A02889C" w:usb2="00000015" w:usb3="0D07859C" w:csb0="3D78AF95" w:csb1="0D07862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045" w:rsidRPr="00C36008" w:rsidRDefault="00E53DD6" w:rsidP="00E53DD6">
    <w:pPr>
      <w:pStyle w:val="Footer"/>
      <w:rPr>
        <w:lang w:val="fr-CH"/>
      </w:rPr>
    </w:pPr>
    <w:r>
      <w:rPr>
        <w:sz w:val="16"/>
        <w:lang w:val="fr-CH"/>
      </w:rPr>
      <w:t>ITU-T\BUREAU\CIRC\203S.DOC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CellMar>
        <w:left w:w="107" w:type="dxa"/>
        <w:right w:w="107" w:type="dxa"/>
      </w:tblCellMar>
      <w:tblLook w:val="0000"/>
    </w:tblPr>
    <w:tblGrid>
      <w:gridCol w:w="1985"/>
      <w:gridCol w:w="3119"/>
      <w:gridCol w:w="2374"/>
      <w:gridCol w:w="2304"/>
    </w:tblGrid>
    <w:tr w:rsidR="005F0045" w:rsidRPr="003D673B">
      <w:tc>
        <w:tcPr>
          <w:tcW w:w="1985" w:type="dxa"/>
          <w:tcBorders>
            <w:top w:val="single" w:sz="6" w:space="0" w:color="auto"/>
            <w:left w:val="nil"/>
            <w:bottom w:val="nil"/>
            <w:right w:val="nil"/>
          </w:tcBorders>
        </w:tcPr>
        <w:p w:rsidR="005F0045" w:rsidRDefault="005F0045">
          <w:pPr>
            <w:pStyle w:val="FirstFooter"/>
            <w:spacing w:before="40"/>
            <w:rPr>
              <w:rFonts w:ascii="Futura Lt BT" w:hAnsi="Futura Lt BT"/>
            </w:rPr>
          </w:pPr>
          <w:r>
            <w:rPr>
              <w:rFonts w:ascii="Futura Lt BT" w:hAnsi="Futura Lt BT"/>
            </w:rPr>
            <w:t xml:space="preserve">Place des </w:t>
          </w:r>
          <w:proofErr w:type="spellStart"/>
          <w:r>
            <w:rPr>
              <w:rFonts w:ascii="Futura Lt BT" w:hAnsi="Futura Lt BT"/>
            </w:rPr>
            <w:t>Nations</w:t>
          </w:r>
          <w:proofErr w:type="spellEnd"/>
        </w:p>
      </w:tc>
      <w:tc>
        <w:tcPr>
          <w:tcW w:w="3119" w:type="dxa"/>
          <w:tcBorders>
            <w:top w:val="single" w:sz="6" w:space="0" w:color="auto"/>
            <w:left w:val="nil"/>
            <w:bottom w:val="nil"/>
            <w:right w:val="nil"/>
          </w:tcBorders>
        </w:tcPr>
        <w:p w:rsidR="005F0045" w:rsidRDefault="005F0045">
          <w:pPr>
            <w:pStyle w:val="FirstFooter"/>
            <w:tabs>
              <w:tab w:val="left" w:pos="709"/>
              <w:tab w:val="left" w:pos="1134"/>
            </w:tabs>
            <w:spacing w:before="40"/>
            <w:rPr>
              <w:rFonts w:ascii="Futura Lt BT" w:hAnsi="Futura Lt BT"/>
            </w:rPr>
          </w:pPr>
          <w:r>
            <w:rPr>
              <w:rFonts w:ascii="Futura Lt BT" w:hAnsi="Futura Lt BT"/>
            </w:rPr>
            <w:t xml:space="preserve">Teléfono </w:t>
          </w:r>
          <w:r>
            <w:rPr>
              <w:rFonts w:ascii="Futura Lt BT" w:hAnsi="Futura Lt BT"/>
            </w:rPr>
            <w:tab/>
          </w:r>
          <w:r>
            <w:rPr>
              <w:rFonts w:ascii="Futura Lt BT" w:hAnsi="Futura Lt BT"/>
            </w:rPr>
            <w:tab/>
            <w:t>+41 22 730 51 11</w:t>
          </w:r>
        </w:p>
      </w:tc>
      <w:tc>
        <w:tcPr>
          <w:tcW w:w="2374" w:type="dxa"/>
          <w:tcBorders>
            <w:top w:val="single" w:sz="6" w:space="0" w:color="auto"/>
            <w:left w:val="nil"/>
            <w:bottom w:val="nil"/>
            <w:right w:val="nil"/>
          </w:tcBorders>
        </w:tcPr>
        <w:p w:rsidR="005F0045" w:rsidRDefault="005F0045">
          <w:pPr>
            <w:pStyle w:val="FirstFooter"/>
            <w:spacing w:before="40"/>
            <w:rPr>
              <w:rFonts w:ascii="Futura Lt BT" w:hAnsi="Futura Lt BT"/>
            </w:rPr>
          </w:pPr>
          <w:r>
            <w:rPr>
              <w:rFonts w:ascii="Futura Lt BT" w:hAnsi="Futura Lt BT"/>
            </w:rPr>
            <w:t xml:space="preserve">Télex 421 000 </w:t>
          </w:r>
          <w:proofErr w:type="spellStart"/>
          <w:r>
            <w:rPr>
              <w:rFonts w:ascii="Futura Lt BT" w:hAnsi="Futura Lt BT"/>
            </w:rPr>
            <w:t>uit</w:t>
          </w:r>
          <w:proofErr w:type="spellEnd"/>
          <w:r>
            <w:rPr>
              <w:rFonts w:ascii="Futura Lt BT" w:hAnsi="Futura Lt BT"/>
            </w:rPr>
            <w:t xml:space="preserve"> ch</w:t>
          </w:r>
        </w:p>
      </w:tc>
      <w:tc>
        <w:tcPr>
          <w:tcW w:w="2304" w:type="dxa"/>
          <w:tcBorders>
            <w:top w:val="single" w:sz="6" w:space="0" w:color="auto"/>
            <w:left w:val="nil"/>
            <w:bottom w:val="nil"/>
            <w:right w:val="nil"/>
          </w:tcBorders>
        </w:tcPr>
        <w:p w:rsidR="005F0045" w:rsidRDefault="005F0045" w:rsidP="008505BD">
          <w:pPr>
            <w:pStyle w:val="FirstFooter"/>
            <w:tabs>
              <w:tab w:val="left" w:pos="886"/>
            </w:tabs>
            <w:spacing w:before="40"/>
            <w:rPr>
              <w:rFonts w:ascii="Futura Lt BT" w:hAnsi="Futura Lt BT"/>
            </w:rPr>
          </w:pPr>
          <w:r>
            <w:rPr>
              <w:rFonts w:ascii="Futura Lt BT" w:hAnsi="Futura Lt BT"/>
            </w:rPr>
            <w:t>Correo-e:</w:t>
          </w:r>
          <w:r>
            <w:rPr>
              <w:rFonts w:ascii="Futura Lt BT" w:hAnsi="Futura Lt BT"/>
            </w:rPr>
            <w:tab/>
            <w:t>itumail@itu.int</w:t>
          </w:r>
        </w:p>
      </w:tc>
    </w:tr>
    <w:tr w:rsidR="005F0045">
      <w:tc>
        <w:tcPr>
          <w:tcW w:w="1985" w:type="dxa"/>
        </w:tcPr>
        <w:p w:rsidR="005F0045" w:rsidRDefault="005F0045">
          <w:pPr>
            <w:pStyle w:val="FirstFooter"/>
            <w:rPr>
              <w:rFonts w:ascii="Futura Lt BT" w:hAnsi="Futura Lt BT"/>
            </w:rPr>
          </w:pPr>
          <w:r>
            <w:rPr>
              <w:rFonts w:ascii="Futura Lt BT" w:hAnsi="Futura Lt BT"/>
            </w:rPr>
            <w:t>CH-1211 Ginebra 20</w:t>
          </w:r>
        </w:p>
      </w:tc>
      <w:tc>
        <w:tcPr>
          <w:tcW w:w="3119" w:type="dxa"/>
        </w:tcPr>
        <w:p w:rsidR="005F0045" w:rsidRDefault="005F0045">
          <w:pPr>
            <w:pStyle w:val="FirstFooter"/>
            <w:tabs>
              <w:tab w:val="left" w:pos="709"/>
              <w:tab w:val="left" w:pos="1134"/>
            </w:tabs>
            <w:rPr>
              <w:rFonts w:ascii="Futura Lt BT" w:hAnsi="Futura Lt BT"/>
            </w:rPr>
          </w:pPr>
          <w:r>
            <w:rPr>
              <w:rFonts w:ascii="Futura Lt BT" w:hAnsi="Futura Lt BT"/>
            </w:rPr>
            <w:t>Telefax</w:t>
          </w:r>
          <w:r>
            <w:rPr>
              <w:rFonts w:ascii="Futura Lt BT" w:hAnsi="Futura Lt BT"/>
            </w:rPr>
            <w:tab/>
            <w:t>Gr3:</w:t>
          </w:r>
          <w:r>
            <w:rPr>
              <w:rFonts w:ascii="Futura Lt BT" w:hAnsi="Futura Lt BT"/>
            </w:rPr>
            <w:tab/>
            <w:t>+41 22 733 72 56</w:t>
          </w:r>
        </w:p>
      </w:tc>
      <w:tc>
        <w:tcPr>
          <w:tcW w:w="2374" w:type="dxa"/>
        </w:tcPr>
        <w:p w:rsidR="005F0045" w:rsidRDefault="005F0045">
          <w:pPr>
            <w:pStyle w:val="FirstFooter"/>
            <w:rPr>
              <w:rFonts w:ascii="Futura Lt BT" w:hAnsi="Futura Lt BT"/>
            </w:rPr>
          </w:pPr>
          <w:r>
            <w:rPr>
              <w:rFonts w:ascii="Futura Lt BT" w:hAnsi="Futura Lt BT"/>
            </w:rPr>
            <w:t>Telegrama ITU GENEVE</w:t>
          </w:r>
        </w:p>
      </w:tc>
      <w:tc>
        <w:tcPr>
          <w:tcW w:w="2304" w:type="dxa"/>
        </w:tcPr>
        <w:p w:rsidR="005F0045" w:rsidRDefault="005F0045" w:rsidP="008505BD">
          <w:pPr>
            <w:pStyle w:val="FirstFooter"/>
            <w:tabs>
              <w:tab w:val="right" w:pos="1956"/>
            </w:tabs>
            <w:ind w:right="70"/>
            <w:rPr>
              <w:rFonts w:ascii="Futura Lt BT" w:hAnsi="Futura Lt BT"/>
            </w:rPr>
          </w:pPr>
          <w:r>
            <w:rPr>
              <w:rFonts w:ascii="Futura Lt BT" w:hAnsi="Futura Lt BT"/>
            </w:rPr>
            <w:tab/>
            <w:t>www.itu.int</w:t>
          </w:r>
        </w:p>
      </w:tc>
    </w:tr>
    <w:tr w:rsidR="005F0045">
      <w:tc>
        <w:tcPr>
          <w:tcW w:w="1985" w:type="dxa"/>
        </w:tcPr>
        <w:p w:rsidR="005F0045" w:rsidRDefault="005F0045">
          <w:pPr>
            <w:pStyle w:val="FirstFooter"/>
            <w:rPr>
              <w:rFonts w:ascii="Futura Lt BT" w:hAnsi="Futura Lt BT"/>
            </w:rPr>
          </w:pPr>
          <w:r>
            <w:rPr>
              <w:rFonts w:ascii="Futura Lt BT" w:hAnsi="Futura Lt BT"/>
            </w:rPr>
            <w:t>Suiza</w:t>
          </w:r>
        </w:p>
      </w:tc>
      <w:tc>
        <w:tcPr>
          <w:tcW w:w="3119" w:type="dxa"/>
        </w:tcPr>
        <w:p w:rsidR="005F0045" w:rsidRDefault="005F0045">
          <w:pPr>
            <w:pStyle w:val="FirstFooter"/>
            <w:tabs>
              <w:tab w:val="left" w:pos="709"/>
              <w:tab w:val="left" w:pos="1134"/>
            </w:tabs>
            <w:rPr>
              <w:rFonts w:ascii="Futura Lt BT" w:hAnsi="Futura Lt BT"/>
            </w:rPr>
          </w:pPr>
          <w:r>
            <w:rPr>
              <w:rFonts w:ascii="Futura Lt BT" w:hAnsi="Futura Lt BT"/>
            </w:rPr>
            <w:tab/>
            <w:t>Gr4:</w:t>
          </w:r>
          <w:r>
            <w:rPr>
              <w:rFonts w:ascii="Futura Lt BT" w:hAnsi="Futura Lt BT"/>
            </w:rPr>
            <w:tab/>
            <w:t>+41 22 730 65 00</w:t>
          </w:r>
        </w:p>
      </w:tc>
      <w:tc>
        <w:tcPr>
          <w:tcW w:w="2374" w:type="dxa"/>
        </w:tcPr>
        <w:p w:rsidR="005F0045" w:rsidRDefault="005F0045">
          <w:pPr>
            <w:pStyle w:val="FirstFooter"/>
            <w:rPr>
              <w:rFonts w:ascii="Futura Lt BT" w:hAnsi="Futura Lt BT"/>
            </w:rPr>
          </w:pPr>
        </w:p>
      </w:tc>
      <w:tc>
        <w:tcPr>
          <w:tcW w:w="2304" w:type="dxa"/>
        </w:tcPr>
        <w:p w:rsidR="005F0045" w:rsidRDefault="005F0045">
          <w:pPr>
            <w:pStyle w:val="FirstFooter"/>
            <w:rPr>
              <w:rFonts w:ascii="Futura Lt BT" w:hAnsi="Futura Lt BT"/>
            </w:rPr>
          </w:pPr>
        </w:p>
      </w:tc>
    </w:tr>
  </w:tbl>
  <w:p w:rsidR="005F0045" w:rsidRDefault="005F0045" w:rsidP="008505BD">
    <w:pPr>
      <w:pStyle w:val="Footer"/>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0045" w:rsidRDefault="005F0045">
      <w:r>
        <w:t>____________________</w:t>
      </w:r>
    </w:p>
  </w:footnote>
  <w:footnote w:type="continuationSeparator" w:id="0">
    <w:p w:rsidR="005F0045" w:rsidRDefault="005F00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0045" w:rsidRPr="00303D62" w:rsidRDefault="005F0045">
    <w:pPr>
      <w:pStyle w:val="Header"/>
      <w:rPr>
        <w:sz w:val="18"/>
        <w:szCs w:val="18"/>
      </w:rPr>
    </w:pPr>
    <w:r w:rsidRPr="00303D62">
      <w:rPr>
        <w:sz w:val="18"/>
        <w:szCs w:val="18"/>
      </w:rPr>
      <w:t xml:space="preserve">- </w:t>
    </w:r>
    <w:r w:rsidR="00C344B5" w:rsidRPr="00303D62">
      <w:rPr>
        <w:rStyle w:val="PageNumber"/>
        <w:sz w:val="18"/>
        <w:szCs w:val="18"/>
      </w:rPr>
      <w:fldChar w:fldCharType="begin"/>
    </w:r>
    <w:r w:rsidRPr="00303D62">
      <w:rPr>
        <w:rStyle w:val="PageNumber"/>
        <w:sz w:val="18"/>
        <w:szCs w:val="18"/>
      </w:rPr>
      <w:instrText xml:space="preserve"> PAGE </w:instrText>
    </w:r>
    <w:r w:rsidR="00C344B5" w:rsidRPr="00303D62">
      <w:rPr>
        <w:rStyle w:val="PageNumber"/>
        <w:sz w:val="18"/>
        <w:szCs w:val="18"/>
      </w:rPr>
      <w:fldChar w:fldCharType="separate"/>
    </w:r>
    <w:r w:rsidR="00C36008">
      <w:rPr>
        <w:rStyle w:val="PageNumber"/>
        <w:noProof/>
        <w:sz w:val="18"/>
        <w:szCs w:val="18"/>
      </w:rPr>
      <w:t>4</w:t>
    </w:r>
    <w:r w:rsidR="00C344B5" w:rsidRPr="00303D62">
      <w:rPr>
        <w:rStyle w:val="PageNumber"/>
        <w:sz w:val="18"/>
        <w:szCs w:val="18"/>
      </w:rPr>
      <w:fldChar w:fldCharType="end"/>
    </w:r>
    <w:r w:rsidRPr="00303D62">
      <w:rPr>
        <w:rStyle w:val="PageNumber"/>
        <w:sz w:val="18"/>
        <w:szCs w:val="1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attachedTemplate r:id="rId1"/>
  <w:stylePaneFormatFilter w:val="3F01"/>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savePreviewPicture/>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compat>
  <w:rsids>
    <w:rsidRoot w:val="000C142D"/>
    <w:rsid w:val="00002529"/>
    <w:rsid w:val="000C142D"/>
    <w:rsid w:val="000C382F"/>
    <w:rsid w:val="001173CC"/>
    <w:rsid w:val="0015328D"/>
    <w:rsid w:val="001A54CC"/>
    <w:rsid w:val="00257FB4"/>
    <w:rsid w:val="002D1692"/>
    <w:rsid w:val="00303D62"/>
    <w:rsid w:val="00335367"/>
    <w:rsid w:val="00370C2D"/>
    <w:rsid w:val="003D1E8D"/>
    <w:rsid w:val="003D673B"/>
    <w:rsid w:val="003F2855"/>
    <w:rsid w:val="00401C20"/>
    <w:rsid w:val="004C4144"/>
    <w:rsid w:val="005F0045"/>
    <w:rsid w:val="00611994"/>
    <w:rsid w:val="006969B4"/>
    <w:rsid w:val="00716588"/>
    <w:rsid w:val="00775959"/>
    <w:rsid w:val="00781E2A"/>
    <w:rsid w:val="00800A58"/>
    <w:rsid w:val="008258C2"/>
    <w:rsid w:val="008505BD"/>
    <w:rsid w:val="00850C78"/>
    <w:rsid w:val="008C17AD"/>
    <w:rsid w:val="008D02CD"/>
    <w:rsid w:val="0095172A"/>
    <w:rsid w:val="009A0BA0"/>
    <w:rsid w:val="00A54E47"/>
    <w:rsid w:val="00A650F4"/>
    <w:rsid w:val="00AE24AC"/>
    <w:rsid w:val="00AE7093"/>
    <w:rsid w:val="00B422BC"/>
    <w:rsid w:val="00B43F77"/>
    <w:rsid w:val="00B55A3E"/>
    <w:rsid w:val="00B95F0A"/>
    <w:rsid w:val="00B96180"/>
    <w:rsid w:val="00C17AC0"/>
    <w:rsid w:val="00C344B5"/>
    <w:rsid w:val="00C34772"/>
    <w:rsid w:val="00C36008"/>
    <w:rsid w:val="00C5465A"/>
    <w:rsid w:val="00D54642"/>
    <w:rsid w:val="00DD77C9"/>
    <w:rsid w:val="00E53DD6"/>
    <w:rsid w:val="00E839B0"/>
    <w:rsid w:val="00E92C09"/>
    <w:rsid w:val="00F6461F"/>
    <w:rsid w:val="00FD2B2D"/>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00A58"/>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rsid w:val="00800A58"/>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800A58"/>
    <w:pPr>
      <w:spacing w:before="320"/>
      <w:outlineLvl w:val="1"/>
    </w:pPr>
  </w:style>
  <w:style w:type="paragraph" w:styleId="Heading3">
    <w:name w:val="heading 3"/>
    <w:basedOn w:val="Heading1"/>
    <w:next w:val="Normal"/>
    <w:qFormat/>
    <w:rsid w:val="00800A58"/>
    <w:pPr>
      <w:spacing w:before="200"/>
      <w:outlineLvl w:val="2"/>
    </w:pPr>
  </w:style>
  <w:style w:type="paragraph" w:styleId="Heading4">
    <w:name w:val="heading 4"/>
    <w:basedOn w:val="Heading3"/>
    <w:next w:val="Normal"/>
    <w:qFormat/>
    <w:rsid w:val="00800A58"/>
    <w:pPr>
      <w:tabs>
        <w:tab w:val="clear" w:pos="794"/>
        <w:tab w:val="left" w:pos="1191"/>
      </w:tabs>
      <w:ind w:left="993" w:hanging="993"/>
      <w:outlineLvl w:val="3"/>
    </w:pPr>
  </w:style>
  <w:style w:type="paragraph" w:styleId="Heading5">
    <w:name w:val="heading 5"/>
    <w:basedOn w:val="Heading3"/>
    <w:next w:val="Normal"/>
    <w:qFormat/>
    <w:rsid w:val="00800A58"/>
    <w:pPr>
      <w:tabs>
        <w:tab w:val="clear" w:pos="794"/>
        <w:tab w:val="left" w:pos="1191"/>
      </w:tabs>
      <w:outlineLvl w:val="4"/>
    </w:pPr>
  </w:style>
  <w:style w:type="paragraph" w:styleId="Heading6">
    <w:name w:val="heading 6"/>
    <w:basedOn w:val="Heading3"/>
    <w:next w:val="Normal"/>
    <w:qFormat/>
    <w:rsid w:val="00800A58"/>
    <w:pPr>
      <w:tabs>
        <w:tab w:val="clear" w:pos="794"/>
        <w:tab w:val="left" w:pos="1191"/>
      </w:tabs>
      <w:outlineLvl w:val="5"/>
    </w:pPr>
  </w:style>
  <w:style w:type="paragraph" w:styleId="Heading7">
    <w:name w:val="heading 7"/>
    <w:basedOn w:val="Heading3"/>
    <w:next w:val="Normal"/>
    <w:qFormat/>
    <w:rsid w:val="00800A58"/>
    <w:pPr>
      <w:tabs>
        <w:tab w:val="clear" w:pos="794"/>
        <w:tab w:val="left" w:pos="1191"/>
      </w:tabs>
      <w:outlineLvl w:val="6"/>
    </w:pPr>
  </w:style>
  <w:style w:type="paragraph" w:styleId="Heading8">
    <w:name w:val="heading 8"/>
    <w:basedOn w:val="Heading3"/>
    <w:next w:val="Normal"/>
    <w:qFormat/>
    <w:rsid w:val="00800A58"/>
    <w:pPr>
      <w:tabs>
        <w:tab w:val="clear" w:pos="794"/>
        <w:tab w:val="left" w:pos="1191"/>
      </w:tabs>
      <w:outlineLvl w:val="7"/>
    </w:pPr>
  </w:style>
  <w:style w:type="paragraph" w:styleId="Heading9">
    <w:name w:val="heading 9"/>
    <w:basedOn w:val="Heading3"/>
    <w:next w:val="Normal"/>
    <w:qFormat/>
    <w:rsid w:val="00800A58"/>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sid w:val="00800A58"/>
    <w:rPr>
      <w:vertAlign w:val="superscript"/>
    </w:rPr>
  </w:style>
  <w:style w:type="paragraph" w:styleId="TOC8">
    <w:name w:val="toc 8"/>
    <w:basedOn w:val="TOC3"/>
    <w:rsid w:val="00800A58"/>
  </w:style>
  <w:style w:type="paragraph" w:styleId="TOC7">
    <w:name w:val="toc 7"/>
    <w:basedOn w:val="TOC3"/>
    <w:rsid w:val="00800A58"/>
  </w:style>
  <w:style w:type="paragraph" w:styleId="TOC6">
    <w:name w:val="toc 6"/>
    <w:basedOn w:val="TOC3"/>
    <w:rsid w:val="00800A58"/>
  </w:style>
  <w:style w:type="paragraph" w:styleId="TOC5">
    <w:name w:val="toc 5"/>
    <w:basedOn w:val="TOC3"/>
    <w:rsid w:val="00800A58"/>
  </w:style>
  <w:style w:type="paragraph" w:styleId="TOC4">
    <w:name w:val="toc 4"/>
    <w:basedOn w:val="TOC3"/>
    <w:rsid w:val="00800A58"/>
  </w:style>
  <w:style w:type="paragraph" w:styleId="TOC3">
    <w:name w:val="toc 3"/>
    <w:basedOn w:val="TOC2"/>
    <w:rsid w:val="00800A58"/>
    <w:pPr>
      <w:spacing w:before="80"/>
    </w:pPr>
  </w:style>
  <w:style w:type="paragraph" w:styleId="TOC2">
    <w:name w:val="toc 2"/>
    <w:basedOn w:val="TOC1"/>
    <w:rsid w:val="00800A58"/>
    <w:pPr>
      <w:spacing w:before="120"/>
    </w:pPr>
  </w:style>
  <w:style w:type="paragraph" w:styleId="TOC1">
    <w:name w:val="toc 1"/>
    <w:basedOn w:val="Normal"/>
    <w:rsid w:val="00800A58"/>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rsid w:val="00800A58"/>
    <w:pPr>
      <w:ind w:left="1698"/>
    </w:pPr>
  </w:style>
  <w:style w:type="paragraph" w:styleId="Index6">
    <w:name w:val="index 6"/>
    <w:basedOn w:val="Normal"/>
    <w:next w:val="Normal"/>
    <w:semiHidden/>
    <w:rsid w:val="00800A58"/>
    <w:pPr>
      <w:ind w:left="1415"/>
    </w:pPr>
  </w:style>
  <w:style w:type="paragraph" w:styleId="Index5">
    <w:name w:val="index 5"/>
    <w:basedOn w:val="Normal"/>
    <w:next w:val="Normal"/>
    <w:semiHidden/>
    <w:rsid w:val="00800A58"/>
    <w:pPr>
      <w:ind w:left="1132"/>
    </w:pPr>
  </w:style>
  <w:style w:type="paragraph" w:styleId="Index4">
    <w:name w:val="index 4"/>
    <w:basedOn w:val="Normal"/>
    <w:next w:val="Normal"/>
    <w:semiHidden/>
    <w:rsid w:val="00800A58"/>
    <w:pPr>
      <w:ind w:left="849"/>
    </w:pPr>
  </w:style>
  <w:style w:type="paragraph" w:styleId="Index3">
    <w:name w:val="index 3"/>
    <w:basedOn w:val="Normal"/>
    <w:next w:val="Normal"/>
    <w:rsid w:val="00800A58"/>
    <w:pPr>
      <w:ind w:left="566"/>
    </w:pPr>
  </w:style>
  <w:style w:type="paragraph" w:styleId="Index2">
    <w:name w:val="index 2"/>
    <w:basedOn w:val="Normal"/>
    <w:next w:val="Normal"/>
    <w:rsid w:val="00800A58"/>
    <w:pPr>
      <w:ind w:left="283"/>
    </w:pPr>
  </w:style>
  <w:style w:type="paragraph" w:styleId="Index1">
    <w:name w:val="index 1"/>
    <w:basedOn w:val="Normal"/>
    <w:next w:val="Normal"/>
    <w:rsid w:val="00800A58"/>
  </w:style>
  <w:style w:type="character" w:styleId="LineNumber">
    <w:name w:val="line number"/>
    <w:basedOn w:val="DefaultParagraphFont"/>
    <w:rsid w:val="00800A58"/>
  </w:style>
  <w:style w:type="paragraph" w:styleId="IndexHeading">
    <w:name w:val="index heading"/>
    <w:basedOn w:val="Normal"/>
    <w:next w:val="Index1"/>
    <w:semiHidden/>
    <w:rsid w:val="00800A58"/>
  </w:style>
  <w:style w:type="paragraph" w:styleId="Footer">
    <w:name w:val="footer"/>
    <w:basedOn w:val="Normal"/>
    <w:link w:val="FooterChar"/>
    <w:rsid w:val="00800A58"/>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rsid w:val="00800A58"/>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sid w:val="00800A58"/>
    <w:rPr>
      <w:position w:val="6"/>
      <w:sz w:val="16"/>
    </w:rPr>
  </w:style>
  <w:style w:type="paragraph" w:styleId="FootnoteText">
    <w:name w:val="footnote text"/>
    <w:basedOn w:val="Normal"/>
    <w:rsid w:val="00800A58"/>
    <w:pPr>
      <w:keepLines/>
      <w:tabs>
        <w:tab w:val="left" w:pos="256"/>
      </w:tabs>
      <w:ind w:left="256" w:hanging="256"/>
    </w:pPr>
  </w:style>
  <w:style w:type="paragraph" w:styleId="NormalIndent">
    <w:name w:val="Normal Indent"/>
    <w:basedOn w:val="Normal"/>
    <w:rsid w:val="00800A58"/>
    <w:pPr>
      <w:ind w:left="794"/>
    </w:pPr>
  </w:style>
  <w:style w:type="paragraph" w:customStyle="1" w:styleId="TableLegend">
    <w:name w:val="Table_Legend"/>
    <w:basedOn w:val="TableText"/>
    <w:rsid w:val="00800A58"/>
    <w:pPr>
      <w:spacing w:before="120"/>
    </w:pPr>
  </w:style>
  <w:style w:type="paragraph" w:customStyle="1" w:styleId="TableText">
    <w:name w:val="Table_Text"/>
    <w:basedOn w:val="Normal"/>
    <w:rsid w:val="00800A5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800A58"/>
    <w:pPr>
      <w:keepLines/>
      <w:spacing w:before="0"/>
    </w:pPr>
    <w:rPr>
      <w:b/>
      <w:caps w:val="0"/>
    </w:rPr>
  </w:style>
  <w:style w:type="paragraph" w:customStyle="1" w:styleId="Table">
    <w:name w:val="Table_#"/>
    <w:basedOn w:val="Normal"/>
    <w:next w:val="TableTitle"/>
    <w:rsid w:val="00800A58"/>
    <w:pPr>
      <w:keepNext/>
      <w:spacing w:before="560" w:after="120"/>
      <w:jc w:val="center"/>
    </w:pPr>
    <w:rPr>
      <w:caps/>
    </w:rPr>
  </w:style>
  <w:style w:type="paragraph" w:customStyle="1" w:styleId="enumlev1">
    <w:name w:val="enumlev1"/>
    <w:basedOn w:val="Normal"/>
    <w:rsid w:val="00800A58"/>
    <w:pPr>
      <w:spacing w:before="80"/>
      <w:ind w:left="794" w:hanging="794"/>
    </w:pPr>
  </w:style>
  <w:style w:type="paragraph" w:customStyle="1" w:styleId="enumlev2">
    <w:name w:val="enumlev2"/>
    <w:basedOn w:val="enumlev1"/>
    <w:rsid w:val="00800A58"/>
    <w:pPr>
      <w:ind w:left="1191" w:hanging="397"/>
    </w:pPr>
  </w:style>
  <w:style w:type="paragraph" w:customStyle="1" w:styleId="enumlev3">
    <w:name w:val="enumlev3"/>
    <w:basedOn w:val="enumlev2"/>
    <w:rsid w:val="00800A58"/>
    <w:pPr>
      <w:ind w:left="1588"/>
    </w:pPr>
  </w:style>
  <w:style w:type="paragraph" w:customStyle="1" w:styleId="TableHead">
    <w:name w:val="Table_Head"/>
    <w:basedOn w:val="TableText"/>
    <w:rsid w:val="00800A58"/>
    <w:pPr>
      <w:keepNext/>
      <w:spacing w:before="80" w:after="80"/>
      <w:jc w:val="center"/>
    </w:pPr>
    <w:rPr>
      <w:b/>
    </w:rPr>
  </w:style>
  <w:style w:type="paragraph" w:customStyle="1" w:styleId="FigureLegend">
    <w:name w:val="Figure_Legend"/>
    <w:basedOn w:val="Normal"/>
    <w:rsid w:val="00800A58"/>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800A58"/>
    <w:pPr>
      <w:spacing w:before="480"/>
    </w:pPr>
  </w:style>
  <w:style w:type="paragraph" w:customStyle="1" w:styleId="FigureTitle">
    <w:name w:val="Figure_Title"/>
    <w:basedOn w:val="TableTitle"/>
    <w:next w:val="Normal"/>
    <w:rsid w:val="00800A58"/>
    <w:pPr>
      <w:keepNext w:val="0"/>
      <w:spacing w:after="480"/>
    </w:pPr>
  </w:style>
  <w:style w:type="paragraph" w:customStyle="1" w:styleId="Annex">
    <w:name w:val="Annex_#"/>
    <w:basedOn w:val="Normal"/>
    <w:next w:val="AnnexRef"/>
    <w:rsid w:val="00800A58"/>
    <w:pPr>
      <w:keepNext/>
      <w:keepLines/>
      <w:spacing w:before="480" w:after="80"/>
      <w:jc w:val="center"/>
    </w:pPr>
    <w:rPr>
      <w:caps/>
    </w:rPr>
  </w:style>
  <w:style w:type="paragraph" w:customStyle="1" w:styleId="AnnexRef">
    <w:name w:val="Annex_Ref"/>
    <w:basedOn w:val="Normal"/>
    <w:next w:val="AnnexTitle"/>
    <w:rsid w:val="00800A58"/>
    <w:pPr>
      <w:keepNext/>
      <w:keepLines/>
      <w:jc w:val="center"/>
    </w:pPr>
  </w:style>
  <w:style w:type="paragraph" w:customStyle="1" w:styleId="AnnexTitle">
    <w:name w:val="Annex_Title"/>
    <w:basedOn w:val="Normal"/>
    <w:next w:val="Normal"/>
    <w:rsid w:val="00800A58"/>
    <w:pPr>
      <w:keepNext/>
      <w:keepLines/>
      <w:spacing w:before="240" w:after="280"/>
      <w:jc w:val="center"/>
    </w:pPr>
    <w:rPr>
      <w:b/>
    </w:rPr>
  </w:style>
  <w:style w:type="paragraph" w:customStyle="1" w:styleId="Appendix">
    <w:name w:val="Appendix_#"/>
    <w:basedOn w:val="Annex"/>
    <w:next w:val="AppendixRef"/>
    <w:rsid w:val="00800A58"/>
  </w:style>
  <w:style w:type="paragraph" w:customStyle="1" w:styleId="AppendixRef">
    <w:name w:val="Appendix_Ref"/>
    <w:basedOn w:val="AnnexRef"/>
    <w:next w:val="AppendixTitle"/>
    <w:rsid w:val="00800A58"/>
  </w:style>
  <w:style w:type="paragraph" w:customStyle="1" w:styleId="AppendixTitle">
    <w:name w:val="Appendix_Title"/>
    <w:basedOn w:val="AnnexTitle"/>
    <w:next w:val="Normal"/>
    <w:rsid w:val="00800A58"/>
  </w:style>
  <w:style w:type="paragraph" w:customStyle="1" w:styleId="RefTitle">
    <w:name w:val="Ref_Title"/>
    <w:basedOn w:val="Normal"/>
    <w:next w:val="RefText"/>
    <w:rsid w:val="00800A58"/>
    <w:pPr>
      <w:spacing w:before="480"/>
      <w:jc w:val="center"/>
    </w:pPr>
    <w:rPr>
      <w:caps/>
    </w:rPr>
  </w:style>
  <w:style w:type="paragraph" w:customStyle="1" w:styleId="RefText">
    <w:name w:val="Ref_Text"/>
    <w:basedOn w:val="Normal"/>
    <w:rsid w:val="00800A58"/>
    <w:pPr>
      <w:ind w:left="794" w:hanging="794"/>
    </w:pPr>
  </w:style>
  <w:style w:type="paragraph" w:customStyle="1" w:styleId="Equation">
    <w:name w:val="Equation"/>
    <w:basedOn w:val="Normal"/>
    <w:rsid w:val="00800A58"/>
    <w:pPr>
      <w:tabs>
        <w:tab w:val="clear" w:pos="1191"/>
        <w:tab w:val="clear" w:pos="1588"/>
        <w:tab w:val="clear" w:pos="1985"/>
        <w:tab w:val="center" w:pos="4876"/>
        <w:tab w:val="right" w:pos="9752"/>
      </w:tabs>
    </w:pPr>
  </w:style>
  <w:style w:type="paragraph" w:customStyle="1" w:styleId="Head">
    <w:name w:val="Head"/>
    <w:basedOn w:val="Normal"/>
    <w:rsid w:val="00800A58"/>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800A58"/>
    <w:pPr>
      <w:keepNext/>
      <w:keepLines/>
      <w:spacing w:before="240"/>
      <w:jc w:val="center"/>
    </w:pPr>
    <w:rPr>
      <w:b/>
      <w:caps/>
    </w:rPr>
  </w:style>
  <w:style w:type="paragraph" w:customStyle="1" w:styleId="Normalaftertitle">
    <w:name w:val="Normal after title"/>
    <w:basedOn w:val="Normal"/>
    <w:next w:val="Normal"/>
    <w:rsid w:val="00800A58"/>
    <w:pPr>
      <w:spacing w:before="320"/>
    </w:pPr>
  </w:style>
  <w:style w:type="paragraph" w:customStyle="1" w:styleId="call">
    <w:name w:val="call"/>
    <w:basedOn w:val="Normal"/>
    <w:next w:val="Normal"/>
    <w:rsid w:val="00800A58"/>
    <w:pPr>
      <w:keepNext/>
      <w:keepLines/>
      <w:spacing w:before="160"/>
      <w:ind w:left="794"/>
    </w:pPr>
    <w:rPr>
      <w:i/>
    </w:rPr>
  </w:style>
  <w:style w:type="paragraph" w:customStyle="1" w:styleId="Rec">
    <w:name w:val="Rec_#"/>
    <w:basedOn w:val="Normal"/>
    <w:next w:val="RecTitle"/>
    <w:rsid w:val="00800A58"/>
    <w:pPr>
      <w:keepNext/>
      <w:keepLines/>
      <w:spacing w:before="480"/>
      <w:jc w:val="center"/>
    </w:pPr>
    <w:rPr>
      <w:caps/>
    </w:rPr>
  </w:style>
  <w:style w:type="paragraph" w:customStyle="1" w:styleId="toc0">
    <w:name w:val="toc 0"/>
    <w:basedOn w:val="Normal"/>
    <w:next w:val="TOC1"/>
    <w:rsid w:val="00800A58"/>
    <w:pPr>
      <w:tabs>
        <w:tab w:val="clear" w:pos="794"/>
        <w:tab w:val="clear" w:pos="1191"/>
        <w:tab w:val="clear" w:pos="1588"/>
        <w:tab w:val="clear" w:pos="1985"/>
        <w:tab w:val="right" w:pos="9781"/>
      </w:tabs>
    </w:pPr>
    <w:rPr>
      <w:b/>
    </w:rPr>
  </w:style>
  <w:style w:type="paragraph" w:styleId="List">
    <w:name w:val="List"/>
    <w:basedOn w:val="Normal"/>
    <w:rsid w:val="00800A58"/>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800A58"/>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800A58"/>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800A58"/>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800A58"/>
    <w:pPr>
      <w:spacing w:before="160"/>
      <w:ind w:left="0" w:firstLine="0"/>
      <w:outlineLvl w:val="9"/>
    </w:pPr>
  </w:style>
  <w:style w:type="paragraph" w:customStyle="1" w:styleId="Keywords">
    <w:name w:val="Keywords"/>
    <w:basedOn w:val="Normal"/>
    <w:rsid w:val="00800A58"/>
    <w:pPr>
      <w:tabs>
        <w:tab w:val="clear" w:pos="1191"/>
        <w:tab w:val="clear" w:pos="1588"/>
      </w:tabs>
      <w:ind w:left="794" w:hanging="794"/>
    </w:pPr>
  </w:style>
  <w:style w:type="paragraph" w:customStyle="1" w:styleId="ASN1">
    <w:name w:val="ASN.1"/>
    <w:basedOn w:val="Normal"/>
    <w:rsid w:val="00800A58"/>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800A58"/>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800A58"/>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rsid w:val="00800A58"/>
    <w:pPr>
      <w:tabs>
        <w:tab w:val="left" w:pos="7371"/>
      </w:tabs>
      <w:spacing w:after="560"/>
    </w:pPr>
  </w:style>
  <w:style w:type="paragraph" w:customStyle="1" w:styleId="BodyText">
    <w:name w:val="BodyText"/>
    <w:basedOn w:val="Normal"/>
    <w:rsid w:val="00800A58"/>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rsid w:val="00800A58"/>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rsid w:val="00800A58"/>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rsid w:val="00800A58"/>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rsid w:val="00800A58"/>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rsid w:val="00800A58"/>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sid w:val="00800A58"/>
    <w:rPr>
      <w:rFonts w:ascii="CG Times" w:hAnsi="CG Times"/>
      <w:sz w:val="20"/>
    </w:rPr>
  </w:style>
  <w:style w:type="paragraph" w:customStyle="1" w:styleId="ITUbureau">
    <w:name w:val="ITU_bureau"/>
    <w:basedOn w:val="Normal"/>
    <w:rsid w:val="00800A58"/>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rsid w:val="00800A58"/>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rsid w:val="00800A58"/>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rsid w:val="00800A58"/>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rsid w:val="00800A58"/>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rsid w:val="00800A58"/>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rsid w:val="00800A58"/>
    <w:pPr>
      <w:tabs>
        <w:tab w:val="left" w:pos="1418"/>
        <w:tab w:val="left" w:pos="1985"/>
        <w:tab w:val="left" w:pos="2268"/>
      </w:tabs>
      <w:ind w:firstLine="1304"/>
    </w:pPr>
  </w:style>
  <w:style w:type="paragraph" w:customStyle="1" w:styleId="LetterEnd">
    <w:name w:val="Letter_End"/>
    <w:basedOn w:val="LetterText"/>
    <w:rsid w:val="00800A58"/>
    <w:pPr>
      <w:tabs>
        <w:tab w:val="clear" w:pos="1418"/>
        <w:tab w:val="clear" w:pos="1985"/>
        <w:tab w:val="clear" w:pos="2268"/>
      </w:tabs>
      <w:ind w:firstLine="851"/>
    </w:pPr>
  </w:style>
  <w:style w:type="paragraph" w:customStyle="1" w:styleId="NormFoot">
    <w:name w:val="Norm_Foot"/>
    <w:basedOn w:val="Normal"/>
    <w:rsid w:val="00800A58"/>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rsid w:val="00800A58"/>
  </w:style>
  <w:style w:type="paragraph" w:customStyle="1" w:styleId="listitem">
    <w:name w:val="listitem"/>
    <w:basedOn w:val="Normal"/>
    <w:rsid w:val="00800A58"/>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rsid w:val="00800A58"/>
    <w:pPr>
      <w:spacing w:before="160"/>
      <w:ind w:left="0" w:firstLine="0"/>
      <w:outlineLvl w:val="9"/>
    </w:pPr>
    <w:rPr>
      <w:b w:val="0"/>
      <w:i/>
    </w:rPr>
  </w:style>
  <w:style w:type="paragraph" w:customStyle="1" w:styleId="Qlist">
    <w:name w:val="Qlist"/>
    <w:basedOn w:val="Normal"/>
    <w:rsid w:val="00800A58"/>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800A58"/>
    <w:pPr>
      <w:tabs>
        <w:tab w:val="left" w:pos="397"/>
      </w:tabs>
    </w:pPr>
  </w:style>
  <w:style w:type="paragraph" w:customStyle="1" w:styleId="FirstFooter">
    <w:name w:val="FirstFooter"/>
    <w:basedOn w:val="Footer"/>
    <w:rsid w:val="00800A58"/>
    <w:pPr>
      <w:tabs>
        <w:tab w:val="clear" w:pos="5954"/>
        <w:tab w:val="clear" w:pos="9639"/>
      </w:tabs>
    </w:pPr>
    <w:rPr>
      <w:caps w:val="0"/>
    </w:rPr>
  </w:style>
  <w:style w:type="paragraph" w:styleId="TOC9">
    <w:name w:val="toc 9"/>
    <w:basedOn w:val="TOC3"/>
    <w:semiHidden/>
    <w:rsid w:val="00800A58"/>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uiPriority w:val="99"/>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s>
</file>

<file path=word/webSettings.xml><?xml version="1.0" encoding="utf-8"?>
<w:webSettings xmlns:r="http://schemas.openxmlformats.org/officeDocument/2006/relationships" xmlns:w="http://schemas.openxmlformats.org/wordprocessingml/2006/main">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tu.int/ITU-T/ipr/" TargetMode="External"/><Relationship Id="rId4" Type="http://schemas.openxmlformats.org/officeDocument/2006/relationships/settings" Target="settings.xml"/><Relationship Id="rId9" Type="http://schemas.openxmlformats.org/officeDocument/2006/relationships/hyperlink" Target="mailto:tsbsg15@itu.int"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ello\Application%20Data\Microsoft\Templates\POOL%20S%20-%20ITU\PS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6B761-DB77-4497-8373-A6FD25910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PS_TSBCIRC1</Template>
  <TotalTime>0</TotalTime>
  <Pages>4</Pages>
  <Words>1163</Words>
  <Characters>6261</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7410</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subject/>
  <dc:creator>tello</dc:creator>
  <cp:keywords/>
  <dc:description/>
  <cp:lastModifiedBy>bettini</cp:lastModifiedBy>
  <cp:revision>2</cp:revision>
  <cp:lastPrinted>2011-07-04T14:43:00Z</cp:lastPrinted>
  <dcterms:created xsi:type="dcterms:W3CDTF">2011-07-04T14:43:00Z</dcterms:created>
  <dcterms:modified xsi:type="dcterms:W3CDTF">2011-07-04T14:43:00Z</dcterms:modified>
</cp:coreProperties>
</file>