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B407C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Default="00C34772" w:rsidP="00D440C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 w:after="240"/>
      </w:pPr>
      <w:r>
        <w:tab/>
        <w:t xml:space="preserve">Ginebra, </w:t>
      </w:r>
      <w:r w:rsidR="00B407CC">
        <w:t>17 de junio</w:t>
      </w:r>
      <w:r w:rsidR="00A01D33">
        <w:t xml:space="preserve"> de 2011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C34772" w:rsidP="009C1CD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9C1CDE">
              <w:rPr>
                <w:b/>
              </w:rPr>
              <w:t>200</w:t>
            </w:r>
          </w:p>
          <w:p w:rsidR="00C34772" w:rsidRDefault="00C34772" w:rsidP="00CA39AB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CA39AB">
              <w:t>2</w:t>
            </w:r>
            <w:r>
              <w:t>/</w:t>
            </w:r>
            <w:r w:rsidR="00CA39AB">
              <w:t>RH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9C1CDE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A01D33">
              <w:t xml:space="preserve"> 5</w:t>
            </w:r>
            <w:r w:rsidR="009C1CDE">
              <w:t>887</w:t>
            </w:r>
            <w:r>
              <w:br/>
              <w:t>+41 22 730 5853</w:t>
            </w:r>
            <w:r>
              <w:br/>
            </w:r>
            <w:hyperlink r:id="rId9" w:history="1">
              <w:r w:rsidR="009C1CDE" w:rsidRPr="007D34FA">
                <w:rPr>
                  <w:color w:val="0000FF"/>
                  <w:u w:val="single"/>
                </w:rPr>
                <w:t>tsbsg2@itu.int</w:t>
              </w:r>
            </w:hyperlink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del UIT-T;</w:t>
            </w:r>
          </w:p>
          <w:p w:rsidR="00C34772" w:rsidRDefault="00C34772" w:rsidP="00D440C9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</w:t>
            </w:r>
            <w:r w:rsidR="00D440C9">
              <w:t xml:space="preserve"> </w:t>
            </w:r>
            <w:r>
              <w:t>l</w:t>
            </w:r>
            <w:r w:rsidR="00D440C9">
              <w:t>a</w:t>
            </w:r>
            <w:r>
              <w:t xml:space="preserve"> President</w:t>
            </w:r>
            <w:r w:rsidR="00D440C9">
              <w:t>a</w:t>
            </w:r>
            <w:r>
              <w:t xml:space="preserve"> y a los Vicepresidentes de la Comisión de Estudio </w:t>
            </w:r>
            <w:r w:rsidR="009C1CDE">
              <w:t>2</w:t>
            </w:r>
            <w:r>
              <w:t>;</w:t>
            </w:r>
          </w:p>
          <w:p w:rsidR="00C34772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303D62">
      <w:pPr>
        <w:spacing w:before="0"/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9093"/>
      </w:tblGrid>
      <w:tr w:rsidR="00C34772" w:rsidTr="009C1CDE">
        <w:trPr>
          <w:cantSplit/>
          <w:trHeight w:val="680"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9093" w:type="dxa"/>
          </w:tcPr>
          <w:p w:rsidR="00C34772" w:rsidRDefault="009C1CDE" w:rsidP="00A01D33">
            <w:pPr>
              <w:tabs>
                <w:tab w:val="left" w:pos="4111"/>
              </w:tabs>
              <w:spacing w:before="0"/>
              <w:ind w:left="57"/>
            </w:pPr>
            <w:r w:rsidRPr="007D34FA">
              <w:rPr>
                <w:b/>
              </w:rPr>
              <w:t>Ap</w:t>
            </w:r>
            <w:r w:rsidR="008221EE">
              <w:rPr>
                <w:b/>
              </w:rPr>
              <w:t>robación del nuevo a</w:t>
            </w:r>
            <w:r w:rsidRPr="00F95BB5">
              <w:rPr>
                <w:b/>
              </w:rPr>
              <w:t xml:space="preserve">péndice I a la </w:t>
            </w:r>
            <w:r w:rsidRPr="007D34FA">
              <w:rPr>
                <w:b/>
              </w:rPr>
              <w:t>Recom</w:t>
            </w:r>
            <w:r w:rsidRPr="00F95BB5">
              <w:rPr>
                <w:b/>
              </w:rPr>
              <w:t>endación UIT</w:t>
            </w:r>
            <w:r w:rsidRPr="007D34FA">
              <w:rPr>
                <w:b/>
              </w:rPr>
              <w:t xml:space="preserve">-T E.101, </w:t>
            </w:r>
            <w:r w:rsidR="008221EE">
              <w:rPr>
                <w:b/>
              </w:rPr>
              <w:t>del a</w:t>
            </w:r>
            <w:r w:rsidRPr="00F95BB5">
              <w:rPr>
                <w:b/>
              </w:rPr>
              <w:t>nexo A</w:t>
            </w:r>
            <w:r w:rsidR="004740DA">
              <w:rPr>
                <w:b/>
              </w:rPr>
              <w:t xml:space="preserve"> </w:t>
            </w:r>
            <w:r w:rsidR="004740DA" w:rsidRPr="004D3E68">
              <w:rPr>
                <w:b/>
              </w:rPr>
              <w:t>revisado</w:t>
            </w:r>
            <w:r w:rsidRPr="00F95BB5">
              <w:rPr>
                <w:b/>
              </w:rPr>
              <w:t xml:space="preserve"> a la Recomendación UIT</w:t>
            </w:r>
            <w:r w:rsidRPr="007D34FA">
              <w:rPr>
                <w:b/>
              </w:rPr>
              <w:t>-T E.164</w:t>
            </w:r>
            <w:r w:rsidR="008221EE">
              <w:rPr>
                <w:b/>
              </w:rPr>
              <w:t xml:space="preserve"> y del a</w:t>
            </w:r>
            <w:r w:rsidRPr="00F95BB5">
              <w:rPr>
                <w:b/>
              </w:rPr>
              <w:t>nexo E revisado a la Recomendaci</w:t>
            </w:r>
            <w:r>
              <w:rPr>
                <w:b/>
              </w:rPr>
              <w:t>ón UIT</w:t>
            </w:r>
            <w:r w:rsidRPr="007D34FA">
              <w:rPr>
                <w:b/>
              </w:rPr>
              <w:t>-T E.212</w:t>
            </w:r>
          </w:p>
        </w:tc>
      </w:tr>
    </w:tbl>
    <w:p w:rsidR="00C34772" w:rsidRDefault="00C34772" w:rsidP="009C1CDE">
      <w:pPr>
        <w:spacing w:before="0"/>
      </w:pPr>
    </w:p>
    <w:p w:rsidR="009C1CDE" w:rsidRDefault="00CA39AB" w:rsidP="00D440C9">
      <w:pPr>
        <w:spacing w:before="0"/>
      </w:pPr>
      <w:r>
        <w:t>Muy Señora mía/Muy S</w:t>
      </w:r>
      <w:bookmarkStart w:id="0" w:name="_GoBack"/>
      <w:bookmarkEnd w:id="0"/>
      <w:r w:rsidR="009C1CDE" w:rsidRPr="007C3507">
        <w:t xml:space="preserve">eñor mío: </w:t>
      </w:r>
    </w:p>
    <w:p w:rsidR="009C1CDE" w:rsidRPr="007D34FA" w:rsidRDefault="009C1CDE" w:rsidP="009C1CDE">
      <w:r w:rsidRPr="007D34FA">
        <w:rPr>
          <w:bCs/>
        </w:rPr>
        <w:t>1</w:t>
      </w:r>
      <w:r w:rsidRPr="007D34FA">
        <w:tab/>
      </w:r>
      <w:r w:rsidRPr="00F95BB5">
        <w:t xml:space="preserve">Tras la </w:t>
      </w:r>
      <w:r w:rsidRPr="007D34FA">
        <w:t>Circular</w:t>
      </w:r>
      <w:r w:rsidRPr="00F95BB5">
        <w:t xml:space="preserve"> TSB</w:t>
      </w:r>
      <w:r w:rsidRPr="007D34FA">
        <w:t xml:space="preserve"> 163 </w:t>
      </w:r>
      <w:r w:rsidRPr="00F95BB5">
        <w:t xml:space="preserve">del </w:t>
      </w:r>
      <w:r w:rsidRPr="007D34FA">
        <w:t xml:space="preserve">24 </w:t>
      </w:r>
      <w:r w:rsidRPr="00F95BB5">
        <w:t xml:space="preserve">de enero de </w:t>
      </w:r>
      <w:r w:rsidRPr="007D34FA">
        <w:t xml:space="preserve">2011, </w:t>
      </w:r>
      <w:r w:rsidRPr="00F95BB5">
        <w:t>teng</w:t>
      </w:r>
      <w:r w:rsidR="00F016BB">
        <w:t>o el honor de informarle que 32 </w:t>
      </w:r>
      <w:r w:rsidRPr="00F95BB5">
        <w:t xml:space="preserve">Estados Miembros </w:t>
      </w:r>
      <w:r w:rsidRPr="007D34FA">
        <w:t>participa</w:t>
      </w:r>
      <w:r w:rsidRPr="00F95BB5">
        <w:t>ntes en la última re</w:t>
      </w:r>
      <w:r w:rsidR="00F016BB">
        <w:t>unión de la Comisión de Estudio </w:t>
      </w:r>
      <w:r w:rsidRPr="00F95BB5">
        <w:t xml:space="preserve">2, </w:t>
      </w:r>
      <w:r w:rsidRPr="00F95BB5">
        <w:rPr>
          <w:b/>
        </w:rPr>
        <w:t>ap</w:t>
      </w:r>
      <w:r>
        <w:rPr>
          <w:b/>
        </w:rPr>
        <w:t>robaron</w:t>
      </w:r>
      <w:r w:rsidRPr="007D34FA">
        <w:t xml:space="preserve"> </w:t>
      </w:r>
      <w:r w:rsidR="008221EE">
        <w:t>el texto del a</w:t>
      </w:r>
      <w:r>
        <w:t xml:space="preserve">péndice I </w:t>
      </w:r>
      <w:r w:rsidRPr="00F95BB5">
        <w:t xml:space="preserve">a la </w:t>
      </w:r>
      <w:r w:rsidR="008221EE">
        <w:t>Recomendación UIT-T E.101, del a</w:t>
      </w:r>
      <w:r w:rsidR="00F016BB">
        <w:t xml:space="preserve">nexo A </w:t>
      </w:r>
      <w:r w:rsidR="004740DA">
        <w:t xml:space="preserve">revisado </w:t>
      </w:r>
      <w:r w:rsidR="00F016BB">
        <w:t>a la Recomendación UIT</w:t>
      </w:r>
      <w:r w:rsidR="00F016BB">
        <w:noBreakHyphen/>
        <w:t>T </w:t>
      </w:r>
      <w:r w:rsidR="008221EE">
        <w:t>E.164 y del a</w:t>
      </w:r>
      <w:r w:rsidRPr="00F95BB5">
        <w:t>nexo E revisado a la Recomendación UIT-T E.212</w:t>
      </w:r>
      <w:r w:rsidR="00F016BB">
        <w:t xml:space="preserve"> en su Sesión P</w:t>
      </w:r>
      <w:r>
        <w:t xml:space="preserve">lenaria celebrada el 10 de junio de </w:t>
      </w:r>
      <w:r w:rsidRPr="007D34FA">
        <w:t>2011.</w:t>
      </w:r>
    </w:p>
    <w:p w:rsidR="009C1CDE" w:rsidRPr="007D34FA" w:rsidRDefault="009C1CDE" w:rsidP="009C1CDE">
      <w:r w:rsidRPr="007D34FA">
        <w:rPr>
          <w:bCs/>
        </w:rPr>
        <w:t>2</w:t>
      </w:r>
      <w:r w:rsidRPr="007D34FA">
        <w:tab/>
      </w:r>
      <w:r>
        <w:t xml:space="preserve">Los </w:t>
      </w:r>
      <w:r w:rsidRPr="00222386">
        <w:t>título</w:t>
      </w:r>
      <w:r>
        <w:t>s</w:t>
      </w:r>
      <w:r w:rsidRPr="00222386">
        <w:t xml:space="preserve"> de los nuevos textos y </w:t>
      </w:r>
      <w:r>
        <w:t xml:space="preserve">del </w:t>
      </w:r>
      <w:r w:rsidRPr="00222386">
        <w:t xml:space="preserve">texto revisado que se aprobaron son los siguientes: </w:t>
      </w:r>
    </w:p>
    <w:p w:rsidR="009C1CDE" w:rsidRPr="007D34FA" w:rsidRDefault="009C1CDE" w:rsidP="00D440C9">
      <w:pPr>
        <w:spacing w:before="80"/>
        <w:ind w:left="794" w:hanging="794"/>
        <w:rPr>
          <w:i/>
          <w:iCs/>
        </w:rPr>
      </w:pPr>
      <w:r w:rsidRPr="007D34FA">
        <w:rPr>
          <w:b/>
          <w:bCs/>
        </w:rPr>
        <w:t>-</w:t>
      </w:r>
      <w:r w:rsidRPr="007D34FA">
        <w:rPr>
          <w:b/>
          <w:bCs/>
        </w:rPr>
        <w:tab/>
      </w:r>
      <w:r w:rsidRPr="004D3E68">
        <w:rPr>
          <w:b/>
          <w:bCs/>
        </w:rPr>
        <w:t>Apéndice I a la Recomendación UIT</w:t>
      </w:r>
      <w:r w:rsidRPr="007D34FA">
        <w:rPr>
          <w:b/>
          <w:bCs/>
        </w:rPr>
        <w:t xml:space="preserve">-T E.101: </w:t>
      </w:r>
      <w:r w:rsidRPr="004D3E68">
        <w:rPr>
          <w:i/>
          <w:iCs/>
        </w:rPr>
        <w:t>Lista alfabética de t</w:t>
      </w:r>
      <w:r>
        <w:rPr>
          <w:i/>
          <w:iCs/>
        </w:rPr>
        <w:t>érminos</w:t>
      </w:r>
    </w:p>
    <w:p w:rsidR="009C1CDE" w:rsidRPr="007D34FA" w:rsidRDefault="009C1CDE" w:rsidP="00D440C9">
      <w:pPr>
        <w:spacing w:before="80"/>
        <w:ind w:left="794" w:hanging="794"/>
        <w:rPr>
          <w:i/>
          <w:iCs/>
        </w:rPr>
      </w:pPr>
      <w:r w:rsidRPr="007D34FA">
        <w:rPr>
          <w:b/>
          <w:bCs/>
        </w:rPr>
        <w:t>-</w:t>
      </w:r>
      <w:r w:rsidRPr="007D34FA">
        <w:rPr>
          <w:b/>
          <w:bCs/>
        </w:rPr>
        <w:tab/>
      </w:r>
      <w:r w:rsidRPr="004D3E68">
        <w:rPr>
          <w:b/>
        </w:rPr>
        <w:t xml:space="preserve">Anexo A </w:t>
      </w:r>
      <w:proofErr w:type="spellStart"/>
      <w:r w:rsidRPr="004D3E68">
        <w:rPr>
          <w:b/>
        </w:rPr>
        <w:t>a</w:t>
      </w:r>
      <w:proofErr w:type="spellEnd"/>
      <w:r w:rsidRPr="004D3E68">
        <w:rPr>
          <w:b/>
        </w:rPr>
        <w:t xml:space="preserve"> la Recomendación UIT</w:t>
      </w:r>
      <w:r w:rsidRPr="007D34FA">
        <w:rPr>
          <w:b/>
          <w:bCs/>
        </w:rPr>
        <w:t xml:space="preserve">-T E.164: </w:t>
      </w:r>
      <w:r w:rsidRPr="007D34FA">
        <w:rPr>
          <w:i/>
          <w:iCs/>
        </w:rPr>
        <w:t>A.8 N</w:t>
      </w:r>
      <w:r>
        <w:rPr>
          <w:i/>
          <w:iCs/>
        </w:rPr>
        <w:t>úmeros nacionales únicamente</w:t>
      </w:r>
    </w:p>
    <w:p w:rsidR="009C1CDE" w:rsidRPr="007D34FA" w:rsidRDefault="009C1CDE" w:rsidP="004740DA">
      <w:pPr>
        <w:spacing w:before="80"/>
        <w:ind w:left="794" w:hanging="794"/>
        <w:rPr>
          <w:i/>
          <w:iCs/>
        </w:rPr>
      </w:pPr>
      <w:r w:rsidRPr="007D34FA">
        <w:rPr>
          <w:b/>
          <w:bCs/>
        </w:rPr>
        <w:t>-</w:t>
      </w:r>
      <w:r w:rsidRPr="007D34FA">
        <w:rPr>
          <w:b/>
          <w:bCs/>
        </w:rPr>
        <w:tab/>
      </w:r>
      <w:r w:rsidRPr="004D3E68">
        <w:rPr>
          <w:b/>
        </w:rPr>
        <w:t>Anexo E a la Recomendación UIT</w:t>
      </w:r>
      <w:r w:rsidRPr="007D34FA">
        <w:rPr>
          <w:b/>
          <w:bCs/>
        </w:rPr>
        <w:t xml:space="preserve">-T E.212 : </w:t>
      </w:r>
      <w:r w:rsidRPr="004D3E68">
        <w:rPr>
          <w:i/>
          <w:iCs/>
        </w:rPr>
        <w:t>Utilización de MCC+MNC en un país distinto de aquel al que el Director de la TSB asignó el MCC</w:t>
      </w:r>
    </w:p>
    <w:p w:rsidR="009C1CDE" w:rsidRPr="007D34FA" w:rsidRDefault="009C1CDE" w:rsidP="009C1CDE">
      <w:r w:rsidRPr="007D34FA">
        <w:rPr>
          <w:bCs/>
        </w:rPr>
        <w:t>3</w:t>
      </w:r>
      <w:r w:rsidRPr="007D34FA">
        <w:tab/>
      </w:r>
      <w:r w:rsidRPr="007C3507">
        <w:t>Puede accederse en línea a la información disponible sobre patentes a</w:t>
      </w:r>
      <w:r>
        <w:t xml:space="preserve"> través del sitio web del UIT</w:t>
      </w:r>
      <w:r>
        <w:noBreakHyphen/>
        <w:t>T</w:t>
      </w:r>
      <w:r w:rsidRPr="007D34FA">
        <w:t>.</w:t>
      </w:r>
    </w:p>
    <w:p w:rsidR="009C1CDE" w:rsidRPr="009C1CDE" w:rsidRDefault="009C1CDE" w:rsidP="009C1CDE">
      <w:r w:rsidRPr="007D34FA">
        <w:t>4</w:t>
      </w:r>
      <w:r w:rsidRPr="007D34FA">
        <w:tab/>
      </w:r>
      <w:r w:rsidRPr="007C3507">
        <w:t xml:space="preserve">Los textos </w:t>
      </w:r>
      <w:proofErr w:type="spellStart"/>
      <w:r w:rsidRPr="007C3507">
        <w:t>prepublicados</w:t>
      </w:r>
      <w:proofErr w:type="spellEnd"/>
      <w:r w:rsidRPr="007C3507">
        <w:t xml:space="preserve"> pronto estarán disponibles en el sitio web del UIT-T. </w:t>
      </w:r>
    </w:p>
    <w:p w:rsidR="009C1CDE" w:rsidRPr="009C1CDE" w:rsidRDefault="009C1CDE" w:rsidP="009C1CDE">
      <w:r w:rsidRPr="009C1CDE">
        <w:rPr>
          <w:bCs/>
        </w:rPr>
        <w:t>5</w:t>
      </w:r>
      <w:r w:rsidRPr="009C1CDE">
        <w:tab/>
        <w:t>La UIT publicará</w:t>
      </w:r>
      <w:r w:rsidR="008221EE">
        <w:t xml:space="preserve"> lo antes posible el texto del apéndice y los a</w:t>
      </w:r>
      <w:r w:rsidRPr="009C1CDE">
        <w:t xml:space="preserve">nexos. </w:t>
      </w:r>
    </w:p>
    <w:p w:rsidR="009C1CDE" w:rsidRDefault="009C1CDE" w:rsidP="009C1CDE">
      <w:pPr>
        <w:spacing w:before="240"/>
      </w:pPr>
      <w:r w:rsidRPr="009E77D9">
        <w:t xml:space="preserve">Lo saluda atentamente, </w:t>
      </w:r>
    </w:p>
    <w:p w:rsidR="009C1CDE" w:rsidRDefault="009C1CDE" w:rsidP="00D440C9">
      <w:pPr>
        <w:spacing w:before="360"/>
      </w:pPr>
    </w:p>
    <w:p w:rsidR="00401C20" w:rsidRPr="00CD591A" w:rsidRDefault="00C34772" w:rsidP="00D440C9">
      <w:pPr>
        <w:spacing w:before="960"/>
      </w:pPr>
      <w:r w:rsidRPr="00CA080F">
        <w:t>Malcolm Johnson</w:t>
      </w:r>
      <w:r>
        <w:br/>
        <w:t>Director de la Oficina de</w:t>
      </w:r>
      <w:r>
        <w:br/>
        <w:t>Normalización de las Telecomunicaciones</w:t>
      </w:r>
    </w:p>
    <w:sectPr w:rsidR="00401C20" w:rsidRPr="00CD591A" w:rsidSect="00FA348F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33" w:rsidRDefault="00A01D33">
      <w:r>
        <w:separator/>
      </w:r>
    </w:p>
  </w:endnote>
  <w:endnote w:type="continuationSeparator" w:id="0">
    <w:p w:rsidR="00A01D33" w:rsidRDefault="00A0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33" w:rsidRPr="004740DA" w:rsidRDefault="00EC6F4F" w:rsidP="00A357FC">
    <w:pPr>
      <w:pStyle w:val="Footer"/>
      <w:rPr>
        <w:lang w:val="en-US"/>
      </w:rPr>
    </w:pPr>
    <w:fldSimple w:instr=" FILENAME \p  \* MERGEFORMAT ">
      <w:r w:rsidR="005B45C7" w:rsidRPr="004740DA">
        <w:rPr>
          <w:noProof/>
          <w:sz w:val="16"/>
          <w:szCs w:val="16"/>
          <w:lang w:val="en-US"/>
        </w:rPr>
        <w:t>M:\SG_DOC\SG2\Circulars\200s.docx</w:t>
      </w:r>
    </w:fldSimple>
    <w:r w:rsidR="00A01D33" w:rsidRPr="004740DA">
      <w:rPr>
        <w:sz w:val="16"/>
        <w:szCs w:val="16"/>
        <w:lang w:val="en-US"/>
      </w:rPr>
      <w:tab/>
    </w:r>
    <w:r w:rsidRPr="00303D62">
      <w:rPr>
        <w:sz w:val="16"/>
        <w:szCs w:val="16"/>
      </w:rPr>
      <w:fldChar w:fldCharType="begin"/>
    </w:r>
    <w:r w:rsidR="00A01D33"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24505A">
      <w:rPr>
        <w:noProof/>
        <w:sz w:val="16"/>
        <w:szCs w:val="16"/>
      </w:rPr>
      <w:t>28.06.11</w:t>
    </w:r>
    <w:r w:rsidRPr="00303D62">
      <w:rPr>
        <w:sz w:val="16"/>
        <w:szCs w:val="16"/>
      </w:rPr>
      <w:fldChar w:fldCharType="end"/>
    </w:r>
    <w:r w:rsidR="00A01D33" w:rsidRPr="004740DA">
      <w:rPr>
        <w:sz w:val="16"/>
        <w:szCs w:val="16"/>
        <w:lang w:val="en-US"/>
      </w:rPr>
      <w:tab/>
    </w:r>
    <w:r w:rsidRPr="00303D62">
      <w:rPr>
        <w:sz w:val="16"/>
        <w:szCs w:val="16"/>
      </w:rPr>
      <w:fldChar w:fldCharType="begin"/>
    </w:r>
    <w:r w:rsidR="00A01D33"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 w:rsidR="005B45C7">
      <w:rPr>
        <w:noProof/>
        <w:sz w:val="16"/>
        <w:szCs w:val="16"/>
      </w:rPr>
      <w:t>27.06.11</w:t>
    </w:r>
    <w:r w:rsidRPr="00303D62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A01D33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01D33" w:rsidRDefault="00A01D3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01D33" w:rsidRDefault="00A01D33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01D33" w:rsidRDefault="00A01D3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01D33" w:rsidRDefault="00A01D33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A01D33">
      <w:tc>
        <w:tcPr>
          <w:tcW w:w="1985" w:type="dxa"/>
        </w:tcPr>
        <w:p w:rsidR="00A01D33" w:rsidRDefault="00A01D3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A01D33" w:rsidRDefault="00A01D3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A01D33" w:rsidRDefault="00A01D3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A01D33" w:rsidRDefault="00A01D33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A01D33">
      <w:tc>
        <w:tcPr>
          <w:tcW w:w="1985" w:type="dxa"/>
        </w:tcPr>
        <w:p w:rsidR="00A01D33" w:rsidRDefault="00A01D3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A01D33" w:rsidRDefault="00A01D3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A01D33" w:rsidRDefault="00A01D33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A01D33" w:rsidRDefault="00A01D33">
          <w:pPr>
            <w:pStyle w:val="FirstFooter"/>
            <w:rPr>
              <w:rFonts w:ascii="Futura Lt BT" w:hAnsi="Futura Lt BT"/>
            </w:rPr>
          </w:pPr>
        </w:p>
      </w:tc>
    </w:tr>
  </w:tbl>
  <w:p w:rsidR="00D9705D" w:rsidRPr="00D9705D" w:rsidRDefault="00D9705D" w:rsidP="00D440C9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33" w:rsidRDefault="00A01D33">
      <w:r>
        <w:t>____________________</w:t>
      </w:r>
    </w:p>
  </w:footnote>
  <w:footnote w:type="continuationSeparator" w:id="0">
    <w:p w:rsidR="00A01D33" w:rsidRDefault="00A0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33" w:rsidRPr="00303D62" w:rsidRDefault="00A01D33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EC6F4F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EC6F4F" w:rsidRPr="00303D62">
      <w:rPr>
        <w:rStyle w:val="PageNumber"/>
        <w:sz w:val="18"/>
        <w:szCs w:val="18"/>
      </w:rPr>
      <w:fldChar w:fldCharType="separate"/>
    </w:r>
    <w:r w:rsidR="00534EAB">
      <w:rPr>
        <w:rStyle w:val="PageNumber"/>
        <w:noProof/>
        <w:sz w:val="18"/>
        <w:szCs w:val="18"/>
      </w:rPr>
      <w:t>1</w:t>
    </w:r>
    <w:r w:rsidR="00EC6F4F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4772"/>
    <w:rsid w:val="00002529"/>
    <w:rsid w:val="00044A0A"/>
    <w:rsid w:val="000C382F"/>
    <w:rsid w:val="00111630"/>
    <w:rsid w:val="001173CC"/>
    <w:rsid w:val="001A54CC"/>
    <w:rsid w:val="0024505A"/>
    <w:rsid w:val="00257FB4"/>
    <w:rsid w:val="00303D62"/>
    <w:rsid w:val="00335367"/>
    <w:rsid w:val="00370C2D"/>
    <w:rsid w:val="003D1E8D"/>
    <w:rsid w:val="003D673B"/>
    <w:rsid w:val="003F2855"/>
    <w:rsid w:val="00401C20"/>
    <w:rsid w:val="00410250"/>
    <w:rsid w:val="004740DA"/>
    <w:rsid w:val="004C4144"/>
    <w:rsid w:val="00534EAB"/>
    <w:rsid w:val="00563C1D"/>
    <w:rsid w:val="005B45C7"/>
    <w:rsid w:val="006969B4"/>
    <w:rsid w:val="00766C24"/>
    <w:rsid w:val="00781E2A"/>
    <w:rsid w:val="008221EE"/>
    <w:rsid w:val="008258C2"/>
    <w:rsid w:val="008505BD"/>
    <w:rsid w:val="00850C78"/>
    <w:rsid w:val="00884744"/>
    <w:rsid w:val="008C17AD"/>
    <w:rsid w:val="008D02CD"/>
    <w:rsid w:val="0095172A"/>
    <w:rsid w:val="009C1CDE"/>
    <w:rsid w:val="00A01D33"/>
    <w:rsid w:val="00A357FC"/>
    <w:rsid w:val="00A54E47"/>
    <w:rsid w:val="00AE0AE8"/>
    <w:rsid w:val="00AE7093"/>
    <w:rsid w:val="00B407CC"/>
    <w:rsid w:val="00B422BC"/>
    <w:rsid w:val="00B438B5"/>
    <w:rsid w:val="00B43F77"/>
    <w:rsid w:val="00B95F0A"/>
    <w:rsid w:val="00B96180"/>
    <w:rsid w:val="00BF769E"/>
    <w:rsid w:val="00C17AC0"/>
    <w:rsid w:val="00C34772"/>
    <w:rsid w:val="00CA39AB"/>
    <w:rsid w:val="00CD591A"/>
    <w:rsid w:val="00D440C9"/>
    <w:rsid w:val="00D81346"/>
    <w:rsid w:val="00D9705D"/>
    <w:rsid w:val="00DA60E7"/>
    <w:rsid w:val="00DD77C9"/>
    <w:rsid w:val="00E839B0"/>
    <w:rsid w:val="00E9195D"/>
    <w:rsid w:val="00E92C09"/>
    <w:rsid w:val="00EC6F4F"/>
    <w:rsid w:val="00F016BB"/>
    <w:rsid w:val="00F30763"/>
    <w:rsid w:val="00F6461F"/>
    <w:rsid w:val="00FA348F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4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FA348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A348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A348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A348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A348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A348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A348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A348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A348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A348F"/>
    <w:rPr>
      <w:vertAlign w:val="superscript"/>
    </w:rPr>
  </w:style>
  <w:style w:type="paragraph" w:styleId="TOC8">
    <w:name w:val="toc 8"/>
    <w:basedOn w:val="TOC3"/>
    <w:rsid w:val="00FA348F"/>
  </w:style>
  <w:style w:type="paragraph" w:styleId="TOC7">
    <w:name w:val="toc 7"/>
    <w:basedOn w:val="TOC3"/>
    <w:rsid w:val="00FA348F"/>
  </w:style>
  <w:style w:type="paragraph" w:styleId="TOC6">
    <w:name w:val="toc 6"/>
    <w:basedOn w:val="TOC3"/>
    <w:rsid w:val="00FA348F"/>
  </w:style>
  <w:style w:type="paragraph" w:styleId="TOC5">
    <w:name w:val="toc 5"/>
    <w:basedOn w:val="TOC3"/>
    <w:rsid w:val="00FA348F"/>
  </w:style>
  <w:style w:type="paragraph" w:styleId="TOC4">
    <w:name w:val="toc 4"/>
    <w:basedOn w:val="TOC3"/>
    <w:rsid w:val="00FA348F"/>
  </w:style>
  <w:style w:type="paragraph" w:styleId="TOC3">
    <w:name w:val="toc 3"/>
    <w:basedOn w:val="TOC2"/>
    <w:rsid w:val="00FA348F"/>
    <w:pPr>
      <w:spacing w:before="80"/>
    </w:pPr>
  </w:style>
  <w:style w:type="paragraph" w:styleId="TOC2">
    <w:name w:val="toc 2"/>
    <w:basedOn w:val="TOC1"/>
    <w:rsid w:val="00FA348F"/>
    <w:pPr>
      <w:spacing w:before="120"/>
    </w:pPr>
  </w:style>
  <w:style w:type="paragraph" w:styleId="TOC1">
    <w:name w:val="toc 1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A348F"/>
    <w:pPr>
      <w:ind w:left="1698"/>
    </w:pPr>
  </w:style>
  <w:style w:type="paragraph" w:styleId="Index6">
    <w:name w:val="index 6"/>
    <w:basedOn w:val="Normal"/>
    <w:next w:val="Normal"/>
    <w:semiHidden/>
    <w:rsid w:val="00FA348F"/>
    <w:pPr>
      <w:ind w:left="1415"/>
    </w:pPr>
  </w:style>
  <w:style w:type="paragraph" w:styleId="Index5">
    <w:name w:val="index 5"/>
    <w:basedOn w:val="Normal"/>
    <w:next w:val="Normal"/>
    <w:semiHidden/>
    <w:rsid w:val="00FA348F"/>
    <w:pPr>
      <w:ind w:left="1132"/>
    </w:pPr>
  </w:style>
  <w:style w:type="paragraph" w:styleId="Index4">
    <w:name w:val="index 4"/>
    <w:basedOn w:val="Normal"/>
    <w:next w:val="Normal"/>
    <w:semiHidden/>
    <w:rsid w:val="00FA348F"/>
    <w:pPr>
      <w:ind w:left="849"/>
    </w:pPr>
  </w:style>
  <w:style w:type="paragraph" w:styleId="Index3">
    <w:name w:val="index 3"/>
    <w:basedOn w:val="Normal"/>
    <w:next w:val="Normal"/>
    <w:rsid w:val="00FA348F"/>
    <w:pPr>
      <w:ind w:left="566"/>
    </w:pPr>
  </w:style>
  <w:style w:type="paragraph" w:styleId="Index2">
    <w:name w:val="index 2"/>
    <w:basedOn w:val="Normal"/>
    <w:next w:val="Normal"/>
    <w:rsid w:val="00FA348F"/>
    <w:pPr>
      <w:ind w:left="283"/>
    </w:pPr>
  </w:style>
  <w:style w:type="paragraph" w:styleId="Index1">
    <w:name w:val="index 1"/>
    <w:basedOn w:val="Normal"/>
    <w:next w:val="Normal"/>
    <w:rsid w:val="00FA348F"/>
  </w:style>
  <w:style w:type="character" w:styleId="LineNumber">
    <w:name w:val="line number"/>
    <w:basedOn w:val="DefaultParagraphFont"/>
    <w:rsid w:val="00FA348F"/>
  </w:style>
  <w:style w:type="paragraph" w:styleId="IndexHeading">
    <w:name w:val="index heading"/>
    <w:basedOn w:val="Normal"/>
    <w:next w:val="Index1"/>
    <w:semiHidden/>
    <w:rsid w:val="00FA348F"/>
  </w:style>
  <w:style w:type="paragraph" w:styleId="Footer">
    <w:name w:val="footer"/>
    <w:basedOn w:val="Normal"/>
    <w:link w:val="FooterChar"/>
    <w:rsid w:val="00FA348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FA348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FA348F"/>
    <w:rPr>
      <w:position w:val="6"/>
      <w:sz w:val="16"/>
    </w:rPr>
  </w:style>
  <w:style w:type="paragraph" w:styleId="FootnoteText">
    <w:name w:val="footnote text"/>
    <w:basedOn w:val="Normal"/>
    <w:rsid w:val="00FA348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A348F"/>
    <w:pPr>
      <w:ind w:left="794"/>
    </w:pPr>
  </w:style>
  <w:style w:type="paragraph" w:customStyle="1" w:styleId="TableLegend">
    <w:name w:val="Table_Legend"/>
    <w:basedOn w:val="TableText"/>
    <w:rsid w:val="00FA348F"/>
    <w:pPr>
      <w:spacing w:before="120"/>
    </w:pPr>
  </w:style>
  <w:style w:type="paragraph" w:customStyle="1" w:styleId="TableText">
    <w:name w:val="Table_Text"/>
    <w:basedOn w:val="Normal"/>
    <w:rsid w:val="00FA348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FA348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A348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A348F"/>
    <w:pPr>
      <w:spacing w:before="80"/>
      <w:ind w:left="794" w:hanging="794"/>
    </w:pPr>
  </w:style>
  <w:style w:type="paragraph" w:customStyle="1" w:styleId="enumlev2">
    <w:name w:val="enumlev2"/>
    <w:basedOn w:val="enumlev1"/>
    <w:rsid w:val="00FA348F"/>
    <w:pPr>
      <w:ind w:left="1191" w:hanging="397"/>
    </w:pPr>
  </w:style>
  <w:style w:type="paragraph" w:customStyle="1" w:styleId="enumlev3">
    <w:name w:val="enumlev3"/>
    <w:basedOn w:val="enumlev2"/>
    <w:rsid w:val="00FA348F"/>
    <w:pPr>
      <w:ind w:left="1588"/>
    </w:pPr>
  </w:style>
  <w:style w:type="paragraph" w:customStyle="1" w:styleId="TableHead">
    <w:name w:val="Table_Head"/>
    <w:basedOn w:val="TableText"/>
    <w:rsid w:val="00FA348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A348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A348F"/>
    <w:pPr>
      <w:spacing w:before="480"/>
    </w:pPr>
  </w:style>
  <w:style w:type="paragraph" w:customStyle="1" w:styleId="FigureTitle">
    <w:name w:val="Figure_Title"/>
    <w:basedOn w:val="TableTitle"/>
    <w:next w:val="Normal"/>
    <w:rsid w:val="00FA348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A348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A348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A348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A348F"/>
  </w:style>
  <w:style w:type="paragraph" w:customStyle="1" w:styleId="AppendixRef">
    <w:name w:val="Appendix_Ref"/>
    <w:basedOn w:val="AnnexRef"/>
    <w:next w:val="AppendixTitle"/>
    <w:rsid w:val="00FA348F"/>
  </w:style>
  <w:style w:type="paragraph" w:customStyle="1" w:styleId="AppendixTitle">
    <w:name w:val="Appendix_Title"/>
    <w:basedOn w:val="AnnexTitle"/>
    <w:next w:val="Normal"/>
    <w:rsid w:val="00FA348F"/>
  </w:style>
  <w:style w:type="paragraph" w:customStyle="1" w:styleId="RefTitle">
    <w:name w:val="Ref_Title"/>
    <w:basedOn w:val="Normal"/>
    <w:next w:val="RefText"/>
    <w:rsid w:val="00FA348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A348F"/>
    <w:pPr>
      <w:ind w:left="794" w:hanging="794"/>
    </w:pPr>
  </w:style>
  <w:style w:type="paragraph" w:customStyle="1" w:styleId="Equation">
    <w:name w:val="Equation"/>
    <w:basedOn w:val="Normal"/>
    <w:rsid w:val="00FA348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A348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A348F"/>
    <w:pPr>
      <w:spacing w:before="320"/>
    </w:pPr>
  </w:style>
  <w:style w:type="paragraph" w:customStyle="1" w:styleId="call">
    <w:name w:val="call"/>
    <w:basedOn w:val="Normal"/>
    <w:next w:val="Normal"/>
    <w:rsid w:val="00FA348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A348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A348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FA348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FA348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FA348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FA348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FA348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FA348F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FA348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FA348F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FA348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FA348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FA348F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FA348F"/>
  </w:style>
  <w:style w:type="paragraph" w:customStyle="1" w:styleId="listitem">
    <w:name w:val="listitem"/>
    <w:basedOn w:val="Normal"/>
    <w:rsid w:val="00FA348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FA348F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FA348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FA348F"/>
    <w:pPr>
      <w:tabs>
        <w:tab w:val="left" w:pos="397"/>
      </w:tabs>
    </w:pPr>
  </w:style>
  <w:style w:type="paragraph" w:customStyle="1" w:styleId="FirstFooter">
    <w:name w:val="FirstFooter"/>
    <w:basedOn w:val="Footer"/>
    <w:rsid w:val="00FA348F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FA348F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BF769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69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BF769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69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817D-2CDF-461E-9124-50A54901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1</TotalTime>
  <Pages>1</Pages>
  <Words>331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1950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bettini</cp:lastModifiedBy>
  <cp:revision>2</cp:revision>
  <cp:lastPrinted>2011-06-27T07:11:00Z</cp:lastPrinted>
  <dcterms:created xsi:type="dcterms:W3CDTF">2011-06-28T08:45:00Z</dcterms:created>
  <dcterms:modified xsi:type="dcterms:W3CDTF">2011-06-28T08:45:00Z</dcterms:modified>
</cp:coreProperties>
</file>