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ED3722" w:rsidTr="00303D62">
        <w:trPr>
          <w:cantSplit/>
        </w:trPr>
        <w:tc>
          <w:tcPr>
            <w:tcW w:w="6426" w:type="dxa"/>
            <w:vAlign w:val="center"/>
          </w:tcPr>
          <w:p w:rsidR="00C34772" w:rsidRPr="00ED372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ED3722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ED3722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ED3722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D372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1" name="Picture 1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ED3722" w:rsidTr="00303D62">
        <w:trPr>
          <w:cantSplit/>
        </w:trPr>
        <w:tc>
          <w:tcPr>
            <w:tcW w:w="6426" w:type="dxa"/>
            <w:vAlign w:val="center"/>
          </w:tcPr>
          <w:p w:rsidR="00C34772" w:rsidRPr="00ED372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ED372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ED3722" w:rsidRDefault="00C34772" w:rsidP="00303D62">
      <w:pPr>
        <w:tabs>
          <w:tab w:val="left" w:pos="5755"/>
        </w:tabs>
        <w:spacing w:before="0"/>
      </w:pPr>
    </w:p>
    <w:p w:rsidR="00C34772" w:rsidRPr="00ED3722" w:rsidRDefault="00C34772" w:rsidP="00303D62">
      <w:pPr>
        <w:tabs>
          <w:tab w:val="left" w:pos="5755"/>
        </w:tabs>
        <w:spacing w:before="0"/>
      </w:pPr>
    </w:p>
    <w:p w:rsidR="00C34772" w:rsidRPr="00ED3722" w:rsidRDefault="00C34772" w:rsidP="00C2055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 w:rsidRPr="00ED3722">
        <w:tab/>
        <w:t>Ginebra</w:t>
      </w:r>
      <w:r w:rsidR="0010787B" w:rsidRPr="00ED3722">
        <w:t>, 10</w:t>
      </w:r>
      <w:r w:rsidR="00991E9C" w:rsidRPr="00ED3722">
        <w:t xml:space="preserve"> de junio de 2011</w:t>
      </w:r>
    </w:p>
    <w:p w:rsidR="00C34772" w:rsidRPr="00ED3722" w:rsidRDefault="00C34772" w:rsidP="00303D62">
      <w:pPr>
        <w:spacing w:before="0" w:after="240"/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11"/>
        <w:gridCol w:w="4328"/>
      </w:tblGrid>
      <w:tr w:rsidR="00762E6E" w:rsidRPr="00ED3722" w:rsidTr="00762E6E">
        <w:trPr>
          <w:cantSplit/>
          <w:trHeight w:val="340"/>
        </w:trPr>
        <w:tc>
          <w:tcPr>
            <w:tcW w:w="1276" w:type="dxa"/>
          </w:tcPr>
          <w:p w:rsidR="00762E6E" w:rsidRPr="00ED3722" w:rsidRDefault="00762E6E" w:rsidP="00762E6E">
            <w:pPr>
              <w:spacing w:before="0"/>
            </w:pPr>
            <w:r w:rsidRPr="00ED3722">
              <w:rPr>
                <w:rFonts w:ascii="Futura Lt BT" w:hAnsi="Futura Lt BT"/>
                <w:sz w:val="20"/>
              </w:rPr>
              <w:t>Ref.:</w:t>
            </w:r>
          </w:p>
        </w:tc>
        <w:tc>
          <w:tcPr>
            <w:tcW w:w="4111" w:type="dxa"/>
          </w:tcPr>
          <w:p w:rsidR="00762E6E" w:rsidRPr="00ED3722" w:rsidRDefault="00762E6E" w:rsidP="00991E9C">
            <w:pPr>
              <w:spacing w:before="0"/>
            </w:pPr>
            <w:r w:rsidRPr="00ED3722">
              <w:rPr>
                <w:b/>
              </w:rPr>
              <w:t xml:space="preserve">Circular TSB </w:t>
            </w:r>
            <w:r w:rsidR="00991E9C" w:rsidRPr="00ED3722">
              <w:rPr>
                <w:b/>
              </w:rPr>
              <w:t>198</w:t>
            </w:r>
            <w:r w:rsidRPr="00ED3722">
              <w:br/>
              <w:t xml:space="preserve">COM </w:t>
            </w:r>
            <w:r w:rsidR="00991E9C" w:rsidRPr="00ED3722">
              <w:t>9</w:t>
            </w:r>
            <w:r w:rsidRPr="00ED3722">
              <w:t>/</w:t>
            </w:r>
            <w:r w:rsidR="00991E9C" w:rsidRPr="00ED3722">
              <w:t>SP</w:t>
            </w:r>
          </w:p>
          <w:p w:rsidR="00762E6E" w:rsidRPr="00ED3722" w:rsidRDefault="00762E6E" w:rsidP="00762E6E">
            <w:pPr>
              <w:spacing w:before="0"/>
            </w:pPr>
          </w:p>
        </w:tc>
        <w:tc>
          <w:tcPr>
            <w:tcW w:w="4328" w:type="dxa"/>
          </w:tcPr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 las Administraciones de los Estados Miembros de la Unión</w:t>
            </w:r>
            <w:r w:rsidR="00BF7797">
              <w:t>.</w:t>
            </w:r>
          </w:p>
        </w:tc>
      </w:tr>
      <w:tr w:rsidR="00762E6E" w:rsidRPr="00ED3722" w:rsidTr="00762E6E">
        <w:trPr>
          <w:cantSplit/>
        </w:trPr>
        <w:tc>
          <w:tcPr>
            <w:tcW w:w="1276" w:type="dxa"/>
          </w:tcPr>
          <w:p w:rsidR="00762E6E" w:rsidRPr="00ED3722" w:rsidRDefault="00762E6E" w:rsidP="00762E6E">
            <w:pPr>
              <w:spacing w:before="0"/>
            </w:pPr>
            <w:r w:rsidRPr="00ED3722">
              <w:rPr>
                <w:rFonts w:ascii="Futura Lt BT" w:hAnsi="Futura Lt BT"/>
                <w:sz w:val="20"/>
              </w:rPr>
              <w:t>Tel.:</w:t>
            </w:r>
            <w:r w:rsidRPr="00ED3722">
              <w:br/>
            </w:r>
            <w:r w:rsidR="00BF7797">
              <w:rPr>
                <w:rFonts w:ascii="Futura Lt BT" w:hAnsi="Futura Lt BT"/>
                <w:sz w:val="20"/>
              </w:rPr>
              <w:t>Fax</w:t>
            </w:r>
            <w:r w:rsidRPr="00ED3722">
              <w:rPr>
                <w:rFonts w:ascii="Futura Lt BT" w:hAnsi="Futura Lt BT"/>
                <w:sz w:val="20"/>
              </w:rPr>
              <w:t>:</w:t>
            </w:r>
            <w:r w:rsidRPr="00ED3722">
              <w:br/>
            </w:r>
            <w:r w:rsidRPr="00ED3722">
              <w:rPr>
                <w:rFonts w:ascii="Futura Lt BT" w:hAnsi="Futura Lt BT"/>
                <w:sz w:val="20"/>
              </w:rPr>
              <w:t>Correo-e:</w:t>
            </w:r>
          </w:p>
        </w:tc>
        <w:tc>
          <w:tcPr>
            <w:tcW w:w="4111" w:type="dxa"/>
          </w:tcPr>
          <w:p w:rsidR="00762E6E" w:rsidRPr="00ED3722" w:rsidRDefault="00762E6E" w:rsidP="00991E9C">
            <w:pPr>
              <w:spacing w:before="0"/>
            </w:pPr>
            <w:r w:rsidRPr="00ED3722">
              <w:t>+41 22 730</w:t>
            </w:r>
            <w:r w:rsidR="00991E9C" w:rsidRPr="00ED3722">
              <w:t xml:space="preserve"> 5858</w:t>
            </w:r>
            <w:r w:rsidRPr="00ED3722">
              <w:br/>
              <w:t>+41 22 730 5853</w:t>
            </w:r>
            <w:r w:rsidRPr="00ED3722">
              <w:br/>
            </w:r>
            <w:hyperlink r:id="rId9" w:history="1">
              <w:r w:rsidR="00991E9C" w:rsidRPr="00ED3722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328" w:type="dxa"/>
          </w:tcPr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rPr>
                <w:b/>
              </w:rPr>
              <w:t>Copia:</w:t>
            </w:r>
          </w:p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 los Miembros del Sector UIT-T;</w:t>
            </w:r>
          </w:p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 los Asociados del UIT-T;</w:t>
            </w:r>
          </w:p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 las Instituciones Académicas del UIT</w:t>
            </w:r>
            <w:r w:rsidRPr="00ED3722">
              <w:noBreakHyphen/>
              <w:t>T;</w:t>
            </w:r>
          </w:p>
          <w:p w:rsidR="00762E6E" w:rsidRPr="00ED3722" w:rsidRDefault="00762E6E" w:rsidP="00991E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 xml:space="preserve">Al Presidente y a los Vicepresidentes </w:t>
            </w:r>
            <w:r w:rsidRPr="00ED3722">
              <w:br/>
              <w:t xml:space="preserve">de la Comisión de Estudio </w:t>
            </w:r>
            <w:r w:rsidR="00991E9C" w:rsidRPr="00ED3722">
              <w:t>9</w:t>
            </w:r>
            <w:r w:rsidRPr="00ED3722">
              <w:t>;</w:t>
            </w:r>
          </w:p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Al Director de la Oficina de Desarrollo</w:t>
            </w:r>
            <w:r w:rsidRPr="00ED3722">
              <w:br/>
              <w:t>de las Telecomunicaciones;</w:t>
            </w:r>
          </w:p>
          <w:p w:rsidR="00762E6E" w:rsidRPr="00ED3722" w:rsidRDefault="00762E6E" w:rsidP="00762E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ED3722">
              <w:t>–</w:t>
            </w:r>
            <w:r w:rsidRPr="00ED3722">
              <w:tab/>
              <w:t>Al Director de la Oficina de Radiocomunicaciones</w:t>
            </w:r>
            <w:r w:rsidR="00BF7797">
              <w:t>.</w:t>
            </w:r>
          </w:p>
        </w:tc>
      </w:tr>
    </w:tbl>
    <w:p w:rsidR="00762E6E" w:rsidRPr="00ED3722" w:rsidRDefault="00762E6E" w:rsidP="00762E6E">
      <w:pPr>
        <w:spacing w:before="0" w:after="240"/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7088"/>
      </w:tblGrid>
      <w:tr w:rsidR="00762E6E" w:rsidRPr="00ED3722" w:rsidTr="00ED3722">
        <w:trPr>
          <w:cantSplit/>
          <w:trHeight w:val="680"/>
        </w:trPr>
        <w:tc>
          <w:tcPr>
            <w:tcW w:w="1276" w:type="dxa"/>
          </w:tcPr>
          <w:p w:rsidR="00762E6E" w:rsidRPr="00ED3722" w:rsidRDefault="00762E6E" w:rsidP="00762E6E">
            <w:pPr>
              <w:spacing w:before="0"/>
            </w:pPr>
            <w:r w:rsidRPr="00ED3722">
              <w:rPr>
                <w:rFonts w:ascii="Futura Lt BT" w:hAnsi="Futura Lt BT"/>
                <w:sz w:val="20"/>
              </w:rPr>
              <w:t>Asunto:</w:t>
            </w:r>
          </w:p>
        </w:tc>
        <w:tc>
          <w:tcPr>
            <w:tcW w:w="7088" w:type="dxa"/>
          </w:tcPr>
          <w:p w:rsidR="00762E6E" w:rsidRPr="00ED3722" w:rsidRDefault="007D76BF" w:rsidP="00ED3722">
            <w:pPr>
              <w:spacing w:before="0"/>
              <w:rPr>
                <w:b/>
                <w:bCs/>
              </w:rPr>
            </w:pPr>
            <w:r w:rsidRPr="00ED3722">
              <w:rPr>
                <w:b/>
              </w:rPr>
              <w:t>S</w:t>
            </w:r>
            <w:r w:rsidR="00762E6E" w:rsidRPr="00ED3722">
              <w:rPr>
                <w:b/>
              </w:rPr>
              <w:t>upresión de la Cuestión</w:t>
            </w:r>
            <w:r w:rsidR="00991E9C" w:rsidRPr="00ED3722">
              <w:rPr>
                <w:b/>
              </w:rPr>
              <w:t xml:space="preserve"> 13/9 </w:t>
            </w:r>
            <w:r w:rsidR="00ED3722" w:rsidRPr="00ED3722">
              <w:rPr>
                <w:b/>
              </w:rPr>
              <w:t>"</w:t>
            </w:r>
            <w:r w:rsidR="00991E9C" w:rsidRPr="00ED3722">
              <w:rPr>
                <w:b/>
              </w:rPr>
              <w:t>Transmisión de programas digitales en pantalla gigante destinados a la contribución y la distribución”</w:t>
            </w:r>
          </w:p>
        </w:tc>
      </w:tr>
    </w:tbl>
    <w:p w:rsidR="00C34772" w:rsidRPr="00ED3722" w:rsidRDefault="00C34772" w:rsidP="00303D62">
      <w:pPr>
        <w:ind w:left="-198"/>
        <w:rPr>
          <w:rFonts w:ascii="Century Gothic" w:hAnsi="Century Gothic"/>
          <w:color w:val="FFFFFF"/>
          <w:sz w:val="16"/>
        </w:rPr>
      </w:pPr>
    </w:p>
    <w:p w:rsidR="00C34772" w:rsidRPr="00ED3722" w:rsidRDefault="00C34772" w:rsidP="00303D62">
      <w:r w:rsidRPr="00ED3722">
        <w:t>Muy Señora mía/Muy Señor mío:</w:t>
      </w:r>
    </w:p>
    <w:p w:rsidR="00C34772" w:rsidRPr="00ED3722" w:rsidRDefault="00C34772" w:rsidP="00991E9C">
      <w:r w:rsidRPr="00ED3722">
        <w:t>1</w:t>
      </w:r>
      <w:r w:rsidRPr="00ED3722">
        <w:tab/>
        <w:t xml:space="preserve">Por la Circular TSB </w:t>
      </w:r>
      <w:r w:rsidR="00991E9C" w:rsidRPr="00ED3722">
        <w:t>176</w:t>
      </w:r>
      <w:r w:rsidRPr="00ED3722">
        <w:t xml:space="preserve"> del </w:t>
      </w:r>
      <w:r w:rsidR="00991E9C" w:rsidRPr="00ED3722">
        <w:t>25 de marzo de 2011,</w:t>
      </w:r>
      <w:r w:rsidRPr="00ED3722">
        <w:t xml:space="preserve"> y a petición de los Miembros presentes en la reunión de la Comisión de Estudio </w:t>
      </w:r>
      <w:r w:rsidR="00991E9C" w:rsidRPr="00ED3722">
        <w:t>9</w:t>
      </w:r>
      <w:r w:rsidRPr="00ED3722">
        <w:t xml:space="preserve"> (Ginebra, </w:t>
      </w:r>
      <w:r w:rsidR="00991E9C" w:rsidRPr="00ED3722">
        <w:t>14-18 de marzo de 2011</w:t>
      </w:r>
      <w:r w:rsidRPr="00ED3722">
        <w:t>), se propuso suprimir la Cuestión mencionada arriba, de conformidad con las disposiciones de la Resolución 1, Sección 7, de la AMNT (Johannesburgo, 2008).</w:t>
      </w:r>
    </w:p>
    <w:p w:rsidR="00C34772" w:rsidRPr="00ED3722" w:rsidRDefault="00C34772" w:rsidP="00991E9C">
      <w:r w:rsidRPr="00ED3722">
        <w:t>2</w:t>
      </w:r>
      <w:r w:rsidRPr="00ED3722">
        <w:tab/>
        <w:t xml:space="preserve">El </w:t>
      </w:r>
      <w:r w:rsidR="00991E9C" w:rsidRPr="00ED3722">
        <w:t>26 de mayo de 2011</w:t>
      </w:r>
      <w:r w:rsidRPr="00ED3722">
        <w:t xml:space="preserve"> se cumplieron las condiciones de supresión de esta Cuestión.</w:t>
      </w:r>
    </w:p>
    <w:p w:rsidR="00991E9C" w:rsidRPr="00ED3722" w:rsidRDefault="00C34772" w:rsidP="00991E9C">
      <w:pPr>
        <w:rPr>
          <w:b/>
        </w:rPr>
      </w:pPr>
      <w:r w:rsidRPr="00ED3722">
        <w:t>3</w:t>
      </w:r>
      <w:r w:rsidRPr="00ED3722">
        <w:tab/>
      </w:r>
      <w:r w:rsidR="00991E9C" w:rsidRPr="00ED3722">
        <w:t>N</w:t>
      </w:r>
      <w:r w:rsidRPr="00ED3722">
        <w:t>o se recibió ninguna objeción a la supresión.</w:t>
      </w:r>
      <w:r w:rsidR="00991E9C" w:rsidRPr="00ED3722">
        <w:t xml:space="preserve"> </w:t>
      </w:r>
      <w:r w:rsidRPr="00ED3722">
        <w:rPr>
          <w:b/>
        </w:rPr>
        <w:t xml:space="preserve">Queda, por tanto, suprimida </w:t>
      </w:r>
      <w:r w:rsidRPr="00ED3722">
        <w:rPr>
          <w:bCs/>
        </w:rPr>
        <w:t>la Cuestión</w:t>
      </w:r>
      <w:r w:rsidR="00991E9C" w:rsidRPr="00ED3722">
        <w:rPr>
          <w:bCs/>
        </w:rPr>
        <w:t xml:space="preserve"> siguiente</w:t>
      </w:r>
      <w:r w:rsidR="00240E62">
        <w:rPr>
          <w:bCs/>
        </w:rPr>
        <w:t>:</w:t>
      </w:r>
      <w:bookmarkStart w:id="0" w:name="_GoBack"/>
      <w:bookmarkEnd w:id="0"/>
    </w:p>
    <w:p w:rsidR="00C34772" w:rsidRPr="00ED3722" w:rsidRDefault="00991E9C" w:rsidP="00ED3722">
      <w:pPr>
        <w:tabs>
          <w:tab w:val="clear" w:pos="794"/>
          <w:tab w:val="clear" w:pos="1191"/>
        </w:tabs>
        <w:ind w:left="1588" w:hanging="1588"/>
      </w:pPr>
      <w:r w:rsidRPr="00ED3722">
        <w:rPr>
          <w:b/>
        </w:rPr>
        <w:t>Cuestión 13/9:</w:t>
      </w:r>
      <w:r w:rsidRPr="00ED3722">
        <w:rPr>
          <w:b/>
        </w:rPr>
        <w:tab/>
        <w:t>Transmisión de programas digitales en pantalla gigante destinados a la contribución y la distribución</w:t>
      </w:r>
    </w:p>
    <w:p w:rsidR="00C34772" w:rsidRPr="00ED3722" w:rsidRDefault="00C34772" w:rsidP="001B6D41">
      <w:r w:rsidRPr="00ED3722">
        <w:t>Le saluda muy atentamente</w:t>
      </w:r>
      <w:r w:rsidR="001B6D41" w:rsidRPr="00ED3722">
        <w:t>.</w:t>
      </w:r>
    </w:p>
    <w:p w:rsidR="00C34772" w:rsidRPr="00ED3722" w:rsidRDefault="00C34772" w:rsidP="00ED3722">
      <w:pPr>
        <w:spacing w:before="1200"/>
      </w:pPr>
      <w:r w:rsidRPr="00ED3722">
        <w:t>Malcolm Johnson</w:t>
      </w:r>
      <w:r w:rsidRPr="00ED3722">
        <w:br/>
        <w:t>Director de la Oficina de</w:t>
      </w:r>
      <w:r w:rsidRPr="00ED3722">
        <w:br/>
        <w:t>Normalización de las Telecomunicaciones</w:t>
      </w:r>
    </w:p>
    <w:sectPr w:rsidR="00C34772" w:rsidRPr="00ED3722" w:rsidSect="00884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6E" w:rsidRDefault="00762E6E">
      <w:r>
        <w:separator/>
      </w:r>
    </w:p>
  </w:endnote>
  <w:endnote w:type="continuationSeparator" w:id="0">
    <w:p w:rsidR="00762E6E" w:rsidRDefault="0076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05" w:rsidRDefault="004A57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6E" w:rsidRPr="00303D62" w:rsidRDefault="001B491A" w:rsidP="00303D62">
    <w:pPr>
      <w:pStyle w:val="Footer"/>
      <w:rPr>
        <w:lang w:val="fr-CH"/>
      </w:rPr>
    </w:pPr>
    <w:fldSimple w:instr=" FILENAME \p  \* MERGEFORMAT ">
      <w:r w:rsidR="00053A33">
        <w:rPr>
          <w:noProof/>
          <w:sz w:val="16"/>
          <w:szCs w:val="16"/>
          <w:lang w:val="fr-CH"/>
        </w:rPr>
        <w:t>M:\SG_DOC\SG9\_CIRCULARS\198s.docx</w:t>
      </w:r>
    </w:fldSimple>
    <w:r w:rsidR="00762E6E" w:rsidRPr="00303D62">
      <w:rPr>
        <w:noProof/>
        <w:sz w:val="16"/>
        <w:szCs w:val="16"/>
        <w:lang w:val="fr-CH"/>
      </w:rPr>
      <w:t xml:space="preserve"> (305381)</w:t>
    </w:r>
    <w:r w:rsidR="00762E6E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762E6E"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8E4BAF">
      <w:rPr>
        <w:noProof/>
        <w:sz w:val="16"/>
        <w:szCs w:val="16"/>
      </w:rPr>
      <w:t>20.06.11</w:t>
    </w:r>
    <w:r w:rsidRPr="00303D62">
      <w:rPr>
        <w:sz w:val="16"/>
        <w:szCs w:val="16"/>
      </w:rPr>
      <w:fldChar w:fldCharType="end"/>
    </w:r>
    <w:r w:rsidR="00762E6E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762E6E"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053A33">
      <w:rPr>
        <w:noProof/>
        <w:sz w:val="16"/>
        <w:szCs w:val="16"/>
      </w:rPr>
      <w:t>20.06.11</w:t>
    </w:r>
    <w:r w:rsidRPr="00303D62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62E6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2E6E" w:rsidRDefault="00762E6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2E6E" w:rsidRDefault="00762E6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2E6E" w:rsidRDefault="00762E6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62E6E" w:rsidRDefault="00762E6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62E6E">
      <w:tc>
        <w:tcPr>
          <w:tcW w:w="1985" w:type="dxa"/>
        </w:tcPr>
        <w:p w:rsidR="00762E6E" w:rsidRDefault="00762E6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62E6E" w:rsidRDefault="00762E6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62E6E" w:rsidRDefault="00762E6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62E6E" w:rsidRDefault="00762E6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62E6E">
      <w:tc>
        <w:tcPr>
          <w:tcW w:w="1985" w:type="dxa"/>
        </w:tcPr>
        <w:p w:rsidR="00762E6E" w:rsidRDefault="00762E6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62E6E" w:rsidRDefault="00762E6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62E6E" w:rsidRDefault="00762E6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62E6E" w:rsidRDefault="00762E6E">
          <w:pPr>
            <w:pStyle w:val="FirstFooter"/>
            <w:rPr>
              <w:rFonts w:ascii="Futura Lt BT" w:hAnsi="Futura Lt BT"/>
            </w:rPr>
          </w:pPr>
        </w:p>
      </w:tc>
    </w:tr>
  </w:tbl>
  <w:p w:rsidR="007103F4" w:rsidRPr="007103F4" w:rsidRDefault="007103F4" w:rsidP="004A5705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6E" w:rsidRDefault="00762E6E">
      <w:r>
        <w:t>____________________</w:t>
      </w:r>
    </w:p>
  </w:footnote>
  <w:footnote w:type="continuationSeparator" w:id="0">
    <w:p w:rsidR="00762E6E" w:rsidRDefault="00762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05" w:rsidRDefault="004A57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6E" w:rsidRPr="00303D62" w:rsidRDefault="00762E6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1B491A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1B491A" w:rsidRPr="00303D62">
      <w:rPr>
        <w:rStyle w:val="PageNumber"/>
        <w:sz w:val="18"/>
        <w:szCs w:val="18"/>
      </w:rPr>
      <w:fldChar w:fldCharType="separate"/>
    </w:r>
    <w:r w:rsidR="00240E62">
      <w:rPr>
        <w:rStyle w:val="PageNumber"/>
        <w:noProof/>
        <w:sz w:val="18"/>
        <w:szCs w:val="18"/>
      </w:rPr>
      <w:t>1</w:t>
    </w:r>
    <w:r w:rsidR="001B491A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05" w:rsidRDefault="004A57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53A33"/>
    <w:rsid w:val="000C382F"/>
    <w:rsid w:val="0010787B"/>
    <w:rsid w:val="001130C7"/>
    <w:rsid w:val="001173CC"/>
    <w:rsid w:val="001A54CC"/>
    <w:rsid w:val="001B0DDF"/>
    <w:rsid w:val="001B491A"/>
    <w:rsid w:val="001B6D41"/>
    <w:rsid w:val="00240E62"/>
    <w:rsid w:val="00257FB4"/>
    <w:rsid w:val="00303D62"/>
    <w:rsid w:val="00335367"/>
    <w:rsid w:val="00370C2D"/>
    <w:rsid w:val="003D1E8D"/>
    <w:rsid w:val="003D673B"/>
    <w:rsid w:val="003F2855"/>
    <w:rsid w:val="00401C20"/>
    <w:rsid w:val="004A5705"/>
    <w:rsid w:val="004C4144"/>
    <w:rsid w:val="004F10B9"/>
    <w:rsid w:val="006969B4"/>
    <w:rsid w:val="007103F4"/>
    <w:rsid w:val="00762E6E"/>
    <w:rsid w:val="007810DA"/>
    <w:rsid w:val="00781E2A"/>
    <w:rsid w:val="007D76BF"/>
    <w:rsid w:val="008258C2"/>
    <w:rsid w:val="008505BD"/>
    <w:rsid w:val="00850C78"/>
    <w:rsid w:val="00884C2B"/>
    <w:rsid w:val="008C17AD"/>
    <w:rsid w:val="008D02CD"/>
    <w:rsid w:val="008E4BAF"/>
    <w:rsid w:val="0095172A"/>
    <w:rsid w:val="00991E9C"/>
    <w:rsid w:val="00A54E47"/>
    <w:rsid w:val="00AE7093"/>
    <w:rsid w:val="00B422BC"/>
    <w:rsid w:val="00B43F77"/>
    <w:rsid w:val="00B95F0A"/>
    <w:rsid w:val="00B96180"/>
    <w:rsid w:val="00BF7797"/>
    <w:rsid w:val="00C17AC0"/>
    <w:rsid w:val="00C20553"/>
    <w:rsid w:val="00C34772"/>
    <w:rsid w:val="00DB4F1F"/>
    <w:rsid w:val="00DD77C9"/>
    <w:rsid w:val="00E839B0"/>
    <w:rsid w:val="00E92C09"/>
    <w:rsid w:val="00ED3722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C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884C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4C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84C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84C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84C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84C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84C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84C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84C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884C2B"/>
    <w:rPr>
      <w:vertAlign w:val="superscript"/>
    </w:rPr>
  </w:style>
  <w:style w:type="paragraph" w:styleId="TOC8">
    <w:name w:val="toc 8"/>
    <w:basedOn w:val="TOC3"/>
    <w:rsid w:val="00884C2B"/>
  </w:style>
  <w:style w:type="paragraph" w:styleId="TOC7">
    <w:name w:val="toc 7"/>
    <w:basedOn w:val="TOC3"/>
    <w:rsid w:val="00884C2B"/>
  </w:style>
  <w:style w:type="paragraph" w:styleId="TOC6">
    <w:name w:val="toc 6"/>
    <w:basedOn w:val="TOC3"/>
    <w:rsid w:val="00884C2B"/>
  </w:style>
  <w:style w:type="paragraph" w:styleId="TOC5">
    <w:name w:val="toc 5"/>
    <w:basedOn w:val="TOC3"/>
    <w:rsid w:val="00884C2B"/>
  </w:style>
  <w:style w:type="paragraph" w:styleId="TOC4">
    <w:name w:val="toc 4"/>
    <w:basedOn w:val="TOC3"/>
    <w:rsid w:val="00884C2B"/>
  </w:style>
  <w:style w:type="paragraph" w:styleId="TOC3">
    <w:name w:val="toc 3"/>
    <w:basedOn w:val="TOC2"/>
    <w:rsid w:val="00884C2B"/>
    <w:pPr>
      <w:spacing w:before="80"/>
    </w:pPr>
  </w:style>
  <w:style w:type="paragraph" w:styleId="TOC2">
    <w:name w:val="toc 2"/>
    <w:basedOn w:val="TOC1"/>
    <w:rsid w:val="00884C2B"/>
    <w:pPr>
      <w:spacing w:before="120"/>
    </w:pPr>
  </w:style>
  <w:style w:type="paragraph" w:styleId="TOC1">
    <w:name w:val="toc 1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84C2B"/>
    <w:pPr>
      <w:ind w:left="1698"/>
    </w:pPr>
  </w:style>
  <w:style w:type="paragraph" w:styleId="Index6">
    <w:name w:val="index 6"/>
    <w:basedOn w:val="Normal"/>
    <w:next w:val="Normal"/>
    <w:semiHidden/>
    <w:rsid w:val="00884C2B"/>
    <w:pPr>
      <w:ind w:left="1415"/>
    </w:pPr>
  </w:style>
  <w:style w:type="paragraph" w:styleId="Index5">
    <w:name w:val="index 5"/>
    <w:basedOn w:val="Normal"/>
    <w:next w:val="Normal"/>
    <w:semiHidden/>
    <w:rsid w:val="00884C2B"/>
    <w:pPr>
      <w:ind w:left="1132"/>
    </w:pPr>
  </w:style>
  <w:style w:type="paragraph" w:styleId="Index4">
    <w:name w:val="index 4"/>
    <w:basedOn w:val="Normal"/>
    <w:next w:val="Normal"/>
    <w:semiHidden/>
    <w:rsid w:val="00884C2B"/>
    <w:pPr>
      <w:ind w:left="849"/>
    </w:pPr>
  </w:style>
  <w:style w:type="paragraph" w:styleId="Index3">
    <w:name w:val="index 3"/>
    <w:basedOn w:val="Normal"/>
    <w:next w:val="Normal"/>
    <w:rsid w:val="00884C2B"/>
    <w:pPr>
      <w:ind w:left="566"/>
    </w:pPr>
  </w:style>
  <w:style w:type="paragraph" w:styleId="Index2">
    <w:name w:val="index 2"/>
    <w:basedOn w:val="Normal"/>
    <w:next w:val="Normal"/>
    <w:rsid w:val="00884C2B"/>
    <w:pPr>
      <w:ind w:left="283"/>
    </w:pPr>
  </w:style>
  <w:style w:type="paragraph" w:styleId="Index1">
    <w:name w:val="index 1"/>
    <w:basedOn w:val="Normal"/>
    <w:next w:val="Normal"/>
    <w:rsid w:val="00884C2B"/>
  </w:style>
  <w:style w:type="character" w:styleId="LineNumber">
    <w:name w:val="line number"/>
    <w:basedOn w:val="DefaultParagraphFont"/>
    <w:rsid w:val="00884C2B"/>
  </w:style>
  <w:style w:type="paragraph" w:styleId="IndexHeading">
    <w:name w:val="index heading"/>
    <w:basedOn w:val="Normal"/>
    <w:next w:val="Index1"/>
    <w:semiHidden/>
    <w:rsid w:val="00884C2B"/>
  </w:style>
  <w:style w:type="paragraph" w:styleId="Footer">
    <w:name w:val="footer"/>
    <w:basedOn w:val="Normal"/>
    <w:link w:val="FooterChar"/>
    <w:rsid w:val="00884C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84C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884C2B"/>
    <w:rPr>
      <w:position w:val="6"/>
      <w:sz w:val="16"/>
    </w:rPr>
  </w:style>
  <w:style w:type="paragraph" w:styleId="FootnoteText">
    <w:name w:val="footnote text"/>
    <w:basedOn w:val="Normal"/>
    <w:rsid w:val="00884C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84C2B"/>
    <w:pPr>
      <w:ind w:left="794"/>
    </w:pPr>
  </w:style>
  <w:style w:type="paragraph" w:customStyle="1" w:styleId="TableLegend">
    <w:name w:val="Table_Legend"/>
    <w:basedOn w:val="TableText"/>
    <w:rsid w:val="00884C2B"/>
    <w:pPr>
      <w:spacing w:before="120"/>
    </w:pPr>
  </w:style>
  <w:style w:type="paragraph" w:customStyle="1" w:styleId="TableText">
    <w:name w:val="Table_Text"/>
    <w:basedOn w:val="Normal"/>
    <w:rsid w:val="00884C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84C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84C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84C2B"/>
    <w:pPr>
      <w:spacing w:before="80"/>
      <w:ind w:left="794" w:hanging="794"/>
    </w:pPr>
  </w:style>
  <w:style w:type="paragraph" w:customStyle="1" w:styleId="enumlev2">
    <w:name w:val="enumlev2"/>
    <w:basedOn w:val="enumlev1"/>
    <w:rsid w:val="00884C2B"/>
    <w:pPr>
      <w:ind w:left="1191" w:hanging="397"/>
    </w:pPr>
  </w:style>
  <w:style w:type="paragraph" w:customStyle="1" w:styleId="enumlev3">
    <w:name w:val="enumlev3"/>
    <w:basedOn w:val="enumlev2"/>
    <w:rsid w:val="00884C2B"/>
    <w:pPr>
      <w:ind w:left="1588"/>
    </w:pPr>
  </w:style>
  <w:style w:type="paragraph" w:customStyle="1" w:styleId="TableHead">
    <w:name w:val="Table_Head"/>
    <w:basedOn w:val="TableText"/>
    <w:rsid w:val="00884C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84C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84C2B"/>
    <w:pPr>
      <w:spacing w:before="480"/>
    </w:pPr>
  </w:style>
  <w:style w:type="paragraph" w:customStyle="1" w:styleId="FigureTitle">
    <w:name w:val="Figure_Title"/>
    <w:basedOn w:val="TableTitle"/>
    <w:next w:val="Normal"/>
    <w:rsid w:val="00884C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84C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84C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84C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84C2B"/>
  </w:style>
  <w:style w:type="paragraph" w:customStyle="1" w:styleId="AppendixRef">
    <w:name w:val="Appendix_Ref"/>
    <w:basedOn w:val="AnnexRef"/>
    <w:next w:val="AppendixTitle"/>
    <w:rsid w:val="00884C2B"/>
  </w:style>
  <w:style w:type="paragraph" w:customStyle="1" w:styleId="AppendixTitle">
    <w:name w:val="Appendix_Title"/>
    <w:basedOn w:val="AnnexTitle"/>
    <w:next w:val="Normal"/>
    <w:rsid w:val="00884C2B"/>
  </w:style>
  <w:style w:type="paragraph" w:customStyle="1" w:styleId="RefTitle">
    <w:name w:val="Ref_Title"/>
    <w:basedOn w:val="Normal"/>
    <w:next w:val="RefText"/>
    <w:rsid w:val="00884C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C2B"/>
    <w:pPr>
      <w:ind w:left="794" w:hanging="794"/>
    </w:pPr>
  </w:style>
  <w:style w:type="paragraph" w:customStyle="1" w:styleId="Equation">
    <w:name w:val="Equation"/>
    <w:basedOn w:val="Normal"/>
    <w:rsid w:val="00884C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84C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84C2B"/>
    <w:pPr>
      <w:spacing w:before="320"/>
    </w:pPr>
  </w:style>
  <w:style w:type="paragraph" w:customStyle="1" w:styleId="call">
    <w:name w:val="call"/>
    <w:basedOn w:val="Normal"/>
    <w:next w:val="Normal"/>
    <w:rsid w:val="00884C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84C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84C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84C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84C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84C2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884C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84C2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884C2B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884C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884C2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884C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884C2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884C2B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884C2B"/>
  </w:style>
  <w:style w:type="paragraph" w:customStyle="1" w:styleId="listitem">
    <w:name w:val="listitem"/>
    <w:basedOn w:val="Normal"/>
    <w:rsid w:val="00884C2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884C2B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84C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84C2B"/>
    <w:pPr>
      <w:tabs>
        <w:tab w:val="left" w:pos="397"/>
      </w:tabs>
    </w:pPr>
  </w:style>
  <w:style w:type="paragraph" w:customStyle="1" w:styleId="FirstFooter">
    <w:name w:val="FirstFooter"/>
    <w:basedOn w:val="Footer"/>
    <w:rsid w:val="00884C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84C2B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1130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0C7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1130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0C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4040-9A05-4B73-8C30-49B0C83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1</Pages>
  <Words>232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2011-06-20T08:46:00Z</cp:lastPrinted>
  <dcterms:created xsi:type="dcterms:W3CDTF">2011-06-20T11:50:00Z</dcterms:created>
  <dcterms:modified xsi:type="dcterms:W3CDTF">2011-06-20T11:50:00Z</dcterms:modified>
</cp:coreProperties>
</file>