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EB000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8A57C9" w:rsidP="00EB000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EB000A">
            <w:pPr>
              <w:tabs>
                <w:tab w:val="right" w:pos="8732"/>
              </w:tabs>
              <w:spacing w:before="0"/>
              <w:rPr>
                <w:rFonts w:ascii="Verdana" w:hAnsi="Verdana"/>
                <w:b/>
                <w:bCs/>
                <w:iCs/>
                <w:sz w:val="18"/>
                <w:szCs w:val="18"/>
              </w:rPr>
            </w:pPr>
          </w:p>
        </w:tc>
        <w:tc>
          <w:tcPr>
            <w:tcW w:w="3261" w:type="dxa"/>
            <w:vAlign w:val="center"/>
          </w:tcPr>
          <w:p w:rsidR="00F346AB" w:rsidRPr="00F50108" w:rsidRDefault="00F346AB" w:rsidP="00EB000A">
            <w:pPr>
              <w:spacing w:before="0"/>
              <w:ind w:left="993" w:hanging="993"/>
              <w:jc w:val="right"/>
              <w:rPr>
                <w:rFonts w:ascii="Verdana" w:hAnsi="Verdana"/>
                <w:sz w:val="18"/>
                <w:szCs w:val="18"/>
                <w:lang w:val="en-US"/>
              </w:rPr>
            </w:pPr>
          </w:p>
        </w:tc>
      </w:tr>
    </w:tbl>
    <w:p w:rsidR="0063445E" w:rsidRDefault="0063445E" w:rsidP="00EB000A">
      <w:pPr>
        <w:pStyle w:val="Index1"/>
        <w:tabs>
          <w:tab w:val="clear" w:pos="794"/>
          <w:tab w:val="clear" w:pos="1191"/>
          <w:tab w:val="clear" w:pos="1588"/>
          <w:tab w:val="clear" w:pos="1985"/>
          <w:tab w:val="left" w:pos="5387"/>
        </w:tabs>
        <w:rPr>
          <w:lang w:eastAsia="zh-CN"/>
        </w:rPr>
      </w:pPr>
    </w:p>
    <w:p w:rsidR="0063445E" w:rsidRDefault="0063445E" w:rsidP="00EB000A">
      <w:pPr>
        <w:pStyle w:val="Index1"/>
        <w:tabs>
          <w:tab w:val="clear" w:pos="794"/>
          <w:tab w:val="clear" w:pos="1191"/>
          <w:tab w:val="clear" w:pos="1588"/>
          <w:tab w:val="clear" w:pos="1985"/>
          <w:tab w:val="left" w:pos="5387"/>
        </w:tabs>
        <w:rPr>
          <w:lang w:eastAsia="zh-CN"/>
        </w:rPr>
      </w:pPr>
      <w:r>
        <w:rPr>
          <w:lang w:eastAsia="zh-CN"/>
        </w:rPr>
        <w:tab/>
      </w:r>
      <w:r w:rsidR="009B6A05">
        <w:rPr>
          <w:rFonts w:hint="eastAsia"/>
          <w:lang w:eastAsia="zh-CN"/>
        </w:rPr>
        <w:t>2011</w:t>
      </w:r>
      <w:r w:rsidR="009B6A05">
        <w:rPr>
          <w:rFonts w:hint="eastAsia"/>
          <w:lang w:eastAsia="zh-CN"/>
        </w:rPr>
        <w:t>年</w:t>
      </w:r>
      <w:r w:rsidR="009B6A05">
        <w:rPr>
          <w:rFonts w:hint="eastAsia"/>
          <w:lang w:eastAsia="zh-CN"/>
        </w:rPr>
        <w:t>3</w:t>
      </w:r>
      <w:r w:rsidR="009B6A05">
        <w:rPr>
          <w:rFonts w:hint="eastAsia"/>
          <w:lang w:eastAsia="zh-CN"/>
        </w:rPr>
        <w:t>月</w:t>
      </w:r>
      <w:r w:rsidR="009B6A05">
        <w:rPr>
          <w:rFonts w:hint="eastAsia"/>
          <w:lang w:eastAsia="zh-CN"/>
        </w:rPr>
        <w:t>14</w:t>
      </w:r>
      <w:r w:rsidR="009B6A05">
        <w:rPr>
          <w:rFonts w:hint="eastAsia"/>
          <w:lang w:eastAsia="zh-CN"/>
        </w:rPr>
        <w:t>日</w:t>
      </w:r>
      <w:r w:rsidR="007568DA">
        <w:rPr>
          <w:rFonts w:hint="eastAsia"/>
          <w:lang w:eastAsia="zh-CN"/>
        </w:rPr>
        <w:t>，</w:t>
      </w:r>
      <w:r>
        <w:rPr>
          <w:rFonts w:hint="eastAsia"/>
          <w:lang w:eastAsia="zh-CN"/>
        </w:rPr>
        <w:t>日内瓦</w:t>
      </w:r>
    </w:p>
    <w:p w:rsidR="0063445E" w:rsidRDefault="0063445E" w:rsidP="00EB000A"/>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EB000A">
            <w:pPr>
              <w:tabs>
                <w:tab w:val="left" w:pos="4111"/>
              </w:tabs>
              <w:spacing w:before="10"/>
              <w:rPr>
                <w:szCs w:val="24"/>
                <w:lang w:eastAsia="zh-CN"/>
              </w:rPr>
            </w:pPr>
            <w:r w:rsidRPr="00841612">
              <w:rPr>
                <w:rFonts w:hint="eastAsia"/>
                <w:szCs w:val="24"/>
                <w:lang w:eastAsia="zh-CN"/>
              </w:rPr>
              <w:t>文号：</w:t>
            </w:r>
          </w:p>
          <w:p w:rsidR="0063445E" w:rsidRPr="00841612" w:rsidRDefault="0063445E" w:rsidP="00EB000A">
            <w:pPr>
              <w:tabs>
                <w:tab w:val="left" w:pos="4111"/>
              </w:tabs>
              <w:spacing w:before="10"/>
              <w:rPr>
                <w:szCs w:val="24"/>
              </w:rPr>
            </w:pPr>
          </w:p>
          <w:p w:rsidR="0063445E" w:rsidRPr="00841612" w:rsidRDefault="0063445E" w:rsidP="00EB000A">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EB000A">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EB000A">
            <w:pPr>
              <w:tabs>
                <w:tab w:val="left" w:pos="4111"/>
              </w:tabs>
              <w:spacing w:before="0"/>
              <w:rPr>
                <w:b/>
                <w:szCs w:val="24"/>
                <w:lang w:eastAsia="zh-CN"/>
              </w:rPr>
            </w:pPr>
            <w:r w:rsidRPr="00841612">
              <w:rPr>
                <w:rFonts w:hint="eastAsia"/>
                <w:b/>
                <w:szCs w:val="24"/>
                <w:lang w:eastAsia="zh-CN"/>
              </w:rPr>
              <w:t>电信标准化局第</w:t>
            </w:r>
            <w:r w:rsidR="009B6A05">
              <w:rPr>
                <w:rFonts w:hint="eastAsia"/>
                <w:b/>
                <w:szCs w:val="24"/>
                <w:lang w:eastAsia="zh-CN"/>
              </w:rPr>
              <w:t>174</w:t>
            </w:r>
            <w:r w:rsidRPr="00841612">
              <w:rPr>
                <w:rFonts w:hint="eastAsia"/>
                <w:b/>
                <w:szCs w:val="24"/>
                <w:lang w:eastAsia="zh-CN"/>
              </w:rPr>
              <w:t>号通函</w:t>
            </w:r>
          </w:p>
          <w:p w:rsidR="0063445E" w:rsidRPr="00841612" w:rsidRDefault="009B6A05" w:rsidP="00EB000A">
            <w:pPr>
              <w:tabs>
                <w:tab w:val="left" w:pos="4111"/>
              </w:tabs>
              <w:spacing w:before="0"/>
              <w:rPr>
                <w:b/>
                <w:szCs w:val="24"/>
                <w:lang w:eastAsia="zh-CN"/>
              </w:rPr>
            </w:pPr>
            <w:r>
              <w:rPr>
                <w:rFonts w:hint="eastAsia"/>
                <w:szCs w:val="24"/>
                <w:lang w:eastAsia="zh-CN"/>
              </w:rPr>
              <w:t>TSAG</w:t>
            </w:r>
            <w:r w:rsidRPr="00841612">
              <w:rPr>
                <w:szCs w:val="24"/>
                <w:lang w:eastAsia="zh-CN"/>
              </w:rPr>
              <w:t>/</w:t>
            </w:r>
            <w:r>
              <w:rPr>
                <w:rFonts w:hint="eastAsia"/>
                <w:szCs w:val="24"/>
                <w:lang w:eastAsia="zh-CN"/>
              </w:rPr>
              <w:t>RH</w:t>
            </w:r>
          </w:p>
          <w:p w:rsidR="005C26FD" w:rsidRPr="00841612" w:rsidRDefault="0063445E" w:rsidP="00EB000A">
            <w:pPr>
              <w:tabs>
                <w:tab w:val="left" w:pos="4111"/>
              </w:tabs>
              <w:spacing w:before="80"/>
              <w:rPr>
                <w:szCs w:val="24"/>
                <w:lang w:val="en-US" w:eastAsia="zh-CN"/>
              </w:rPr>
            </w:pPr>
            <w:r w:rsidRPr="00841612">
              <w:rPr>
                <w:szCs w:val="24"/>
                <w:lang w:eastAsia="zh-CN"/>
              </w:rPr>
              <w:br/>
              <w:t xml:space="preserve">+41 22 730 </w:t>
            </w:r>
            <w:r w:rsidR="009B6A05">
              <w:rPr>
                <w:rFonts w:hint="eastAsia"/>
                <w:szCs w:val="24"/>
                <w:lang w:eastAsia="zh-CN"/>
              </w:rPr>
              <w:t>5887</w:t>
            </w:r>
          </w:p>
          <w:p w:rsidR="0063445E" w:rsidRPr="00841612" w:rsidRDefault="0063445E" w:rsidP="00EB000A">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EB000A">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EB000A">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F436B2" w:rsidP="00EB000A">
            <w:pPr>
              <w:tabs>
                <w:tab w:val="left" w:pos="4111"/>
              </w:tabs>
              <w:spacing w:before="0"/>
              <w:rPr>
                <w:lang w:eastAsia="zh-CN"/>
              </w:rPr>
            </w:pPr>
            <w:r>
              <w:rPr>
                <w:rFonts w:hint="eastAsia"/>
                <w:lang w:eastAsia="zh-CN"/>
              </w:rPr>
              <w:br/>
            </w:r>
            <w:hyperlink r:id="rId7" w:history="1">
              <w:r w:rsidR="009B6A05" w:rsidRPr="00EE5FF3">
                <w:rPr>
                  <w:rStyle w:val="Hyperlink"/>
                  <w:lang w:eastAsia="zh-CN"/>
                </w:rPr>
                <w:t>tsb</w:t>
              </w:r>
              <w:r w:rsidR="009B6A05" w:rsidRPr="00EE5FF3">
                <w:rPr>
                  <w:rStyle w:val="Hyperlink"/>
                  <w:lang w:val="en-US" w:eastAsia="zh-CN"/>
                </w:rPr>
                <w:t>dir</w:t>
              </w:r>
              <w:r w:rsidR="009B6A05" w:rsidRPr="00EE5FF3">
                <w:rPr>
                  <w:rStyle w:val="Hyperlink"/>
                  <w:lang w:eastAsia="zh-CN"/>
                </w:rPr>
                <w:t>@</w:t>
              </w:r>
              <w:proofErr w:type="spellStart"/>
              <w:r w:rsidR="009B6A05" w:rsidRPr="00EE5FF3">
                <w:rPr>
                  <w:rStyle w:val="Hyperlink"/>
                  <w:lang w:eastAsia="zh-CN"/>
                </w:rPr>
                <w:t>itu.int</w:t>
              </w:r>
              <w:proofErr w:type="spellEnd"/>
            </w:hyperlink>
          </w:p>
          <w:p w:rsidR="007568DA" w:rsidRPr="00841612" w:rsidRDefault="007568DA" w:rsidP="00EB000A">
            <w:pPr>
              <w:tabs>
                <w:tab w:val="left" w:pos="4111"/>
              </w:tabs>
              <w:spacing w:before="40"/>
              <w:rPr>
                <w:szCs w:val="24"/>
                <w:lang w:eastAsia="zh-CN"/>
              </w:rPr>
            </w:pPr>
          </w:p>
        </w:tc>
        <w:tc>
          <w:tcPr>
            <w:tcW w:w="4436" w:type="dxa"/>
          </w:tcPr>
          <w:p w:rsidR="0063445E" w:rsidRDefault="0063445E" w:rsidP="00EB000A">
            <w:pPr>
              <w:tabs>
                <w:tab w:val="left" w:pos="4111"/>
              </w:tabs>
              <w:spacing w:before="0"/>
              <w:rPr>
                <w:b/>
                <w:lang w:eastAsia="zh-CN"/>
              </w:rPr>
            </w:pPr>
            <w:r>
              <w:rPr>
                <w:rFonts w:hint="eastAsia"/>
                <w:b/>
                <w:lang w:eastAsia="zh-CN"/>
              </w:rPr>
              <w:t>抄送：</w:t>
            </w:r>
          </w:p>
          <w:p w:rsidR="0063445E" w:rsidRDefault="0063445E" w:rsidP="00EB000A">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EB000A">
            <w:pPr>
              <w:tabs>
                <w:tab w:val="clear" w:pos="794"/>
                <w:tab w:val="left" w:pos="141"/>
                <w:tab w:val="left" w:pos="4111"/>
              </w:tabs>
              <w:spacing w:before="0"/>
              <w:rPr>
                <w:lang w:eastAsia="zh-CN"/>
              </w:rPr>
            </w:pPr>
            <w:r>
              <w:rPr>
                <w:lang w:eastAsia="zh-CN"/>
              </w:rPr>
              <w:t>- ITU-T</w:t>
            </w:r>
            <w:r>
              <w:rPr>
                <w:rFonts w:hint="eastAsia"/>
                <w:lang w:eastAsia="zh-CN"/>
              </w:rPr>
              <w:t>部门准成员；</w:t>
            </w:r>
          </w:p>
          <w:p w:rsidR="0063445E" w:rsidRDefault="0063445E" w:rsidP="00EB000A">
            <w:pPr>
              <w:tabs>
                <w:tab w:val="clear" w:pos="794"/>
                <w:tab w:val="left" w:pos="141"/>
                <w:tab w:val="left" w:pos="4111"/>
              </w:tabs>
              <w:spacing w:before="0"/>
              <w:ind w:left="141" w:hanging="141"/>
              <w:rPr>
                <w:lang w:eastAsia="zh-CN"/>
              </w:rPr>
            </w:pPr>
            <w:r>
              <w:rPr>
                <w:lang w:eastAsia="zh-CN"/>
              </w:rPr>
              <w:t>-</w:t>
            </w:r>
            <w:r>
              <w:rPr>
                <w:lang w:eastAsia="zh-CN"/>
              </w:rPr>
              <w:tab/>
            </w:r>
            <w:r w:rsidR="009B6A05">
              <w:rPr>
                <w:lang w:eastAsia="zh-CN"/>
              </w:rPr>
              <w:t>ITU-T</w:t>
            </w:r>
            <w:r w:rsidR="009B6A05">
              <w:rPr>
                <w:rFonts w:hint="eastAsia"/>
                <w:lang w:eastAsia="zh-CN"/>
              </w:rPr>
              <w:t>部门各</w:t>
            </w:r>
            <w:r>
              <w:rPr>
                <w:rFonts w:hint="eastAsia"/>
                <w:lang w:eastAsia="zh-CN"/>
              </w:rPr>
              <w:t>研究组正副主席；</w:t>
            </w:r>
          </w:p>
          <w:p w:rsidR="0063445E" w:rsidRDefault="0063445E" w:rsidP="00EB000A">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EB000A">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EB000A">
            <w:pPr>
              <w:tabs>
                <w:tab w:val="clear" w:pos="794"/>
                <w:tab w:val="clear" w:pos="1191"/>
                <w:tab w:val="clear" w:pos="1588"/>
                <w:tab w:val="clear" w:pos="1985"/>
                <w:tab w:val="left" w:pos="284"/>
              </w:tabs>
              <w:spacing w:before="0"/>
              <w:ind w:left="284" w:hanging="284"/>
              <w:rPr>
                <w:lang w:eastAsia="zh-CN"/>
              </w:rPr>
            </w:pPr>
          </w:p>
        </w:tc>
      </w:tr>
    </w:tbl>
    <w:p w:rsidR="0063445E" w:rsidRDefault="0063445E" w:rsidP="00EB000A">
      <w:pPr>
        <w:spacing w:before="0"/>
        <w:rPr>
          <w:lang w:eastAsia="zh-CN"/>
        </w:rPr>
      </w:pPr>
    </w:p>
    <w:tbl>
      <w:tblPr>
        <w:tblW w:w="0" w:type="auto"/>
        <w:tblLayout w:type="fixed"/>
        <w:tblCellMar>
          <w:left w:w="107" w:type="dxa"/>
          <w:right w:w="107" w:type="dxa"/>
        </w:tblCellMar>
        <w:tblLook w:val="0000"/>
      </w:tblPr>
      <w:tblGrid>
        <w:gridCol w:w="1100"/>
        <w:gridCol w:w="7371"/>
      </w:tblGrid>
      <w:tr w:rsidR="0063445E" w:rsidTr="00EB000A">
        <w:trPr>
          <w:cantSplit/>
        </w:trPr>
        <w:tc>
          <w:tcPr>
            <w:tcW w:w="1100" w:type="dxa"/>
          </w:tcPr>
          <w:p w:rsidR="0063445E" w:rsidRDefault="0063445E" w:rsidP="00EB000A">
            <w:pPr>
              <w:tabs>
                <w:tab w:val="left" w:pos="4111"/>
              </w:tabs>
              <w:spacing w:before="10"/>
              <w:ind w:left="57"/>
              <w:rPr>
                <w:sz w:val="22"/>
                <w:lang w:eastAsia="zh-CN"/>
              </w:rPr>
            </w:pPr>
            <w:r>
              <w:rPr>
                <w:rFonts w:hint="eastAsia"/>
                <w:sz w:val="22"/>
                <w:lang w:eastAsia="zh-CN"/>
              </w:rPr>
              <w:t>事由：</w:t>
            </w:r>
          </w:p>
        </w:tc>
        <w:tc>
          <w:tcPr>
            <w:tcW w:w="7371" w:type="dxa"/>
          </w:tcPr>
          <w:p w:rsidR="0063445E" w:rsidRPr="00C82C28" w:rsidRDefault="00C82C28" w:rsidP="00EB000A">
            <w:pPr>
              <w:tabs>
                <w:tab w:val="left" w:pos="4111"/>
              </w:tabs>
              <w:spacing w:before="0"/>
              <w:ind w:left="57" w:right="28"/>
              <w:rPr>
                <w:b/>
                <w:lang w:eastAsia="zh-CN"/>
              </w:rPr>
            </w:pPr>
            <w:r>
              <w:rPr>
                <w:rFonts w:hint="eastAsia"/>
                <w:b/>
                <w:lang w:eastAsia="zh-CN"/>
              </w:rPr>
              <w:t>为就第</w:t>
            </w:r>
            <w:r w:rsidR="00BB6DE1" w:rsidRPr="00BB6DE1">
              <w:rPr>
                <w:b/>
                <w:lang w:eastAsia="zh-CN"/>
              </w:rPr>
              <w:t>178</w:t>
            </w:r>
            <w:r>
              <w:rPr>
                <w:rFonts w:hint="eastAsia"/>
                <w:b/>
                <w:lang w:eastAsia="zh-CN"/>
              </w:rPr>
              <w:t>号决议（</w:t>
            </w:r>
            <w:r>
              <w:rPr>
                <w:rFonts w:hint="eastAsia"/>
                <w:b/>
                <w:lang w:eastAsia="zh-CN"/>
              </w:rPr>
              <w:t>2010</w:t>
            </w:r>
            <w:r>
              <w:rPr>
                <w:rFonts w:hint="eastAsia"/>
                <w:b/>
                <w:lang w:eastAsia="zh-CN"/>
              </w:rPr>
              <w:t>年，瓜达拉哈拉）开展磋商成立通信小组</w:t>
            </w:r>
          </w:p>
        </w:tc>
      </w:tr>
    </w:tbl>
    <w:p w:rsidR="0063445E" w:rsidRDefault="0063445E" w:rsidP="00EB000A">
      <w:pPr>
        <w:rPr>
          <w:lang w:eastAsia="zh-CN"/>
        </w:rPr>
      </w:pPr>
      <w:bookmarkStart w:id="2" w:name="StartTyping_E"/>
      <w:bookmarkEnd w:id="2"/>
    </w:p>
    <w:p w:rsidR="0063445E" w:rsidRDefault="0063445E" w:rsidP="00EB000A">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EB000A">
      <w:pPr>
        <w:jc w:val="both"/>
        <w:rPr>
          <w:lang w:eastAsia="zh-CN"/>
        </w:rPr>
      </w:pPr>
      <w:r>
        <w:rPr>
          <w:bCs/>
          <w:lang w:eastAsia="zh-CN"/>
        </w:rPr>
        <w:t>1</w:t>
      </w:r>
      <w:r>
        <w:rPr>
          <w:lang w:eastAsia="zh-CN"/>
        </w:rPr>
        <w:tab/>
      </w:r>
      <w:r w:rsidR="00C82C28">
        <w:rPr>
          <w:rFonts w:hint="eastAsia"/>
          <w:lang w:eastAsia="zh-CN"/>
        </w:rPr>
        <w:t>2010</w:t>
      </w:r>
      <w:r w:rsidR="00C82C28">
        <w:rPr>
          <w:rFonts w:hint="eastAsia"/>
          <w:lang w:eastAsia="zh-CN"/>
        </w:rPr>
        <w:t>年</w:t>
      </w:r>
      <w:r w:rsidR="00C82C28">
        <w:rPr>
          <w:rFonts w:hint="eastAsia"/>
          <w:lang w:eastAsia="zh-CN"/>
        </w:rPr>
        <w:t>10</w:t>
      </w:r>
      <w:r w:rsidR="00C82C28">
        <w:rPr>
          <w:rFonts w:hint="eastAsia"/>
          <w:lang w:eastAsia="zh-CN"/>
        </w:rPr>
        <w:t>月在墨西哥瓜达拉哈拉举办的全权代表大会批准了有关国际电联在组织支持互联网的电信网络技术方面工作中的作用的第</w:t>
      </w:r>
      <w:r w:rsidR="00C82C28">
        <w:rPr>
          <w:rFonts w:hint="eastAsia"/>
          <w:lang w:eastAsia="zh-CN"/>
        </w:rPr>
        <w:t>178</w:t>
      </w:r>
      <w:r w:rsidR="00C82C28">
        <w:rPr>
          <w:rFonts w:hint="eastAsia"/>
          <w:lang w:eastAsia="zh-CN"/>
        </w:rPr>
        <w:t>号决议。该决议全文见本文</w:t>
      </w:r>
      <w:r>
        <w:rPr>
          <w:rFonts w:hint="eastAsia"/>
          <w:b/>
          <w:bCs/>
          <w:lang w:eastAsia="zh-CN"/>
        </w:rPr>
        <w:t>附件</w:t>
      </w:r>
      <w:r>
        <w:rPr>
          <w:rFonts w:hint="eastAsia"/>
          <w:b/>
          <w:bCs/>
          <w:lang w:eastAsia="zh-CN"/>
        </w:rPr>
        <w:t>1</w:t>
      </w:r>
      <w:r>
        <w:rPr>
          <w:rFonts w:hint="eastAsia"/>
          <w:lang w:eastAsia="zh-CN"/>
        </w:rPr>
        <w:t>。</w:t>
      </w:r>
    </w:p>
    <w:p w:rsidR="00BB6DE1" w:rsidRDefault="00BB6DE1" w:rsidP="00EB000A">
      <w:pPr>
        <w:jc w:val="both"/>
        <w:rPr>
          <w:lang w:eastAsia="zh-CN"/>
        </w:rPr>
      </w:pPr>
      <w:r>
        <w:rPr>
          <w:rFonts w:hint="eastAsia"/>
          <w:lang w:eastAsia="zh-CN"/>
        </w:rPr>
        <w:t>2</w:t>
      </w:r>
      <w:r>
        <w:rPr>
          <w:rFonts w:hint="eastAsia"/>
          <w:lang w:eastAsia="zh-CN"/>
        </w:rPr>
        <w:tab/>
      </w:r>
      <w:r w:rsidR="00C82C28">
        <w:rPr>
          <w:rFonts w:hint="eastAsia"/>
          <w:lang w:eastAsia="zh-CN"/>
        </w:rPr>
        <w:t>上述决议指出：</w:t>
      </w:r>
    </w:p>
    <w:p w:rsidR="00BB6DE1" w:rsidRPr="00BB6DE1" w:rsidRDefault="00BB6DE1" w:rsidP="00EB000A">
      <w:pPr>
        <w:keepNext/>
        <w:keepLines/>
        <w:tabs>
          <w:tab w:val="clear" w:pos="794"/>
          <w:tab w:val="clear" w:pos="1191"/>
          <w:tab w:val="clear" w:pos="1588"/>
          <w:tab w:val="clear" w:pos="1985"/>
        </w:tabs>
        <w:spacing w:before="160"/>
        <w:ind w:left="567"/>
        <w:jc w:val="both"/>
        <w:rPr>
          <w:rFonts w:ascii="STKaiti" w:eastAsia="STKaiti" w:hAnsi="STKaiti"/>
          <w:lang w:val="en-US" w:eastAsia="zh-CN"/>
        </w:rPr>
      </w:pPr>
      <w:r>
        <w:rPr>
          <w:rFonts w:ascii="STKaiti" w:eastAsia="STKaiti" w:hAnsi="STKaiti" w:hint="eastAsia"/>
          <w:lang w:val="en-US" w:eastAsia="zh-CN"/>
        </w:rPr>
        <w:t>“</w:t>
      </w:r>
      <w:r w:rsidRPr="00BB6DE1">
        <w:rPr>
          <w:rFonts w:ascii="STKaiti" w:eastAsia="STKaiti" w:hAnsi="STKaiti" w:hint="eastAsia"/>
          <w:lang w:val="en-US" w:eastAsia="zh-CN"/>
        </w:rPr>
        <w:t>做出决议</w:t>
      </w:r>
    </w:p>
    <w:p w:rsidR="00BB6DE1" w:rsidRDefault="00BB6DE1" w:rsidP="00EB000A">
      <w:pPr>
        <w:pStyle w:val="enumlev1"/>
        <w:ind w:firstLine="567"/>
        <w:rPr>
          <w:lang w:eastAsia="zh-CN"/>
        </w:rPr>
      </w:pPr>
      <w:r w:rsidRPr="00BB6DE1">
        <w:rPr>
          <w:rFonts w:hint="eastAsia"/>
          <w:lang w:eastAsia="zh-CN"/>
        </w:rPr>
        <w:t>国际电联须继续进行自身调整，以协调透明的方式为支持互联网发展电信网络技术，以便基于文稿开展工作，帮助推动网络演进、容量、持续性、互通性和安全性的发展，</w:t>
      </w:r>
    </w:p>
    <w:p w:rsidR="00BB6DE1" w:rsidRDefault="00C82C28" w:rsidP="00EB000A">
      <w:pPr>
        <w:keepNext/>
        <w:keepLines/>
        <w:tabs>
          <w:tab w:val="clear" w:pos="794"/>
          <w:tab w:val="clear" w:pos="1191"/>
          <w:tab w:val="clear" w:pos="1588"/>
          <w:tab w:val="clear" w:pos="1985"/>
        </w:tabs>
        <w:spacing w:before="160"/>
        <w:jc w:val="both"/>
        <w:rPr>
          <w:lang w:eastAsia="zh-CN"/>
        </w:rPr>
      </w:pPr>
      <w:r>
        <w:rPr>
          <w:rFonts w:hint="eastAsia"/>
          <w:lang w:eastAsia="zh-CN"/>
        </w:rPr>
        <w:t>该决议</w:t>
      </w:r>
      <w:r w:rsidR="007E4CEA">
        <w:rPr>
          <w:rFonts w:hint="eastAsia"/>
          <w:lang w:eastAsia="zh-CN"/>
        </w:rPr>
        <w:t>还</w:t>
      </w:r>
      <w:r>
        <w:rPr>
          <w:rFonts w:hint="eastAsia"/>
          <w:lang w:eastAsia="zh-CN"/>
        </w:rPr>
        <w:t>：</w:t>
      </w:r>
    </w:p>
    <w:p w:rsidR="00BB6DE1" w:rsidRPr="00F70933" w:rsidRDefault="00EB000A" w:rsidP="00EB000A">
      <w:pPr>
        <w:pStyle w:val="Call"/>
        <w:tabs>
          <w:tab w:val="clear" w:pos="567"/>
        </w:tabs>
        <w:ind w:left="0"/>
        <w:rPr>
          <w:lang w:val="en-US" w:eastAsia="zh-CN"/>
        </w:rPr>
      </w:pPr>
      <w:r>
        <w:rPr>
          <w:rFonts w:hint="eastAsia"/>
          <w:lang w:val="en-US" w:eastAsia="zh-CN"/>
        </w:rPr>
        <w:tab/>
      </w:r>
      <w:r w:rsidR="00BB6DE1">
        <w:rPr>
          <w:rFonts w:hint="eastAsia"/>
          <w:lang w:val="en-US" w:eastAsia="zh-CN"/>
        </w:rPr>
        <w:t>责成电信标准化局主任与电信标准化顾问组协商</w:t>
      </w:r>
    </w:p>
    <w:p w:rsidR="00BB6DE1" w:rsidRPr="00EB000A" w:rsidRDefault="00EB000A" w:rsidP="00EB000A">
      <w:pPr>
        <w:pStyle w:val="enumlev1"/>
        <w:rPr>
          <w:lang w:eastAsia="zh-CN"/>
        </w:rPr>
      </w:pPr>
      <w:r>
        <w:rPr>
          <w:rFonts w:hint="eastAsia"/>
          <w:lang w:eastAsia="zh-CN"/>
        </w:rPr>
        <w:tab/>
      </w:r>
      <w:r w:rsidR="00BB6DE1" w:rsidRPr="00EB000A">
        <w:rPr>
          <w:rFonts w:hint="eastAsia"/>
          <w:lang w:eastAsia="zh-CN"/>
        </w:rPr>
        <w:t>1</w:t>
      </w:r>
      <w:r w:rsidR="00BB6DE1" w:rsidRPr="00EB000A">
        <w:rPr>
          <w:rFonts w:hint="eastAsia"/>
          <w:lang w:eastAsia="zh-CN"/>
        </w:rPr>
        <w:tab/>
      </w:r>
      <w:r w:rsidR="00BB6DE1" w:rsidRPr="00EB000A">
        <w:rPr>
          <w:rFonts w:hint="eastAsia"/>
          <w:lang w:eastAsia="zh-CN"/>
        </w:rPr>
        <w:t>召开公开磋商会议，探讨</w:t>
      </w:r>
      <w:r w:rsidR="00BB6DE1" w:rsidRPr="00EB000A">
        <w:rPr>
          <w:rFonts w:hint="eastAsia"/>
          <w:lang w:eastAsia="zh-CN"/>
        </w:rPr>
        <w:t>ITU-T</w:t>
      </w:r>
      <w:r w:rsidR="00BB6DE1" w:rsidRPr="00EB000A">
        <w:rPr>
          <w:rFonts w:hint="eastAsia"/>
          <w:lang w:eastAsia="zh-CN"/>
        </w:rPr>
        <w:t>为落实信息社会世界峰会应做出的</w:t>
      </w:r>
      <w:r w:rsidR="00BB6DE1" w:rsidRPr="00EB000A">
        <w:rPr>
          <w:lang w:eastAsia="zh-CN"/>
        </w:rPr>
        <w:br/>
      </w:r>
      <w:r w:rsidR="00BB6DE1" w:rsidRPr="00EB000A">
        <w:rPr>
          <w:rFonts w:hint="eastAsia"/>
          <w:lang w:eastAsia="zh-CN"/>
        </w:rPr>
        <w:t>努力；</w:t>
      </w:r>
    </w:p>
    <w:p w:rsidR="00BB6DE1" w:rsidRPr="00EB000A" w:rsidRDefault="00EB000A" w:rsidP="00EB000A">
      <w:pPr>
        <w:pStyle w:val="enumlev1"/>
        <w:rPr>
          <w:lang w:eastAsia="zh-CN"/>
        </w:rPr>
      </w:pPr>
      <w:r>
        <w:rPr>
          <w:rFonts w:hint="eastAsia"/>
          <w:lang w:eastAsia="zh-CN"/>
        </w:rPr>
        <w:tab/>
      </w:r>
      <w:r w:rsidRPr="00EB000A">
        <w:rPr>
          <w:rFonts w:hint="eastAsia"/>
          <w:lang w:eastAsia="zh-CN"/>
        </w:rPr>
        <w:t>2</w:t>
      </w:r>
      <w:r w:rsidRPr="00EB000A">
        <w:rPr>
          <w:rFonts w:hint="eastAsia"/>
          <w:lang w:eastAsia="zh-CN"/>
        </w:rPr>
        <w:tab/>
      </w:r>
      <w:r w:rsidR="00BB6DE1" w:rsidRPr="00EB000A">
        <w:rPr>
          <w:rFonts w:hint="eastAsia"/>
          <w:lang w:eastAsia="zh-CN"/>
        </w:rPr>
        <w:t>对电信标准化部门的现行结构进行评估并提出调整建议，从而通过就上述问题建议成立一个专门的研究组或其它组的方式，落实上述</w:t>
      </w:r>
      <w:r w:rsidRPr="00EB000A">
        <w:rPr>
          <w:lang w:eastAsia="zh-CN"/>
        </w:rPr>
        <w:t>“</w:t>
      </w:r>
      <w:r w:rsidR="00BB6DE1" w:rsidRPr="00EB000A">
        <w:rPr>
          <w:rFonts w:hint="eastAsia"/>
          <w:lang w:eastAsia="zh-CN"/>
        </w:rPr>
        <w:t>做出决议</w:t>
      </w:r>
      <w:r w:rsidRPr="00EB000A">
        <w:rPr>
          <w:lang w:eastAsia="zh-CN"/>
        </w:rPr>
        <w:t>”</w:t>
      </w:r>
      <w:r w:rsidR="00BB6DE1" w:rsidRPr="00EB000A">
        <w:rPr>
          <w:rFonts w:hint="eastAsia"/>
          <w:lang w:eastAsia="zh-CN"/>
        </w:rPr>
        <w:t>部分提出的指示；</w:t>
      </w:r>
    </w:p>
    <w:p w:rsidR="00BB6DE1" w:rsidRDefault="00EB000A" w:rsidP="00EB000A">
      <w:pPr>
        <w:pStyle w:val="enumlev1"/>
        <w:rPr>
          <w:lang w:eastAsia="zh-CN"/>
        </w:rPr>
      </w:pPr>
      <w:r>
        <w:rPr>
          <w:rFonts w:hint="eastAsia"/>
          <w:lang w:eastAsia="zh-CN"/>
        </w:rPr>
        <w:tab/>
      </w:r>
      <w:r w:rsidR="00BB6DE1" w:rsidRPr="00EB000A">
        <w:rPr>
          <w:rFonts w:hint="eastAsia"/>
          <w:lang w:eastAsia="zh-CN"/>
        </w:rPr>
        <w:t>3</w:t>
      </w:r>
      <w:r w:rsidR="00BB6DE1" w:rsidRPr="00EB000A">
        <w:rPr>
          <w:rFonts w:hint="eastAsia"/>
          <w:lang w:eastAsia="zh-CN"/>
        </w:rPr>
        <w:tab/>
      </w:r>
      <w:r w:rsidR="00BB6DE1" w:rsidRPr="00EB000A">
        <w:rPr>
          <w:rFonts w:hint="eastAsia"/>
          <w:lang w:eastAsia="zh-CN"/>
        </w:rPr>
        <w:t>向</w:t>
      </w:r>
      <w:r w:rsidR="00BB6DE1" w:rsidRPr="00EB000A">
        <w:rPr>
          <w:rFonts w:hint="eastAsia"/>
          <w:lang w:eastAsia="zh-CN"/>
        </w:rPr>
        <w:t>2012</w:t>
      </w:r>
      <w:r w:rsidR="00BB6DE1" w:rsidRPr="00EB000A">
        <w:rPr>
          <w:rFonts w:hint="eastAsia"/>
          <w:lang w:eastAsia="zh-CN"/>
        </w:rPr>
        <w:t>年世界电信标准化全会（</w:t>
      </w:r>
      <w:r w:rsidR="00BB6DE1" w:rsidRPr="00EB000A">
        <w:rPr>
          <w:rFonts w:hint="eastAsia"/>
          <w:lang w:eastAsia="zh-CN"/>
        </w:rPr>
        <w:t>WTSA</w:t>
      </w:r>
      <w:r w:rsidR="00BB6DE1" w:rsidRPr="00EB000A">
        <w:rPr>
          <w:rFonts w:hint="eastAsia"/>
          <w:lang w:eastAsia="zh-CN"/>
        </w:rPr>
        <w:t>）提交上述第</w:t>
      </w:r>
      <w:r w:rsidR="00BB6DE1" w:rsidRPr="00EB000A">
        <w:rPr>
          <w:rFonts w:hint="eastAsia"/>
          <w:lang w:eastAsia="zh-CN"/>
        </w:rPr>
        <w:t>2</w:t>
      </w:r>
      <w:r w:rsidR="00BB6DE1" w:rsidRPr="00EB000A">
        <w:rPr>
          <w:rFonts w:hint="eastAsia"/>
          <w:lang w:eastAsia="zh-CN"/>
        </w:rPr>
        <w:t>项所涉及的评估结论，</w:t>
      </w:r>
    </w:p>
    <w:p w:rsidR="00AA798B" w:rsidRDefault="00AA798B">
      <w:pPr>
        <w:tabs>
          <w:tab w:val="clear" w:pos="794"/>
          <w:tab w:val="clear" w:pos="1191"/>
          <w:tab w:val="clear" w:pos="1588"/>
          <w:tab w:val="clear" w:pos="1985"/>
        </w:tabs>
        <w:overflowPunct/>
        <w:autoSpaceDE/>
        <w:autoSpaceDN/>
        <w:adjustRightInd/>
        <w:spacing w:before="0"/>
        <w:textAlignment w:val="auto"/>
        <w:rPr>
          <w:rFonts w:eastAsiaTheme="minorEastAsia"/>
          <w:lang w:eastAsia="zh-CN"/>
        </w:rPr>
      </w:pPr>
      <w:r>
        <w:rPr>
          <w:lang w:eastAsia="zh-CN"/>
        </w:rPr>
        <w:br w:type="page"/>
      </w:r>
    </w:p>
    <w:p w:rsidR="00836B05" w:rsidRDefault="0063445E" w:rsidP="00EB000A">
      <w:pPr>
        <w:pStyle w:val="enumlev1"/>
        <w:rPr>
          <w:lang w:eastAsia="zh-CN"/>
        </w:rPr>
      </w:pPr>
      <w:r>
        <w:rPr>
          <w:rFonts w:hint="eastAsia"/>
          <w:lang w:eastAsia="zh-CN"/>
        </w:rPr>
        <w:lastRenderedPageBreak/>
        <w:t>3</w:t>
      </w:r>
      <w:r>
        <w:rPr>
          <w:rFonts w:hint="eastAsia"/>
          <w:lang w:eastAsia="zh-CN"/>
        </w:rPr>
        <w:tab/>
      </w:r>
      <w:r w:rsidR="007E4CEA">
        <w:rPr>
          <w:rFonts w:hint="eastAsia"/>
          <w:lang w:eastAsia="zh-CN"/>
        </w:rPr>
        <w:t>电信标准化顾问组（</w:t>
      </w:r>
      <w:r w:rsidR="00836B05">
        <w:rPr>
          <w:lang w:eastAsia="zh-CN"/>
        </w:rPr>
        <w:t>TSAG</w:t>
      </w:r>
      <w:r w:rsidR="007E4CEA">
        <w:rPr>
          <w:rFonts w:hint="eastAsia"/>
          <w:lang w:eastAsia="zh-CN"/>
        </w:rPr>
        <w:t>）</w:t>
      </w:r>
      <w:r w:rsidR="00C82C28">
        <w:rPr>
          <w:rFonts w:hint="eastAsia"/>
          <w:lang w:eastAsia="zh-CN"/>
        </w:rPr>
        <w:t>在</w:t>
      </w:r>
      <w:r w:rsidR="00C82C28">
        <w:rPr>
          <w:rFonts w:hint="eastAsia"/>
          <w:lang w:eastAsia="zh-CN"/>
        </w:rPr>
        <w:t>2011</w:t>
      </w:r>
      <w:r w:rsidR="00C82C28">
        <w:rPr>
          <w:rFonts w:hint="eastAsia"/>
          <w:lang w:eastAsia="zh-CN"/>
        </w:rPr>
        <w:t>年</w:t>
      </w:r>
      <w:r w:rsidR="00C82C28">
        <w:rPr>
          <w:rFonts w:hint="eastAsia"/>
          <w:lang w:eastAsia="zh-CN"/>
        </w:rPr>
        <w:t>2</w:t>
      </w:r>
      <w:r w:rsidR="00C82C28">
        <w:rPr>
          <w:rFonts w:hint="eastAsia"/>
          <w:lang w:eastAsia="zh-CN"/>
        </w:rPr>
        <w:t>月</w:t>
      </w:r>
      <w:r w:rsidR="00C82C28">
        <w:rPr>
          <w:rFonts w:hint="eastAsia"/>
          <w:lang w:eastAsia="zh-CN"/>
        </w:rPr>
        <w:t>8-11</w:t>
      </w:r>
      <w:r w:rsidR="00C82C28">
        <w:rPr>
          <w:rFonts w:hint="eastAsia"/>
          <w:lang w:eastAsia="zh-CN"/>
        </w:rPr>
        <w:t>日召开的会议上讨论了上述指示并决定就此议题成立</w:t>
      </w:r>
      <w:r w:rsidR="007E4CEA">
        <w:rPr>
          <w:rFonts w:hint="eastAsia"/>
          <w:lang w:eastAsia="zh-CN"/>
        </w:rPr>
        <w:t>一个通信小组。该组向所有国际电联成员国和部门成员开放，利用</w:t>
      </w:r>
      <w:r w:rsidR="00C82C28">
        <w:rPr>
          <w:rFonts w:hint="eastAsia"/>
          <w:lang w:eastAsia="zh-CN"/>
        </w:rPr>
        <w:t>电子邮件</w:t>
      </w:r>
      <w:r w:rsidR="007E4CEA">
        <w:rPr>
          <w:rFonts w:hint="eastAsia"/>
          <w:lang w:eastAsia="zh-CN"/>
        </w:rPr>
        <w:t>通信录以</w:t>
      </w:r>
      <w:r w:rsidR="00C82C28">
        <w:rPr>
          <w:rFonts w:hint="eastAsia"/>
          <w:lang w:eastAsia="zh-CN"/>
        </w:rPr>
        <w:t>电子方式</w:t>
      </w:r>
      <w:r w:rsidR="007E4CEA">
        <w:rPr>
          <w:rFonts w:hint="eastAsia"/>
          <w:lang w:eastAsia="zh-CN"/>
        </w:rPr>
        <w:t>开展</w:t>
      </w:r>
      <w:r w:rsidR="00C82C28">
        <w:rPr>
          <w:rFonts w:hint="eastAsia"/>
          <w:lang w:eastAsia="zh-CN"/>
        </w:rPr>
        <w:t>工作。</w:t>
      </w:r>
    </w:p>
    <w:p w:rsidR="00836B05" w:rsidRDefault="007E4CEA" w:rsidP="00EB000A">
      <w:pPr>
        <w:ind w:firstLineChars="200" w:firstLine="480"/>
        <w:rPr>
          <w:lang w:eastAsia="zh-CN"/>
        </w:rPr>
      </w:pPr>
      <w:r>
        <w:rPr>
          <w:rFonts w:hint="eastAsia"/>
          <w:lang w:eastAsia="zh-CN"/>
        </w:rPr>
        <w:t>若您</w:t>
      </w:r>
      <w:r w:rsidR="00C82C28">
        <w:rPr>
          <w:rFonts w:hint="eastAsia"/>
          <w:lang w:eastAsia="zh-CN"/>
        </w:rPr>
        <w:t>希望报名参加讨论，请通过以下网站：</w:t>
      </w:r>
      <w:hyperlink r:id="rId8" w:history="1">
        <w:r w:rsidR="00EB000A" w:rsidRPr="003C38F6">
          <w:rPr>
            <w:rStyle w:val="Hyperlink"/>
            <w:lang w:eastAsia="zh-CN"/>
          </w:rPr>
          <w:t>http://www.itu.int/ITU-T/services/</w:t>
        </w:r>
      </w:hyperlink>
      <w:r w:rsidR="00EB000A" w:rsidRPr="00EB000A">
        <w:rPr>
          <w:rFonts w:hint="eastAsia"/>
          <w:lang w:eastAsia="zh-CN"/>
        </w:rPr>
        <w:t>的常用界面报名加入</w:t>
      </w:r>
      <w:r w:rsidR="00EB000A" w:rsidRPr="00EB000A">
        <w:rPr>
          <w:rFonts w:hint="eastAsia"/>
          <w:b/>
          <w:bCs/>
          <w:lang w:eastAsia="zh-CN"/>
        </w:rPr>
        <w:t>t09tsag178</w:t>
      </w:r>
      <w:r w:rsidR="00EB000A">
        <w:rPr>
          <w:rFonts w:hint="eastAsia"/>
          <w:lang w:eastAsia="zh-CN"/>
        </w:rPr>
        <w:t>名</w:t>
      </w:r>
      <w:r w:rsidR="00C82C28" w:rsidRPr="00C82C28">
        <w:rPr>
          <w:rFonts w:hint="eastAsia"/>
          <w:lang w:eastAsia="zh-CN"/>
        </w:rPr>
        <w:t>单</w:t>
      </w:r>
      <w:r w:rsidR="00C82C28">
        <w:rPr>
          <w:rFonts w:hint="eastAsia"/>
          <w:lang w:eastAsia="zh-CN"/>
        </w:rPr>
        <w:t>。该</w:t>
      </w:r>
      <w:r>
        <w:rPr>
          <w:rFonts w:hint="eastAsia"/>
          <w:lang w:eastAsia="zh-CN"/>
        </w:rPr>
        <w:t>电子邮件通信录</w:t>
      </w:r>
      <w:r w:rsidR="00C82C28">
        <w:rPr>
          <w:rFonts w:hint="eastAsia"/>
          <w:lang w:eastAsia="zh-CN"/>
        </w:rPr>
        <w:t>已投入使用。</w:t>
      </w:r>
    </w:p>
    <w:p w:rsidR="00836B05" w:rsidRDefault="00836B05" w:rsidP="00EB000A">
      <w:pPr>
        <w:rPr>
          <w:lang w:eastAsia="zh-CN"/>
        </w:rPr>
      </w:pPr>
      <w:r>
        <w:rPr>
          <w:lang w:eastAsia="zh-CN"/>
        </w:rPr>
        <w:t>4</w:t>
      </w:r>
      <w:r>
        <w:rPr>
          <w:lang w:eastAsia="zh-CN"/>
        </w:rPr>
        <w:tab/>
        <w:t>TSAG</w:t>
      </w:r>
      <w:r w:rsidR="00F436B2">
        <w:rPr>
          <w:rFonts w:hint="eastAsia"/>
          <w:lang w:eastAsia="zh-CN"/>
        </w:rPr>
        <w:t>还决定指定来自巴西</w:t>
      </w:r>
      <w:r w:rsidR="00F436B2">
        <w:rPr>
          <w:lang w:eastAsia="zh-CN"/>
        </w:rPr>
        <w:t>ANATEL</w:t>
      </w:r>
      <w:r w:rsidR="00F436B2">
        <w:rPr>
          <w:rFonts w:hint="eastAsia"/>
          <w:lang w:eastAsia="zh-CN"/>
        </w:rPr>
        <w:t>的</w:t>
      </w:r>
      <w:r w:rsidR="00F436B2">
        <w:rPr>
          <w:lang w:eastAsia="zh-CN"/>
        </w:rPr>
        <w:t>Bruno Ramos</w:t>
      </w:r>
      <w:r w:rsidR="00F436B2">
        <w:rPr>
          <w:rFonts w:hint="eastAsia"/>
          <w:lang w:eastAsia="zh-CN"/>
        </w:rPr>
        <w:t>先生</w:t>
      </w:r>
      <w:r w:rsidR="007E4CEA">
        <w:rPr>
          <w:rFonts w:hint="eastAsia"/>
          <w:lang w:eastAsia="zh-CN"/>
        </w:rPr>
        <w:t>担任</w:t>
      </w:r>
      <w:r w:rsidR="00F436B2">
        <w:rPr>
          <w:rFonts w:hint="eastAsia"/>
          <w:lang w:eastAsia="zh-CN"/>
        </w:rPr>
        <w:t>该组的召集人。</w:t>
      </w:r>
    </w:p>
    <w:p w:rsidR="00836B05" w:rsidRDefault="00836B05" w:rsidP="00EB000A">
      <w:pPr>
        <w:spacing w:after="120"/>
        <w:rPr>
          <w:lang w:eastAsia="zh-CN"/>
        </w:rPr>
      </w:pPr>
      <w:r>
        <w:rPr>
          <w:lang w:eastAsia="zh-CN"/>
        </w:rPr>
        <w:t>5</w:t>
      </w:r>
      <w:r>
        <w:rPr>
          <w:lang w:eastAsia="zh-CN"/>
        </w:rPr>
        <w:tab/>
      </w:r>
      <w:r w:rsidR="00F436B2">
        <w:rPr>
          <w:rFonts w:hint="eastAsia"/>
          <w:lang w:eastAsia="zh-CN"/>
        </w:rPr>
        <w:t>通信小组的目的是起草一份提交</w:t>
      </w:r>
      <w:r>
        <w:rPr>
          <w:lang w:eastAsia="zh-CN"/>
        </w:rPr>
        <w:t>WTSA-12</w:t>
      </w:r>
      <w:r w:rsidR="00F436B2">
        <w:rPr>
          <w:rFonts w:hint="eastAsia"/>
          <w:lang w:eastAsia="zh-CN"/>
        </w:rPr>
        <w:t>的报告。</w:t>
      </w:r>
      <w:r>
        <w:rPr>
          <w:lang w:eastAsia="zh-CN"/>
        </w:rPr>
        <w:t>TSAG</w:t>
      </w:r>
      <w:r w:rsidR="00F436B2">
        <w:rPr>
          <w:rFonts w:hint="eastAsia"/>
          <w:lang w:eastAsia="zh-CN"/>
        </w:rPr>
        <w:t>通过的时间安排如下：</w:t>
      </w:r>
    </w:p>
    <w:tbl>
      <w:tblPr>
        <w:tblW w:w="0" w:type="auto"/>
        <w:tblInd w:w="817" w:type="dxa"/>
        <w:tblLook w:val="04A0"/>
      </w:tblPr>
      <w:tblGrid>
        <w:gridCol w:w="3260"/>
        <w:gridCol w:w="4678"/>
      </w:tblGrid>
      <w:tr w:rsidR="00836B05" w:rsidTr="00C82C28">
        <w:tc>
          <w:tcPr>
            <w:tcW w:w="3260" w:type="dxa"/>
          </w:tcPr>
          <w:p w:rsidR="00836B05" w:rsidRDefault="00836B05" w:rsidP="00EB000A">
            <w:pPr>
              <w:rPr>
                <w:lang w:eastAsia="zh-CN"/>
              </w:rPr>
            </w:pPr>
            <w:r>
              <w:t>2011</w:t>
            </w:r>
            <w:r w:rsidR="00F436B2">
              <w:rPr>
                <w:rFonts w:hint="eastAsia"/>
                <w:lang w:eastAsia="zh-CN"/>
              </w:rPr>
              <w:t>年</w:t>
            </w:r>
            <w:r w:rsidR="00F436B2">
              <w:rPr>
                <w:rFonts w:hint="eastAsia"/>
                <w:lang w:eastAsia="zh-CN"/>
              </w:rPr>
              <w:t>3</w:t>
            </w:r>
            <w:r w:rsidR="00F436B2">
              <w:rPr>
                <w:rFonts w:hint="eastAsia"/>
                <w:lang w:eastAsia="zh-CN"/>
              </w:rPr>
              <w:t>月</w:t>
            </w:r>
          </w:p>
        </w:tc>
        <w:tc>
          <w:tcPr>
            <w:tcW w:w="4678" w:type="dxa"/>
          </w:tcPr>
          <w:p w:rsidR="00836B05" w:rsidRDefault="00F436B2" w:rsidP="00EB000A">
            <w:pPr>
              <w:rPr>
                <w:lang w:eastAsia="zh-CN"/>
              </w:rPr>
            </w:pPr>
            <w:r>
              <w:rPr>
                <w:rFonts w:hint="eastAsia"/>
                <w:lang w:eastAsia="zh-CN"/>
              </w:rPr>
              <w:t>发出</w:t>
            </w:r>
            <w:r w:rsidR="00836B05">
              <w:rPr>
                <w:lang w:eastAsia="zh-CN"/>
              </w:rPr>
              <w:t>TSB</w:t>
            </w:r>
            <w:r>
              <w:rPr>
                <w:rFonts w:hint="eastAsia"/>
                <w:lang w:eastAsia="zh-CN"/>
              </w:rPr>
              <w:t>通函以便开始工作</w:t>
            </w:r>
          </w:p>
        </w:tc>
      </w:tr>
      <w:tr w:rsidR="00836B05" w:rsidTr="00C82C28">
        <w:tc>
          <w:tcPr>
            <w:tcW w:w="3260" w:type="dxa"/>
          </w:tcPr>
          <w:p w:rsidR="00836B05" w:rsidRDefault="00836B05" w:rsidP="00EB000A">
            <w:pPr>
              <w:spacing w:before="80"/>
              <w:rPr>
                <w:lang w:eastAsia="zh-CN"/>
              </w:rPr>
            </w:pPr>
            <w:r>
              <w:t>2011</w:t>
            </w:r>
            <w:r w:rsidR="00F436B2">
              <w:rPr>
                <w:rFonts w:hint="eastAsia"/>
                <w:lang w:eastAsia="zh-CN"/>
              </w:rPr>
              <w:t>年</w:t>
            </w:r>
            <w:r w:rsidR="00F436B2">
              <w:rPr>
                <w:rFonts w:hint="eastAsia"/>
                <w:lang w:eastAsia="zh-CN"/>
              </w:rPr>
              <w:t>4</w:t>
            </w:r>
            <w:r w:rsidR="00F436B2">
              <w:rPr>
                <w:rFonts w:hint="eastAsia"/>
                <w:lang w:eastAsia="zh-CN"/>
              </w:rPr>
              <w:t>月</w:t>
            </w:r>
            <w:r w:rsidR="00F436B2">
              <w:rPr>
                <w:rFonts w:hint="eastAsia"/>
                <w:lang w:eastAsia="zh-CN"/>
              </w:rPr>
              <w:t>-11</w:t>
            </w:r>
            <w:r w:rsidR="00F436B2">
              <w:rPr>
                <w:rFonts w:hint="eastAsia"/>
                <w:lang w:eastAsia="zh-CN"/>
              </w:rPr>
              <w:t>月</w:t>
            </w:r>
          </w:p>
        </w:tc>
        <w:tc>
          <w:tcPr>
            <w:tcW w:w="4678" w:type="dxa"/>
          </w:tcPr>
          <w:p w:rsidR="00836B05" w:rsidRDefault="00F436B2" w:rsidP="00EB000A">
            <w:pPr>
              <w:spacing w:before="80"/>
              <w:rPr>
                <w:lang w:eastAsia="zh-CN"/>
              </w:rPr>
            </w:pPr>
            <w:r>
              <w:rPr>
                <w:rFonts w:hint="eastAsia"/>
                <w:lang w:eastAsia="zh-CN"/>
              </w:rPr>
              <w:t>通过</w:t>
            </w:r>
            <w:r w:rsidR="007E4CEA">
              <w:rPr>
                <w:rFonts w:hint="eastAsia"/>
                <w:lang w:eastAsia="zh-CN"/>
              </w:rPr>
              <w:t>电子邮件通信录</w:t>
            </w:r>
            <w:r>
              <w:rPr>
                <w:rFonts w:hint="eastAsia"/>
                <w:lang w:eastAsia="zh-CN"/>
              </w:rPr>
              <w:t>开展讨论</w:t>
            </w:r>
          </w:p>
        </w:tc>
      </w:tr>
      <w:tr w:rsidR="00836B05" w:rsidTr="00C82C28">
        <w:tc>
          <w:tcPr>
            <w:tcW w:w="3260" w:type="dxa"/>
          </w:tcPr>
          <w:p w:rsidR="00836B05" w:rsidRDefault="00836B05" w:rsidP="00EB000A">
            <w:pPr>
              <w:spacing w:before="80"/>
              <w:rPr>
                <w:lang w:eastAsia="zh-CN"/>
              </w:rPr>
            </w:pPr>
            <w:r>
              <w:t>2011</w:t>
            </w:r>
            <w:r w:rsidR="00F436B2">
              <w:rPr>
                <w:rFonts w:hint="eastAsia"/>
                <w:lang w:eastAsia="zh-CN"/>
              </w:rPr>
              <w:t>年</w:t>
            </w:r>
            <w:r w:rsidR="00F436B2">
              <w:rPr>
                <w:rFonts w:hint="eastAsia"/>
                <w:lang w:eastAsia="zh-CN"/>
              </w:rPr>
              <w:t>11</w:t>
            </w:r>
            <w:r w:rsidR="00F436B2">
              <w:rPr>
                <w:rFonts w:hint="eastAsia"/>
                <w:lang w:eastAsia="zh-CN"/>
              </w:rPr>
              <w:t>月</w:t>
            </w:r>
          </w:p>
        </w:tc>
        <w:tc>
          <w:tcPr>
            <w:tcW w:w="4678" w:type="dxa"/>
          </w:tcPr>
          <w:p w:rsidR="00836B05" w:rsidRDefault="00F436B2" w:rsidP="00EB000A">
            <w:pPr>
              <w:spacing w:before="80"/>
              <w:rPr>
                <w:lang w:eastAsia="zh-CN"/>
              </w:rPr>
            </w:pPr>
            <w:r>
              <w:rPr>
                <w:rFonts w:hint="eastAsia"/>
                <w:lang w:eastAsia="zh-CN"/>
              </w:rPr>
              <w:t>将临时报告发送</w:t>
            </w:r>
            <w:r w:rsidR="00836B05">
              <w:rPr>
                <w:lang w:eastAsia="zh-CN"/>
              </w:rPr>
              <w:t>TSAG</w:t>
            </w:r>
          </w:p>
        </w:tc>
      </w:tr>
      <w:tr w:rsidR="00836B05" w:rsidTr="00C82C28">
        <w:tc>
          <w:tcPr>
            <w:tcW w:w="3260" w:type="dxa"/>
          </w:tcPr>
          <w:p w:rsidR="00836B05" w:rsidRDefault="00836B05" w:rsidP="00EB000A">
            <w:pPr>
              <w:spacing w:before="80"/>
              <w:rPr>
                <w:lang w:eastAsia="zh-CN"/>
              </w:rPr>
            </w:pPr>
            <w:r>
              <w:t>TSAG 2012</w:t>
            </w:r>
            <w:r w:rsidR="00F436B2">
              <w:rPr>
                <w:rFonts w:hint="eastAsia"/>
                <w:lang w:eastAsia="zh-CN"/>
              </w:rPr>
              <w:t>年</w:t>
            </w:r>
            <w:r w:rsidR="00F436B2">
              <w:rPr>
                <w:rFonts w:hint="eastAsia"/>
                <w:lang w:eastAsia="zh-CN"/>
              </w:rPr>
              <w:t>1</w:t>
            </w:r>
            <w:r w:rsidR="00F436B2">
              <w:rPr>
                <w:rFonts w:hint="eastAsia"/>
                <w:lang w:eastAsia="zh-CN"/>
              </w:rPr>
              <w:t>月会议</w:t>
            </w:r>
          </w:p>
        </w:tc>
        <w:tc>
          <w:tcPr>
            <w:tcW w:w="4678" w:type="dxa"/>
          </w:tcPr>
          <w:p w:rsidR="00836B05" w:rsidRDefault="00F436B2" w:rsidP="00EB000A">
            <w:pPr>
              <w:spacing w:before="80"/>
              <w:rPr>
                <w:lang w:eastAsia="zh-CN"/>
              </w:rPr>
            </w:pPr>
            <w:r>
              <w:rPr>
                <w:rFonts w:hint="eastAsia"/>
                <w:lang w:eastAsia="zh-CN"/>
              </w:rPr>
              <w:t>就中期报告开展磋商</w:t>
            </w:r>
          </w:p>
        </w:tc>
      </w:tr>
      <w:tr w:rsidR="00836B05" w:rsidTr="00C82C28">
        <w:tc>
          <w:tcPr>
            <w:tcW w:w="3260" w:type="dxa"/>
          </w:tcPr>
          <w:p w:rsidR="00836B05" w:rsidRDefault="00836B05" w:rsidP="00EB000A">
            <w:pPr>
              <w:spacing w:before="80"/>
              <w:rPr>
                <w:lang w:eastAsia="zh-CN"/>
              </w:rPr>
            </w:pPr>
            <w:r>
              <w:t>2012</w:t>
            </w:r>
            <w:r w:rsidR="00F436B2">
              <w:rPr>
                <w:rFonts w:hint="eastAsia"/>
                <w:lang w:eastAsia="zh-CN"/>
              </w:rPr>
              <w:t>年</w:t>
            </w:r>
            <w:r w:rsidR="00F436B2">
              <w:rPr>
                <w:rFonts w:hint="eastAsia"/>
                <w:lang w:eastAsia="zh-CN"/>
              </w:rPr>
              <w:t>2</w:t>
            </w:r>
            <w:r w:rsidR="00F436B2">
              <w:rPr>
                <w:rFonts w:hint="eastAsia"/>
                <w:lang w:eastAsia="zh-CN"/>
              </w:rPr>
              <w:t>月</w:t>
            </w:r>
          </w:p>
        </w:tc>
        <w:tc>
          <w:tcPr>
            <w:tcW w:w="4678" w:type="dxa"/>
          </w:tcPr>
          <w:p w:rsidR="00836B05" w:rsidRDefault="007E4CEA" w:rsidP="00EB000A">
            <w:pPr>
              <w:spacing w:before="80"/>
              <w:rPr>
                <w:lang w:eastAsia="zh-CN"/>
              </w:rPr>
            </w:pPr>
            <w:r>
              <w:rPr>
                <w:rFonts w:hint="eastAsia"/>
                <w:lang w:eastAsia="zh-CN"/>
              </w:rPr>
              <w:t>将</w:t>
            </w:r>
            <w:r w:rsidR="00F436B2">
              <w:rPr>
                <w:rFonts w:hint="eastAsia"/>
                <w:lang w:eastAsia="zh-CN"/>
              </w:rPr>
              <w:t>修改的报告发送</w:t>
            </w:r>
            <w:r w:rsidR="00836B05">
              <w:rPr>
                <w:lang w:eastAsia="zh-CN"/>
              </w:rPr>
              <w:t>TSAG</w:t>
            </w:r>
          </w:p>
        </w:tc>
      </w:tr>
      <w:tr w:rsidR="00836B05" w:rsidTr="00C82C28">
        <w:tc>
          <w:tcPr>
            <w:tcW w:w="3260" w:type="dxa"/>
          </w:tcPr>
          <w:p w:rsidR="00836B05" w:rsidRDefault="00836B05" w:rsidP="00EB000A">
            <w:pPr>
              <w:spacing w:before="80"/>
              <w:rPr>
                <w:lang w:eastAsia="zh-CN"/>
              </w:rPr>
            </w:pPr>
            <w:r>
              <w:t>2012</w:t>
            </w:r>
            <w:r w:rsidR="00F436B2">
              <w:rPr>
                <w:rFonts w:hint="eastAsia"/>
                <w:lang w:eastAsia="zh-CN"/>
              </w:rPr>
              <w:t>年</w:t>
            </w:r>
            <w:r w:rsidR="00F436B2">
              <w:rPr>
                <w:rFonts w:hint="eastAsia"/>
                <w:lang w:eastAsia="zh-CN"/>
              </w:rPr>
              <w:t>2</w:t>
            </w:r>
            <w:r w:rsidR="00F436B2">
              <w:rPr>
                <w:rFonts w:hint="eastAsia"/>
                <w:lang w:eastAsia="zh-CN"/>
              </w:rPr>
              <w:t>月</w:t>
            </w:r>
            <w:r w:rsidR="00F436B2">
              <w:rPr>
                <w:rFonts w:hint="eastAsia"/>
                <w:lang w:eastAsia="zh-CN"/>
              </w:rPr>
              <w:t>-6</w:t>
            </w:r>
            <w:r w:rsidR="00F436B2">
              <w:rPr>
                <w:rFonts w:hint="eastAsia"/>
                <w:lang w:eastAsia="zh-CN"/>
              </w:rPr>
              <w:t>月</w:t>
            </w:r>
          </w:p>
        </w:tc>
        <w:tc>
          <w:tcPr>
            <w:tcW w:w="4678" w:type="dxa"/>
          </w:tcPr>
          <w:p w:rsidR="00836B05" w:rsidRDefault="00F436B2" w:rsidP="00EB000A">
            <w:pPr>
              <w:spacing w:before="80"/>
              <w:rPr>
                <w:lang w:eastAsia="zh-CN"/>
              </w:rPr>
            </w:pPr>
            <w:r>
              <w:rPr>
                <w:rFonts w:hint="eastAsia"/>
                <w:lang w:eastAsia="zh-CN"/>
              </w:rPr>
              <w:t>在</w:t>
            </w:r>
            <w:r w:rsidR="00836B05">
              <w:rPr>
                <w:lang w:eastAsia="zh-CN"/>
              </w:rPr>
              <w:t>WTSA-12</w:t>
            </w:r>
            <w:r>
              <w:rPr>
                <w:rFonts w:hint="eastAsia"/>
                <w:lang w:eastAsia="zh-CN"/>
              </w:rPr>
              <w:t>区域性筹备会议中就修订的</w:t>
            </w:r>
            <w:r w:rsidR="00EB000A">
              <w:rPr>
                <w:lang w:eastAsia="zh-CN"/>
              </w:rPr>
              <w:br/>
            </w:r>
            <w:r>
              <w:rPr>
                <w:rFonts w:hint="eastAsia"/>
                <w:lang w:eastAsia="zh-CN"/>
              </w:rPr>
              <w:t>报告开展磋商</w:t>
            </w:r>
          </w:p>
        </w:tc>
      </w:tr>
      <w:tr w:rsidR="00836B05" w:rsidTr="00C82C28">
        <w:tc>
          <w:tcPr>
            <w:tcW w:w="3260" w:type="dxa"/>
          </w:tcPr>
          <w:p w:rsidR="00836B05" w:rsidRDefault="00836B05" w:rsidP="00EB000A">
            <w:pPr>
              <w:spacing w:before="80"/>
              <w:rPr>
                <w:lang w:eastAsia="zh-CN"/>
              </w:rPr>
            </w:pPr>
            <w:r>
              <w:rPr>
                <w:lang w:eastAsia="zh-CN"/>
              </w:rPr>
              <w:t>TSAG 2012</w:t>
            </w:r>
            <w:r w:rsidR="00F436B2">
              <w:rPr>
                <w:rFonts w:hint="eastAsia"/>
                <w:lang w:eastAsia="zh-CN"/>
              </w:rPr>
              <w:t>年</w:t>
            </w:r>
            <w:r w:rsidR="00F436B2">
              <w:rPr>
                <w:rFonts w:hint="eastAsia"/>
                <w:lang w:eastAsia="zh-CN"/>
              </w:rPr>
              <w:t>6</w:t>
            </w:r>
            <w:r w:rsidR="00F436B2">
              <w:rPr>
                <w:rFonts w:hint="eastAsia"/>
                <w:lang w:eastAsia="zh-CN"/>
              </w:rPr>
              <w:t>月会议</w:t>
            </w:r>
          </w:p>
        </w:tc>
        <w:tc>
          <w:tcPr>
            <w:tcW w:w="4678" w:type="dxa"/>
          </w:tcPr>
          <w:p w:rsidR="00836B05" w:rsidRDefault="00F436B2" w:rsidP="00EB000A">
            <w:pPr>
              <w:spacing w:before="80"/>
              <w:rPr>
                <w:lang w:eastAsia="zh-CN"/>
              </w:rPr>
            </w:pPr>
            <w:r>
              <w:rPr>
                <w:rFonts w:hint="eastAsia"/>
                <w:lang w:eastAsia="zh-CN"/>
              </w:rPr>
              <w:t>敲定提交</w:t>
            </w:r>
            <w:r w:rsidR="00836B05">
              <w:rPr>
                <w:lang w:eastAsia="zh-CN"/>
              </w:rPr>
              <w:t>WTSA-12</w:t>
            </w:r>
            <w:r>
              <w:rPr>
                <w:rFonts w:hint="eastAsia"/>
                <w:lang w:eastAsia="zh-CN"/>
              </w:rPr>
              <w:t>的报告</w:t>
            </w:r>
          </w:p>
        </w:tc>
      </w:tr>
    </w:tbl>
    <w:p w:rsidR="00EB000A" w:rsidRDefault="00EB000A" w:rsidP="00EB000A">
      <w:pPr>
        <w:ind w:firstLineChars="200" w:firstLine="480"/>
        <w:rPr>
          <w:lang w:eastAsia="zh-CN"/>
        </w:rPr>
      </w:pPr>
      <w:bookmarkStart w:id="3" w:name="_GoBack"/>
      <w:bookmarkEnd w:id="3"/>
    </w:p>
    <w:p w:rsidR="00836B05" w:rsidRDefault="00F436B2" w:rsidP="00EB000A">
      <w:pPr>
        <w:ind w:firstLineChars="200" w:firstLine="480"/>
        <w:rPr>
          <w:lang w:eastAsia="zh-CN"/>
        </w:rPr>
      </w:pPr>
      <w:r>
        <w:rPr>
          <w:rFonts w:hint="eastAsia"/>
          <w:lang w:eastAsia="zh-CN"/>
        </w:rPr>
        <w:t>期盼您能参加对此重要议题的讨论。</w:t>
      </w:r>
    </w:p>
    <w:p w:rsidR="0063445E" w:rsidRDefault="0063445E" w:rsidP="00EB000A">
      <w:pPr>
        <w:jc w:val="both"/>
        <w:rPr>
          <w:lang w:eastAsia="zh-CN"/>
        </w:rPr>
      </w:pPr>
    </w:p>
    <w:p w:rsidR="0063445E" w:rsidRPr="004663B4" w:rsidRDefault="0063445E" w:rsidP="00EB000A">
      <w:pPr>
        <w:spacing w:before="480"/>
        <w:rPr>
          <w:lang w:val="en-US" w:eastAsia="zh-CN"/>
        </w:rPr>
      </w:pPr>
      <w:r>
        <w:rPr>
          <w:rFonts w:hint="eastAsia"/>
          <w:lang w:eastAsia="zh-CN"/>
        </w:rPr>
        <w:t>顺致敬意</w:t>
      </w:r>
      <w:r>
        <w:rPr>
          <w:lang w:val="en-US" w:eastAsia="zh-CN"/>
        </w:rPr>
        <w:t>!</w:t>
      </w:r>
    </w:p>
    <w:p w:rsidR="0063445E" w:rsidRDefault="00284869" w:rsidP="00EB000A">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836B05" w:rsidP="00EB000A">
      <w:pPr>
        <w:spacing w:before="1701"/>
        <w:rPr>
          <w:lang w:eastAsia="zh-CN"/>
        </w:rPr>
      </w:pPr>
      <w:r>
        <w:rPr>
          <w:rFonts w:hint="eastAsia"/>
          <w:lang w:eastAsia="zh-CN"/>
        </w:rPr>
        <w:t>附件：</w:t>
      </w:r>
      <w:r>
        <w:rPr>
          <w:rFonts w:hint="eastAsia"/>
          <w:lang w:eastAsia="zh-CN"/>
        </w:rPr>
        <w:t>1</w:t>
      </w:r>
      <w:r w:rsidR="007E4CEA">
        <w:rPr>
          <w:rFonts w:hint="eastAsia"/>
          <w:lang w:eastAsia="zh-CN"/>
        </w:rPr>
        <w:t>件</w:t>
      </w:r>
    </w:p>
    <w:p w:rsidR="008F6740" w:rsidRDefault="008F6740" w:rsidP="00EB000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F6740" w:rsidRDefault="008F6740" w:rsidP="00EB000A">
      <w:pPr>
        <w:jc w:val="center"/>
        <w:rPr>
          <w:lang w:eastAsia="zh-CN"/>
        </w:rPr>
      </w:pPr>
      <w:r>
        <w:rPr>
          <w:rFonts w:hint="eastAsia"/>
          <w:lang w:eastAsia="zh-CN"/>
        </w:rPr>
        <w:lastRenderedPageBreak/>
        <w:t>（</w:t>
      </w:r>
      <w:r>
        <w:rPr>
          <w:lang w:eastAsia="zh-CN"/>
        </w:rPr>
        <w:t>TSB</w:t>
      </w:r>
      <w:r>
        <w:rPr>
          <w:rFonts w:hint="eastAsia"/>
          <w:lang w:eastAsia="zh-CN"/>
        </w:rPr>
        <w:t>第</w:t>
      </w:r>
      <w:r>
        <w:rPr>
          <w:lang w:eastAsia="zh-CN"/>
        </w:rPr>
        <w:t>174</w:t>
      </w:r>
      <w:r>
        <w:rPr>
          <w:rFonts w:hint="eastAsia"/>
          <w:lang w:eastAsia="zh-CN"/>
        </w:rPr>
        <w:t>号通函）</w:t>
      </w:r>
      <w:r>
        <w:rPr>
          <w:lang w:eastAsia="zh-CN"/>
        </w:rPr>
        <w:br/>
      </w:r>
      <w:r>
        <w:rPr>
          <w:rFonts w:hint="eastAsia"/>
          <w:lang w:eastAsia="zh-CN"/>
        </w:rPr>
        <w:t>附件</w:t>
      </w:r>
      <w:r>
        <w:rPr>
          <w:lang w:eastAsia="zh-CN"/>
        </w:rPr>
        <w:t xml:space="preserve"> 1</w:t>
      </w:r>
    </w:p>
    <w:p w:rsidR="008F6740" w:rsidRPr="00F668CA" w:rsidRDefault="008F6740" w:rsidP="00AA798B">
      <w:pPr>
        <w:pStyle w:val="ResNo"/>
        <w:spacing w:before="480"/>
        <w:rPr>
          <w:lang w:eastAsia="zh-CN"/>
        </w:rPr>
      </w:pPr>
      <w:r w:rsidRPr="003636D0">
        <w:rPr>
          <w:rStyle w:val="href"/>
          <w:rFonts w:ascii="SimSun" w:eastAsia="SimSun" w:hAnsi="SimSun" w:cs="SimSun" w:hint="eastAsia"/>
          <w:lang w:eastAsia="zh-CN"/>
        </w:rPr>
        <w:t>第</w:t>
      </w:r>
      <w:r>
        <w:rPr>
          <w:rStyle w:val="href"/>
          <w:rFonts w:hint="eastAsia"/>
          <w:lang w:eastAsia="zh-CN"/>
        </w:rPr>
        <w:t xml:space="preserve"> </w:t>
      </w:r>
      <w:r>
        <w:rPr>
          <w:rStyle w:val="href"/>
          <w:lang w:eastAsia="zh-CN"/>
        </w:rPr>
        <w:t>178</w:t>
      </w:r>
      <w:r w:rsidRPr="003636D0">
        <w:rPr>
          <w:rStyle w:val="href"/>
          <w:rFonts w:hint="eastAsia"/>
          <w:lang w:eastAsia="zh-CN"/>
        </w:rPr>
        <w:t xml:space="preserve"> </w:t>
      </w:r>
      <w:r w:rsidRPr="003636D0">
        <w:rPr>
          <w:rStyle w:val="href"/>
          <w:rFonts w:ascii="SimSun" w:eastAsia="SimSun" w:hAnsi="SimSun" w:cs="SimSun" w:hint="eastAsia"/>
          <w:lang w:eastAsia="zh-CN"/>
        </w:rPr>
        <w:t>号决议</w:t>
      </w:r>
      <w:r w:rsidRPr="00F668CA">
        <w:rPr>
          <w:rFonts w:hint="eastAsia"/>
          <w:lang w:eastAsia="zh-CN"/>
        </w:rPr>
        <w:t>（</w:t>
      </w:r>
      <w:r w:rsidRPr="00F668CA">
        <w:rPr>
          <w:rFonts w:hint="eastAsia"/>
          <w:lang w:eastAsia="zh-CN"/>
        </w:rPr>
        <w:t>2010</w:t>
      </w:r>
      <w:r w:rsidRPr="00F668CA">
        <w:rPr>
          <w:rFonts w:hint="eastAsia"/>
          <w:lang w:eastAsia="zh-CN"/>
        </w:rPr>
        <w:t>年，瓜达拉哈拉）</w:t>
      </w:r>
    </w:p>
    <w:p w:rsidR="008F6740" w:rsidRPr="00AE0B5B" w:rsidRDefault="008F6740" w:rsidP="00EB000A">
      <w:pPr>
        <w:pStyle w:val="Restitle"/>
        <w:rPr>
          <w:lang w:eastAsia="zh-CN"/>
        </w:rPr>
      </w:pPr>
      <w:r>
        <w:rPr>
          <w:rFonts w:hint="eastAsia"/>
          <w:lang w:eastAsia="zh-CN"/>
        </w:rPr>
        <w:t>国际电联在组织支持互联网的</w:t>
      </w:r>
      <w:r>
        <w:rPr>
          <w:lang w:eastAsia="zh-CN"/>
        </w:rPr>
        <w:br/>
      </w:r>
      <w:r>
        <w:rPr>
          <w:rFonts w:hint="eastAsia"/>
          <w:lang w:eastAsia="zh-CN"/>
        </w:rPr>
        <w:t>电信网络技术工作中的作用</w:t>
      </w:r>
    </w:p>
    <w:p w:rsidR="008F6740" w:rsidRPr="00704B7C" w:rsidRDefault="008F6740" w:rsidP="00EB000A">
      <w:pPr>
        <w:pStyle w:val="Normalaftertitle"/>
        <w:rPr>
          <w:lang w:eastAsia="zh-CN"/>
        </w:rPr>
      </w:pPr>
      <w:r w:rsidRPr="00264753">
        <w:rPr>
          <w:rFonts w:hint="eastAsia"/>
          <w:lang w:eastAsia="zh-CN"/>
        </w:rPr>
        <w:t>国际电联全权代表大会</w:t>
      </w:r>
      <w:r w:rsidRPr="00704B7C">
        <w:rPr>
          <w:rFonts w:hint="eastAsia"/>
          <w:lang w:eastAsia="zh-CN"/>
        </w:rPr>
        <w:t>（</w:t>
      </w:r>
      <w:r w:rsidRPr="00704B7C">
        <w:rPr>
          <w:rFonts w:hint="eastAsia"/>
          <w:lang w:eastAsia="zh-CN"/>
        </w:rPr>
        <w:t>2010</w:t>
      </w:r>
      <w:r w:rsidRPr="00704B7C">
        <w:rPr>
          <w:rFonts w:hint="eastAsia"/>
          <w:lang w:eastAsia="zh-CN"/>
        </w:rPr>
        <w:t>年，瓜达拉哈拉），</w:t>
      </w:r>
    </w:p>
    <w:p w:rsidR="008F6740" w:rsidRPr="00F668CA" w:rsidRDefault="008F6740" w:rsidP="00EB000A">
      <w:pPr>
        <w:pStyle w:val="Call"/>
        <w:rPr>
          <w:lang w:eastAsia="zh-CN"/>
        </w:rPr>
      </w:pPr>
      <w:r w:rsidRPr="00350965">
        <w:rPr>
          <w:rFonts w:hint="eastAsia"/>
          <w:lang w:eastAsia="zh-CN"/>
        </w:rPr>
        <w:t>考虑到</w:t>
      </w:r>
    </w:p>
    <w:p w:rsidR="008F6740" w:rsidRPr="009566BA" w:rsidRDefault="008F6740" w:rsidP="00EB000A">
      <w:pPr>
        <w:rPr>
          <w:rFonts w:asciiTheme="minorHAnsi" w:hAnsiTheme="minorHAnsi"/>
          <w:lang w:val="en-US" w:eastAsia="zh-CN"/>
        </w:rPr>
      </w:pPr>
      <w:r w:rsidRPr="00DA21FA">
        <w:rPr>
          <w:rFonts w:asciiTheme="minorHAnsi" w:hAnsiTheme="minorHAnsi"/>
          <w:i/>
          <w:iCs/>
          <w:lang w:eastAsia="zh-CN"/>
        </w:rPr>
        <w:t>a)</w:t>
      </w:r>
      <w:r w:rsidRPr="009566BA">
        <w:rPr>
          <w:rFonts w:asciiTheme="minorHAnsi" w:hAnsiTheme="minorHAnsi"/>
          <w:lang w:eastAsia="zh-CN"/>
        </w:rPr>
        <w:tab/>
      </w:r>
      <w:r w:rsidRPr="00E4645B">
        <w:rPr>
          <w:rFonts w:hint="eastAsia"/>
          <w:lang w:val="en-US" w:eastAsia="zh-CN"/>
        </w:rPr>
        <w:t>信息社会的建设需要全世界的通力合作和参与</w:t>
      </w:r>
      <w:r>
        <w:rPr>
          <w:rFonts w:hint="eastAsia"/>
          <w:lang w:eastAsia="zh-CN"/>
        </w:rPr>
        <w:t>，因为这种联合将无疑会对数字鸿沟的弥合产生积极影响；</w:t>
      </w:r>
    </w:p>
    <w:p w:rsidR="008F6740" w:rsidRPr="001A77C2" w:rsidRDefault="008F6740" w:rsidP="00EB000A">
      <w:pPr>
        <w:rPr>
          <w:rFonts w:asciiTheme="minorHAnsi" w:hAnsiTheme="minorHAnsi"/>
          <w:lang w:val="en-US" w:eastAsia="zh-CN"/>
        </w:rPr>
      </w:pPr>
      <w:r w:rsidRPr="00DA21FA">
        <w:rPr>
          <w:rFonts w:asciiTheme="minorHAnsi" w:hAnsiTheme="minorHAnsi"/>
          <w:i/>
          <w:iCs/>
          <w:lang w:eastAsia="zh-CN"/>
        </w:rPr>
        <w:t>b)</w:t>
      </w:r>
      <w:r w:rsidRPr="009566BA">
        <w:rPr>
          <w:rFonts w:asciiTheme="minorHAnsi" w:hAnsiTheme="minorHAnsi"/>
          <w:lang w:val="en-US" w:eastAsia="zh-CN"/>
        </w:rPr>
        <w:tab/>
      </w:r>
      <w:r w:rsidRPr="00C6327D">
        <w:rPr>
          <w:rFonts w:hint="eastAsia"/>
          <w:lang w:val="en-US" w:eastAsia="zh-CN"/>
        </w:rPr>
        <w:t>首要</w:t>
      </w:r>
      <w:r>
        <w:rPr>
          <w:rFonts w:hint="eastAsia"/>
          <w:lang w:val="en-US" w:eastAsia="zh-CN"/>
        </w:rPr>
        <w:t>步骤</w:t>
      </w:r>
      <w:r w:rsidRPr="00C6327D">
        <w:rPr>
          <w:rFonts w:hint="eastAsia"/>
          <w:lang w:val="en-US" w:eastAsia="zh-CN"/>
        </w:rPr>
        <w:t>之一是为国际电联成员国</w:t>
      </w:r>
      <w:r>
        <w:rPr>
          <w:rFonts w:hint="eastAsia"/>
          <w:lang w:val="en-US" w:eastAsia="zh-CN"/>
        </w:rPr>
        <w:t>和部门成员创建环境，从而</w:t>
      </w:r>
      <w:r w:rsidRPr="00C6327D">
        <w:rPr>
          <w:rFonts w:hint="eastAsia"/>
          <w:lang w:val="en-US" w:eastAsia="zh-CN"/>
        </w:rPr>
        <w:t>探讨</w:t>
      </w:r>
      <w:r>
        <w:rPr>
          <w:rFonts w:hint="eastAsia"/>
          <w:lang w:val="en-US" w:eastAsia="zh-CN"/>
        </w:rPr>
        <w:t>在国际电联内部推动加强合作进程的途径，为国际电联发挥新的作用和职责探讨和确定新的机制，</w:t>
      </w:r>
    </w:p>
    <w:p w:rsidR="008F6740" w:rsidRPr="00F668CA" w:rsidRDefault="008F6740" w:rsidP="00EB000A">
      <w:pPr>
        <w:pStyle w:val="Call"/>
        <w:rPr>
          <w:lang w:eastAsia="zh-CN"/>
        </w:rPr>
      </w:pPr>
      <w:r>
        <w:rPr>
          <w:rFonts w:hint="eastAsia"/>
          <w:lang w:val="en-US" w:eastAsia="zh-CN"/>
        </w:rPr>
        <w:t>进一步考虑到</w:t>
      </w:r>
    </w:p>
    <w:p w:rsidR="008F6740" w:rsidRPr="001A77C2" w:rsidRDefault="008F6740" w:rsidP="00EB000A">
      <w:pPr>
        <w:rPr>
          <w:rFonts w:asciiTheme="minorHAnsi" w:hAnsiTheme="minorHAnsi"/>
          <w:lang w:val="en-US" w:eastAsia="zh-CN"/>
        </w:rPr>
      </w:pPr>
      <w:r w:rsidRPr="00DA21FA">
        <w:rPr>
          <w:rFonts w:asciiTheme="minorHAnsi" w:hAnsiTheme="minorHAnsi"/>
          <w:i/>
          <w:iCs/>
          <w:lang w:val="en-US" w:eastAsia="zh-CN"/>
        </w:rPr>
        <w:t>a)</w:t>
      </w:r>
      <w:r w:rsidRPr="009566BA">
        <w:rPr>
          <w:rFonts w:asciiTheme="minorHAnsi" w:hAnsiTheme="minorHAnsi"/>
          <w:lang w:eastAsia="zh-CN"/>
        </w:rPr>
        <w:tab/>
      </w:r>
      <w:r>
        <w:rPr>
          <w:rFonts w:hint="eastAsia"/>
          <w:lang w:eastAsia="zh-CN"/>
        </w:rPr>
        <w:t>“落实与跟进”章节是《信息社会</w:t>
      </w:r>
      <w:r w:rsidRPr="00520654">
        <w:rPr>
          <w:rFonts w:hint="eastAsia"/>
          <w:lang w:eastAsia="zh-CN"/>
        </w:rPr>
        <w:t>突尼斯议程</w:t>
      </w:r>
      <w:r>
        <w:rPr>
          <w:rFonts w:hint="eastAsia"/>
          <w:lang w:eastAsia="zh-CN"/>
        </w:rPr>
        <w:t>》的一大重点，其中明确阐述了信息社会世界峰会的前提、指导原则和活动；</w:t>
      </w:r>
    </w:p>
    <w:p w:rsidR="008F6740" w:rsidRPr="009566BA" w:rsidRDefault="008F6740" w:rsidP="00EB000A">
      <w:pPr>
        <w:rPr>
          <w:rFonts w:asciiTheme="minorHAnsi" w:hAnsiTheme="minorHAnsi"/>
          <w:lang w:val="en-US" w:eastAsia="zh-CN"/>
        </w:rPr>
      </w:pPr>
      <w:r w:rsidRPr="00DA21FA">
        <w:rPr>
          <w:rFonts w:asciiTheme="minorHAnsi" w:hAnsiTheme="minorHAnsi"/>
          <w:i/>
          <w:iCs/>
          <w:lang w:val="en-US" w:eastAsia="zh-CN"/>
        </w:rPr>
        <w:t>b)</w:t>
      </w:r>
      <w:r w:rsidRPr="009566BA">
        <w:rPr>
          <w:rFonts w:asciiTheme="minorHAnsi" w:hAnsiTheme="minorHAnsi"/>
          <w:lang w:eastAsia="zh-CN"/>
        </w:rPr>
        <w:tab/>
      </w:r>
      <w:r>
        <w:rPr>
          <w:rFonts w:hint="eastAsia"/>
          <w:lang w:eastAsia="zh-CN"/>
        </w:rPr>
        <w:t>在《</w:t>
      </w:r>
      <w:r w:rsidRPr="00520654">
        <w:rPr>
          <w:rFonts w:hint="eastAsia"/>
          <w:lang w:eastAsia="zh-CN"/>
        </w:rPr>
        <w:t>突尼斯议程</w:t>
      </w:r>
      <w:r>
        <w:rPr>
          <w:rFonts w:hint="eastAsia"/>
          <w:lang w:eastAsia="zh-CN"/>
        </w:rPr>
        <w:t>》“落实与跟进”章节中，国际电联被指定为信息社会世界峰会各行动方面可能的协调机构和推进机构之一；</w:t>
      </w:r>
    </w:p>
    <w:p w:rsidR="008F6740" w:rsidRDefault="008F6740" w:rsidP="00EB000A">
      <w:pPr>
        <w:rPr>
          <w:lang w:val="en-US" w:eastAsia="zh-CN"/>
        </w:rPr>
      </w:pPr>
      <w:r w:rsidRPr="00DA21FA">
        <w:rPr>
          <w:rFonts w:asciiTheme="minorHAnsi" w:hAnsiTheme="minorHAnsi"/>
          <w:i/>
          <w:iCs/>
          <w:lang w:val="en-US" w:eastAsia="zh-CN"/>
        </w:rPr>
        <w:t>c)</w:t>
      </w:r>
      <w:r w:rsidRPr="009566BA">
        <w:rPr>
          <w:rFonts w:asciiTheme="minorHAnsi" w:hAnsiTheme="minorHAnsi"/>
          <w:lang w:eastAsia="zh-CN"/>
        </w:rPr>
        <w:tab/>
      </w:r>
      <w:r w:rsidRPr="00520654">
        <w:rPr>
          <w:rFonts w:hint="eastAsia"/>
          <w:lang w:eastAsia="zh-CN"/>
        </w:rPr>
        <w:t>世界电信发展大会</w:t>
      </w:r>
      <w:r>
        <w:rPr>
          <w:rFonts w:hint="eastAsia"/>
          <w:lang w:eastAsia="zh-CN"/>
        </w:rPr>
        <w:t>（</w:t>
      </w:r>
      <w:r>
        <w:rPr>
          <w:rFonts w:hint="eastAsia"/>
          <w:lang w:eastAsia="zh-CN"/>
        </w:rPr>
        <w:t>2006</w:t>
      </w:r>
      <w:r>
        <w:rPr>
          <w:rFonts w:hint="eastAsia"/>
          <w:lang w:eastAsia="zh-CN"/>
        </w:rPr>
        <w:t>年，多哈）和全权代表大会（</w:t>
      </w:r>
      <w:r>
        <w:rPr>
          <w:rFonts w:hint="eastAsia"/>
          <w:lang w:eastAsia="zh-CN"/>
        </w:rPr>
        <w:t>2006</w:t>
      </w:r>
      <w:r>
        <w:rPr>
          <w:rFonts w:hint="eastAsia"/>
          <w:lang w:eastAsia="zh-CN"/>
        </w:rPr>
        <w:t>年，安塔利亚）均</w:t>
      </w:r>
      <w:r w:rsidRPr="00E4645B">
        <w:rPr>
          <w:rFonts w:hint="eastAsia"/>
          <w:lang w:val="en-US" w:eastAsia="zh-CN"/>
        </w:rPr>
        <w:t>认识到</w:t>
      </w:r>
      <w:r>
        <w:rPr>
          <w:rFonts w:hint="eastAsia"/>
          <w:lang w:val="en-US" w:eastAsia="zh-CN"/>
        </w:rPr>
        <w:t>，</w:t>
      </w:r>
      <w:r w:rsidRPr="00E4645B">
        <w:rPr>
          <w:rFonts w:hint="eastAsia"/>
          <w:lang w:val="en-US" w:eastAsia="zh-CN"/>
        </w:rPr>
        <w:t>国际电联</w:t>
      </w:r>
      <w:r>
        <w:rPr>
          <w:rFonts w:hint="eastAsia"/>
          <w:lang w:val="en-US" w:eastAsia="zh-CN"/>
        </w:rPr>
        <w:t>须在有关信息</w:t>
      </w:r>
      <w:r w:rsidRPr="00E4645B">
        <w:rPr>
          <w:rFonts w:hint="eastAsia"/>
          <w:lang w:val="en-US" w:eastAsia="zh-CN"/>
        </w:rPr>
        <w:t>通信基础设施的</w:t>
      </w:r>
      <w:r>
        <w:rPr>
          <w:rFonts w:hint="eastAsia"/>
          <w:lang w:eastAsia="zh-CN"/>
        </w:rPr>
        <w:t>信息社会世界峰会</w:t>
      </w:r>
      <w:r>
        <w:rPr>
          <w:rFonts w:hint="eastAsia"/>
          <w:lang w:eastAsia="zh-CN"/>
        </w:rPr>
        <w:t>C2</w:t>
      </w:r>
      <w:r>
        <w:rPr>
          <w:rFonts w:hint="eastAsia"/>
          <w:lang w:eastAsia="zh-CN"/>
        </w:rPr>
        <w:t>行动方面和有关树立使用信息通信技术（</w:t>
      </w:r>
      <w:r>
        <w:rPr>
          <w:rFonts w:hint="eastAsia"/>
          <w:lang w:eastAsia="zh-CN"/>
        </w:rPr>
        <w:t>ICT</w:t>
      </w:r>
      <w:r>
        <w:rPr>
          <w:rFonts w:hint="eastAsia"/>
          <w:lang w:eastAsia="zh-CN"/>
        </w:rPr>
        <w:t>）的信心并提高安全性的</w:t>
      </w:r>
      <w:r>
        <w:rPr>
          <w:rFonts w:hint="eastAsia"/>
          <w:lang w:eastAsia="zh-CN"/>
        </w:rPr>
        <w:t>C5</w:t>
      </w:r>
      <w:r>
        <w:rPr>
          <w:rFonts w:hint="eastAsia"/>
          <w:lang w:eastAsia="zh-CN"/>
        </w:rPr>
        <w:t>行动方面中发挥领导作用，</w:t>
      </w:r>
    </w:p>
    <w:p w:rsidR="008F6740" w:rsidRPr="00F668CA" w:rsidRDefault="008F6740" w:rsidP="00EB000A">
      <w:pPr>
        <w:pStyle w:val="Call"/>
        <w:rPr>
          <w:lang w:eastAsia="zh-CN"/>
        </w:rPr>
      </w:pPr>
      <w:r w:rsidRPr="00C6327D">
        <w:rPr>
          <w:rFonts w:hint="eastAsia"/>
          <w:lang w:val="en-US" w:eastAsia="zh-CN"/>
        </w:rPr>
        <w:t>注意到</w:t>
      </w:r>
    </w:p>
    <w:p w:rsidR="008F6740" w:rsidRPr="001A77C2" w:rsidRDefault="008F6740" w:rsidP="00EB000A">
      <w:pPr>
        <w:rPr>
          <w:szCs w:val="22"/>
          <w:lang w:val="en-US" w:eastAsia="zh-CN"/>
        </w:rPr>
      </w:pPr>
      <w:r w:rsidRPr="00DA21FA">
        <w:rPr>
          <w:i/>
          <w:iCs/>
          <w:lang w:val="en-US" w:eastAsia="zh-CN"/>
        </w:rPr>
        <w:t>a)</w:t>
      </w:r>
      <w:r w:rsidRPr="009566BA">
        <w:rPr>
          <w:szCs w:val="22"/>
          <w:lang w:val="en-US" w:eastAsia="pt-BR"/>
        </w:rPr>
        <w:tab/>
      </w:r>
      <w:r>
        <w:rPr>
          <w:rFonts w:hint="eastAsia"/>
          <w:szCs w:val="22"/>
          <w:lang w:val="en-US" w:eastAsia="zh-CN"/>
        </w:rPr>
        <w:t>有必要强化国际电联的结构，以不断改善其作为</w:t>
      </w:r>
      <w:r>
        <w:rPr>
          <w:rFonts w:hint="eastAsia"/>
          <w:lang w:eastAsia="zh-CN"/>
        </w:rPr>
        <w:t>信息社会世界峰会</w:t>
      </w:r>
      <w:r w:rsidRPr="00A212E8">
        <w:rPr>
          <w:rFonts w:hint="eastAsia"/>
          <w:lang w:eastAsia="zh-CN"/>
        </w:rPr>
        <w:t>指示</w:t>
      </w:r>
      <w:r>
        <w:rPr>
          <w:rFonts w:hint="eastAsia"/>
          <w:lang w:eastAsia="zh-CN"/>
        </w:rPr>
        <w:t>推进方的工作</w:t>
      </w:r>
      <w:r w:rsidRPr="00A212E8">
        <w:rPr>
          <w:rFonts w:hint="eastAsia"/>
          <w:lang w:eastAsia="zh-CN"/>
        </w:rPr>
        <w:t>；</w:t>
      </w:r>
    </w:p>
    <w:p w:rsidR="008F6740" w:rsidRPr="009566BA" w:rsidRDefault="008F6740" w:rsidP="00EB000A">
      <w:pPr>
        <w:rPr>
          <w:szCs w:val="22"/>
          <w:lang w:val="en-US" w:eastAsia="zh-CN"/>
        </w:rPr>
      </w:pPr>
      <w:r w:rsidRPr="00DA21FA">
        <w:rPr>
          <w:i/>
          <w:iCs/>
          <w:lang w:val="en-US" w:eastAsia="zh-CN"/>
        </w:rPr>
        <w:t>b)</w:t>
      </w:r>
      <w:r w:rsidRPr="009566BA">
        <w:rPr>
          <w:szCs w:val="22"/>
          <w:lang w:eastAsia="zh-CN"/>
        </w:rPr>
        <w:tab/>
      </w:r>
      <w:r w:rsidRPr="00520654">
        <w:rPr>
          <w:rFonts w:hint="eastAsia"/>
          <w:lang w:eastAsia="zh-CN"/>
        </w:rPr>
        <w:t>电信网和服务对于</w:t>
      </w:r>
      <w:r>
        <w:rPr>
          <w:rFonts w:hint="eastAsia"/>
          <w:lang w:eastAsia="zh-CN"/>
        </w:rPr>
        <w:t>支持</w:t>
      </w:r>
      <w:r w:rsidRPr="00520654">
        <w:rPr>
          <w:rFonts w:hint="eastAsia"/>
          <w:lang w:eastAsia="zh-CN"/>
        </w:rPr>
        <w:t>实现互联网的互操作性</w:t>
      </w:r>
      <w:r>
        <w:rPr>
          <w:rFonts w:hint="eastAsia"/>
          <w:lang w:eastAsia="zh-CN"/>
        </w:rPr>
        <w:t>十分</w:t>
      </w:r>
      <w:r w:rsidRPr="00520654">
        <w:rPr>
          <w:rFonts w:hint="eastAsia"/>
          <w:lang w:eastAsia="zh-CN"/>
        </w:rPr>
        <w:t>重要</w:t>
      </w:r>
      <w:r>
        <w:rPr>
          <w:rFonts w:hint="eastAsia"/>
          <w:szCs w:val="22"/>
          <w:lang w:eastAsia="zh-CN"/>
        </w:rPr>
        <w:t>；</w:t>
      </w:r>
    </w:p>
    <w:p w:rsidR="008F6740" w:rsidRPr="009566BA" w:rsidRDefault="008F6740" w:rsidP="00EB000A">
      <w:pPr>
        <w:rPr>
          <w:szCs w:val="22"/>
          <w:lang w:val="en-US" w:eastAsia="zh-CN"/>
        </w:rPr>
      </w:pPr>
      <w:r w:rsidRPr="00DA21FA">
        <w:rPr>
          <w:i/>
          <w:iCs/>
          <w:lang w:val="en-US" w:eastAsia="zh-CN"/>
        </w:rPr>
        <w:t>c)</w:t>
      </w:r>
      <w:r w:rsidRPr="009566BA">
        <w:rPr>
          <w:szCs w:val="22"/>
          <w:lang w:eastAsia="zh-CN"/>
        </w:rPr>
        <w:tab/>
      </w:r>
      <w:r w:rsidRPr="00520654">
        <w:rPr>
          <w:rFonts w:hint="eastAsia"/>
          <w:lang w:eastAsia="zh-CN"/>
        </w:rPr>
        <w:t>国际电联从传统上就具备召集电信行业不同部门</w:t>
      </w:r>
      <w:r>
        <w:rPr>
          <w:rFonts w:hint="eastAsia"/>
          <w:lang w:eastAsia="zh-CN"/>
        </w:rPr>
        <w:t>，如</w:t>
      </w:r>
      <w:r>
        <w:rPr>
          <w:rFonts w:hint="eastAsia"/>
          <w:szCs w:val="22"/>
          <w:lang w:eastAsia="zh-CN"/>
        </w:rPr>
        <w:t>主管部门和私营实体制定电信网络技术建议书的能力；</w:t>
      </w:r>
    </w:p>
    <w:p w:rsidR="008F6740" w:rsidRPr="009566BA" w:rsidRDefault="008F6740" w:rsidP="00EB000A">
      <w:pPr>
        <w:rPr>
          <w:szCs w:val="22"/>
          <w:lang w:val="en-US" w:eastAsia="zh-CN"/>
        </w:rPr>
      </w:pPr>
      <w:r w:rsidRPr="00DA21FA">
        <w:rPr>
          <w:i/>
          <w:iCs/>
          <w:lang w:val="en-US" w:eastAsia="zh-CN"/>
        </w:rPr>
        <w:t>d)</w:t>
      </w:r>
      <w:r w:rsidRPr="00DA21FA">
        <w:rPr>
          <w:i/>
          <w:iCs/>
          <w:lang w:val="en-US" w:eastAsia="zh-CN"/>
        </w:rPr>
        <w:tab/>
      </w:r>
      <w:r>
        <w:rPr>
          <w:rFonts w:hint="eastAsia"/>
          <w:lang w:val="en-US" w:eastAsia="zh-CN"/>
        </w:rPr>
        <w:t>有必要在国际电联电信标准化部门（</w:t>
      </w:r>
      <w:r>
        <w:rPr>
          <w:rFonts w:hint="eastAsia"/>
          <w:lang w:val="en-US" w:eastAsia="zh-CN"/>
        </w:rPr>
        <w:t>ITU-T</w:t>
      </w:r>
      <w:r>
        <w:rPr>
          <w:rFonts w:hint="eastAsia"/>
          <w:lang w:val="en-US" w:eastAsia="zh-CN"/>
        </w:rPr>
        <w:t>）内，针对相关的</w:t>
      </w:r>
      <w:r>
        <w:rPr>
          <w:rFonts w:hint="eastAsia"/>
          <w:lang w:eastAsia="zh-CN"/>
        </w:rPr>
        <w:t>信息社会世界峰会</w:t>
      </w:r>
      <w:r>
        <w:rPr>
          <w:rFonts w:hint="eastAsia"/>
          <w:lang w:val="en-US" w:eastAsia="zh-CN"/>
        </w:rPr>
        <w:t>行动方面（根据世界电信标准化全会（</w:t>
      </w:r>
      <w:r>
        <w:rPr>
          <w:rFonts w:hint="eastAsia"/>
          <w:lang w:val="en-US" w:eastAsia="zh-CN"/>
        </w:rPr>
        <w:t>WTSA</w:t>
      </w:r>
      <w:r>
        <w:rPr>
          <w:rFonts w:hint="eastAsia"/>
          <w:lang w:val="en-US" w:eastAsia="zh-CN"/>
        </w:rPr>
        <w:t>）第</w:t>
      </w:r>
      <w:r>
        <w:rPr>
          <w:rFonts w:hint="eastAsia"/>
          <w:lang w:val="en-US" w:eastAsia="zh-CN"/>
        </w:rPr>
        <w:t>75</w:t>
      </w:r>
      <w:r>
        <w:rPr>
          <w:rFonts w:hint="eastAsia"/>
          <w:lang w:val="en-US" w:eastAsia="zh-CN"/>
        </w:rPr>
        <w:t>号决议（</w:t>
      </w:r>
      <w:r>
        <w:rPr>
          <w:rFonts w:hint="eastAsia"/>
          <w:lang w:val="en-US" w:eastAsia="zh-CN"/>
        </w:rPr>
        <w:t>2008</w:t>
      </w:r>
      <w:r>
        <w:rPr>
          <w:rFonts w:hint="eastAsia"/>
          <w:lang w:val="en-US" w:eastAsia="zh-CN"/>
        </w:rPr>
        <w:t>年，约翰内斯堡））指</w:t>
      </w:r>
      <w:r>
        <w:rPr>
          <w:rFonts w:hint="eastAsia"/>
          <w:lang w:eastAsia="zh-CN"/>
        </w:rPr>
        <w:t>定牵头机构，使</w:t>
      </w:r>
      <w:r>
        <w:rPr>
          <w:rFonts w:hint="eastAsia"/>
          <w:lang w:val="en-US" w:eastAsia="zh-CN"/>
        </w:rPr>
        <w:t>所有国际电联成员都能以协调透明的方式发展支持互联网的</w:t>
      </w:r>
      <w:r w:rsidRPr="00520654">
        <w:rPr>
          <w:rFonts w:hint="eastAsia"/>
          <w:lang w:eastAsia="zh-CN"/>
        </w:rPr>
        <w:t>电信网络技术</w:t>
      </w:r>
      <w:r>
        <w:rPr>
          <w:rFonts w:hint="eastAsia"/>
          <w:szCs w:val="22"/>
          <w:lang w:eastAsia="zh-CN"/>
        </w:rPr>
        <w:t>，以便基于文稿开展工作，帮助推动网络演进、容量、持续性、互操作性和安全性的发展，</w:t>
      </w:r>
    </w:p>
    <w:p w:rsidR="008F6740" w:rsidRPr="00F668CA" w:rsidRDefault="008F6740" w:rsidP="00EB000A">
      <w:pPr>
        <w:pStyle w:val="Call"/>
        <w:rPr>
          <w:lang w:eastAsia="zh-CN"/>
        </w:rPr>
      </w:pPr>
      <w:r w:rsidRPr="00D96E6A">
        <w:rPr>
          <w:rFonts w:hint="eastAsia"/>
          <w:lang w:eastAsia="zh-CN"/>
        </w:rPr>
        <w:t>铭记</w:t>
      </w:r>
    </w:p>
    <w:p w:rsidR="008F6740" w:rsidRPr="001A77C2" w:rsidRDefault="008F6740" w:rsidP="00EB000A">
      <w:pPr>
        <w:rPr>
          <w:rFonts w:asciiTheme="minorHAnsi" w:hAnsiTheme="minorHAnsi"/>
          <w:szCs w:val="22"/>
          <w:lang w:val="en-US" w:eastAsia="zh-CN"/>
        </w:rPr>
      </w:pPr>
      <w:r w:rsidRPr="00DA21FA">
        <w:rPr>
          <w:rFonts w:asciiTheme="minorHAnsi" w:hAnsiTheme="minorHAnsi"/>
          <w:i/>
          <w:iCs/>
          <w:lang w:val="en-US" w:eastAsia="zh-CN"/>
        </w:rPr>
        <w:t>a)</w:t>
      </w:r>
      <w:r w:rsidRPr="009566BA">
        <w:rPr>
          <w:rFonts w:asciiTheme="minorHAnsi" w:hAnsiTheme="minorHAnsi"/>
          <w:szCs w:val="22"/>
          <w:lang w:eastAsia="zh-CN"/>
        </w:rPr>
        <w:tab/>
      </w:r>
      <w:r>
        <w:rPr>
          <w:rFonts w:hint="eastAsia"/>
          <w:szCs w:val="22"/>
          <w:lang w:eastAsia="zh-CN"/>
        </w:rPr>
        <w:t>国际电联《组织法》第</w:t>
      </w:r>
      <w:r>
        <w:rPr>
          <w:rFonts w:hint="eastAsia"/>
          <w:szCs w:val="22"/>
          <w:lang w:eastAsia="zh-CN"/>
        </w:rPr>
        <w:t>17</w:t>
      </w:r>
      <w:r>
        <w:rPr>
          <w:rFonts w:hint="eastAsia"/>
          <w:szCs w:val="22"/>
          <w:lang w:eastAsia="zh-CN"/>
        </w:rPr>
        <w:t>条概述的电信标准化部门的职能：“</w:t>
      </w:r>
      <w:r w:rsidRPr="00D96E6A">
        <w:rPr>
          <w:rFonts w:ascii="STKaiti" w:eastAsia="STKaiti" w:hAnsi="STKaiti" w:hint="eastAsia"/>
          <w:lang w:eastAsia="zh-CN"/>
        </w:rPr>
        <w:t>电信标准化部门的职能应为，在考虑到发展中国家特别关注的问题的同时，通过研究技术、运营和资费问题，并就这些问题通过建议，</w:t>
      </w:r>
      <w:r w:rsidRPr="00D96E6A">
        <w:rPr>
          <w:rFonts w:ascii="STKaiti" w:eastAsia="STKaiti" w:hAnsi="STKaiti" w:hint="eastAsia"/>
          <w:szCs w:val="22"/>
          <w:lang w:val="en-US" w:eastAsia="zh-CN"/>
        </w:rPr>
        <w:t>以使全世界的电信标准化</w:t>
      </w:r>
      <w:r w:rsidRPr="00D96E6A">
        <w:rPr>
          <w:rFonts w:ascii="STKaiti" w:eastAsia="STKaiti" w:hAnsi="STKaiti" w:hint="eastAsia"/>
          <w:lang w:eastAsia="zh-CN"/>
        </w:rPr>
        <w:t>，从而实现本《组织法》第</w:t>
      </w:r>
      <w:r w:rsidRPr="00C2463F">
        <w:rPr>
          <w:rFonts w:asciiTheme="minorHAnsi" w:eastAsia="STKaiti" w:hAnsiTheme="minorHAnsi"/>
          <w:lang w:eastAsia="zh-CN"/>
        </w:rPr>
        <w:t>1</w:t>
      </w:r>
      <w:r w:rsidRPr="00D96E6A">
        <w:rPr>
          <w:rFonts w:ascii="STKaiti" w:eastAsia="STKaiti" w:hAnsi="STKaiti" w:hint="eastAsia"/>
          <w:lang w:eastAsia="zh-CN"/>
        </w:rPr>
        <w:t>条所述的国际电联关于电信标准化方面的宗旨。</w:t>
      </w:r>
      <w:r>
        <w:rPr>
          <w:rFonts w:hint="eastAsia"/>
          <w:szCs w:val="22"/>
          <w:lang w:eastAsia="zh-CN"/>
        </w:rPr>
        <w:t>”；</w:t>
      </w:r>
    </w:p>
    <w:p w:rsidR="00AA798B" w:rsidRDefault="00AA798B" w:rsidP="00EB000A">
      <w:pPr>
        <w:rPr>
          <w:rFonts w:asciiTheme="minorHAnsi" w:hAnsiTheme="minorHAnsi"/>
          <w:i/>
          <w:iCs/>
          <w:lang w:val="en-US" w:eastAsia="zh-CN"/>
        </w:rPr>
      </w:pPr>
    </w:p>
    <w:p w:rsidR="008F6740" w:rsidRDefault="008F6740" w:rsidP="00EB000A">
      <w:pPr>
        <w:rPr>
          <w:szCs w:val="22"/>
          <w:lang w:val="en-US" w:eastAsia="pt-BR"/>
        </w:rPr>
      </w:pPr>
      <w:r w:rsidRPr="00DA21FA">
        <w:rPr>
          <w:rFonts w:asciiTheme="minorHAnsi" w:hAnsiTheme="minorHAnsi"/>
          <w:i/>
          <w:iCs/>
          <w:lang w:val="en-US" w:eastAsia="zh-CN"/>
        </w:rPr>
        <w:t>b)</w:t>
      </w:r>
      <w:r w:rsidRPr="009566BA">
        <w:rPr>
          <w:rFonts w:asciiTheme="minorHAnsi" w:hAnsiTheme="minorHAnsi"/>
          <w:szCs w:val="22"/>
          <w:lang w:val="en-US" w:eastAsia="pt-BR"/>
        </w:rPr>
        <w:tab/>
      </w:r>
      <w:r>
        <w:rPr>
          <w:rFonts w:hint="eastAsia"/>
          <w:szCs w:val="22"/>
          <w:lang w:val="en-US" w:eastAsia="zh-CN"/>
        </w:rPr>
        <w:t>国际电联《公约》第</w:t>
      </w:r>
      <w:r>
        <w:rPr>
          <w:rFonts w:hint="eastAsia"/>
          <w:szCs w:val="22"/>
          <w:lang w:val="en-US" w:eastAsia="zh-CN"/>
        </w:rPr>
        <w:t>13</w:t>
      </w:r>
      <w:r>
        <w:rPr>
          <w:rFonts w:hint="eastAsia"/>
          <w:szCs w:val="22"/>
          <w:lang w:val="en-US" w:eastAsia="zh-CN"/>
        </w:rPr>
        <w:t>条指出了世界电信标准化全会的责任，具体为：</w:t>
      </w:r>
    </w:p>
    <w:p w:rsidR="008F6740" w:rsidRPr="00797C09" w:rsidRDefault="008F6740" w:rsidP="00EB000A">
      <w:pPr>
        <w:pStyle w:val="enumlev1"/>
        <w:rPr>
          <w:rFonts w:asciiTheme="minorHAnsi" w:eastAsia="STKaiti" w:hAnsiTheme="minorHAnsi"/>
          <w:lang w:eastAsia="zh-CN"/>
        </w:rPr>
      </w:pPr>
      <w:r w:rsidRPr="00F668CA">
        <w:rPr>
          <w:rFonts w:hint="eastAsia"/>
          <w:lang w:eastAsia="zh-CN"/>
        </w:rPr>
        <w:lastRenderedPageBreak/>
        <w:tab/>
      </w:r>
      <w:r>
        <w:rPr>
          <w:rFonts w:hint="eastAsia"/>
          <w:lang w:eastAsia="zh-CN"/>
        </w:rPr>
        <w:t>“</w:t>
      </w:r>
      <w:r w:rsidRPr="00797C09">
        <w:rPr>
          <w:rFonts w:asciiTheme="minorHAnsi" w:eastAsia="STKaiti" w:hAnsiTheme="minorHAnsi"/>
          <w:lang w:eastAsia="zh-CN"/>
        </w:rPr>
        <w:t>3</w:t>
      </w:r>
      <w:r w:rsidRPr="00797C09">
        <w:rPr>
          <w:rFonts w:asciiTheme="minorHAnsi" w:eastAsia="STKaiti" w:hAnsiTheme="minorHAnsi"/>
          <w:lang w:eastAsia="zh-CN"/>
        </w:rPr>
        <w:tab/>
      </w:r>
      <w:r w:rsidRPr="00797C09">
        <w:rPr>
          <w:rFonts w:asciiTheme="minorHAnsi" w:eastAsia="STKaiti" w:hAnsi="STKaiti"/>
          <w:lang w:eastAsia="zh-CN"/>
        </w:rPr>
        <w:t>根据《组织法》第</w:t>
      </w:r>
      <w:r w:rsidRPr="00797C09">
        <w:rPr>
          <w:rFonts w:asciiTheme="minorHAnsi" w:eastAsia="STKaiti" w:hAnsiTheme="minorHAnsi"/>
          <w:lang w:eastAsia="zh-CN"/>
        </w:rPr>
        <w:t>104</w:t>
      </w:r>
      <w:r w:rsidRPr="00797C09">
        <w:rPr>
          <w:rFonts w:asciiTheme="minorHAnsi" w:eastAsia="STKaiti" w:hAnsi="STKaiti"/>
          <w:lang w:eastAsia="zh-CN"/>
        </w:rPr>
        <w:t>款，全会须：</w:t>
      </w:r>
    </w:p>
    <w:p w:rsidR="008F6740" w:rsidRPr="00797C09" w:rsidRDefault="008F6740" w:rsidP="00EB000A">
      <w:pPr>
        <w:pStyle w:val="enumlev1"/>
        <w:rPr>
          <w:rFonts w:asciiTheme="minorHAnsi" w:eastAsia="STKaiti" w:hAnsiTheme="minorHAnsi"/>
          <w:lang w:eastAsia="zh-CN"/>
        </w:rPr>
      </w:pPr>
      <w:r w:rsidRPr="00797C09">
        <w:rPr>
          <w:rFonts w:asciiTheme="minorHAnsi" w:eastAsia="STKaiti" w:hAnsiTheme="minorHAnsi"/>
          <w:lang w:eastAsia="zh-CN"/>
        </w:rPr>
        <w:tab/>
        <w:t>...</w:t>
      </w:r>
    </w:p>
    <w:p w:rsidR="008F6740" w:rsidRPr="00797C09" w:rsidRDefault="008F6740" w:rsidP="00EB000A">
      <w:pPr>
        <w:pStyle w:val="enumlev1"/>
        <w:rPr>
          <w:rFonts w:asciiTheme="minorHAnsi" w:hAnsiTheme="minorHAnsi"/>
          <w:lang w:eastAsia="zh-CN"/>
        </w:rPr>
      </w:pPr>
      <w:r w:rsidRPr="00797C09">
        <w:rPr>
          <w:rFonts w:asciiTheme="minorHAnsi" w:eastAsia="STKaiti" w:hAnsiTheme="minorHAnsi"/>
          <w:lang w:eastAsia="zh-CN"/>
        </w:rPr>
        <w:tab/>
      </w:r>
      <w:r w:rsidRPr="00797C09">
        <w:rPr>
          <w:rFonts w:asciiTheme="minorHAnsi" w:eastAsia="STKaiti" w:hAnsiTheme="minorHAnsi"/>
          <w:i/>
          <w:iCs/>
          <w:lang w:eastAsia="zh-CN"/>
        </w:rPr>
        <w:t>f)</w:t>
      </w:r>
      <w:r w:rsidRPr="00797C09">
        <w:rPr>
          <w:rFonts w:asciiTheme="minorHAnsi" w:eastAsia="STKaiti" w:hAnsiTheme="minorHAnsi"/>
          <w:lang w:eastAsia="zh-CN"/>
        </w:rPr>
        <w:tab/>
      </w:r>
      <w:r w:rsidRPr="00797C09">
        <w:rPr>
          <w:rFonts w:asciiTheme="minorHAnsi" w:eastAsia="STKaiti" w:hAnsi="STKaiti"/>
          <w:lang w:eastAsia="zh-CN"/>
        </w:rPr>
        <w:t>决定是否需要保留、终止或成立其他组，并任命其正副主席；</w:t>
      </w:r>
    </w:p>
    <w:p w:rsidR="008F6740" w:rsidRPr="00F668CA" w:rsidRDefault="008F6740" w:rsidP="00EB000A">
      <w:pPr>
        <w:pStyle w:val="enumlev1"/>
        <w:rPr>
          <w:rFonts w:ascii="STKaiti" w:eastAsia="STKaiti" w:hAnsi="STKaiti"/>
          <w:lang w:eastAsia="zh-CN"/>
        </w:rPr>
      </w:pPr>
      <w:r w:rsidRPr="00797C09">
        <w:rPr>
          <w:rFonts w:asciiTheme="minorHAnsi" w:eastAsia="STKaiti" w:hAnsiTheme="minorHAnsi"/>
          <w:szCs w:val="22"/>
          <w:lang w:eastAsia="zh-CN"/>
        </w:rPr>
        <w:tab/>
      </w:r>
      <w:r w:rsidRPr="00797C09">
        <w:rPr>
          <w:rFonts w:asciiTheme="minorHAnsi" w:eastAsia="STKaiti" w:hAnsiTheme="minorHAnsi"/>
          <w:i/>
          <w:iCs/>
          <w:szCs w:val="22"/>
          <w:lang w:eastAsia="zh-CN"/>
        </w:rPr>
        <w:t>g)</w:t>
      </w:r>
      <w:r w:rsidRPr="00797C09">
        <w:rPr>
          <w:rFonts w:asciiTheme="minorHAnsi" w:eastAsia="STKaiti" w:hAnsiTheme="minorHAnsi"/>
          <w:szCs w:val="22"/>
          <w:lang w:eastAsia="zh-CN"/>
        </w:rPr>
        <w:tab/>
      </w:r>
      <w:r w:rsidRPr="00797C09">
        <w:rPr>
          <w:rFonts w:asciiTheme="minorHAnsi" w:eastAsia="STKaiti" w:hAnsiTheme="minorHAnsi"/>
          <w:lang w:eastAsia="zh-CN"/>
        </w:rPr>
        <w:t>确定上述第</w:t>
      </w:r>
      <w:r w:rsidRPr="00797C09">
        <w:rPr>
          <w:rFonts w:asciiTheme="minorHAnsi" w:eastAsia="STKaiti" w:hAnsiTheme="minorHAnsi"/>
          <w:lang w:eastAsia="zh-CN"/>
        </w:rPr>
        <w:t>191A</w:t>
      </w:r>
      <w:r w:rsidRPr="00797C09">
        <w:rPr>
          <w:rFonts w:asciiTheme="minorHAnsi" w:eastAsia="STKaiti" w:hAnsiTheme="minorHAnsi"/>
          <w:lang w:eastAsia="zh-CN"/>
        </w:rPr>
        <w:t>款所述组的职责范围；此类组不得通过课题或建</w:t>
      </w:r>
      <w:r>
        <w:rPr>
          <w:rFonts w:asciiTheme="minorHAnsi" w:eastAsia="STKaiti" w:hAnsiTheme="minorHAnsi"/>
          <w:lang w:val="en-US" w:eastAsia="zh-CN"/>
        </w:rPr>
        <w:tab/>
      </w:r>
      <w:r w:rsidRPr="00797C09">
        <w:rPr>
          <w:rFonts w:asciiTheme="minorHAnsi" w:eastAsia="STKaiti" w:hAnsiTheme="minorHAnsi"/>
          <w:lang w:eastAsia="zh-CN"/>
        </w:rPr>
        <w:t>议书</w:t>
      </w:r>
      <w:r w:rsidRPr="00797C09">
        <w:rPr>
          <w:rFonts w:asciiTheme="minorHAnsi" w:eastAsia="STKaiti" w:hAnsiTheme="minorHAnsi"/>
          <w:lang w:eastAsia="zh-CN"/>
        </w:rPr>
        <w:t>”</w:t>
      </w:r>
      <w:r>
        <w:rPr>
          <w:rFonts w:ascii="STKaiti" w:eastAsia="STKaiti" w:hAnsi="STKaiti" w:hint="eastAsia"/>
          <w:lang w:eastAsia="zh-CN"/>
        </w:rPr>
        <w:t>，</w:t>
      </w:r>
    </w:p>
    <w:p w:rsidR="008F6740" w:rsidRDefault="008F6740" w:rsidP="00EB000A">
      <w:pPr>
        <w:pStyle w:val="Call"/>
        <w:rPr>
          <w:lang w:val="en-US" w:eastAsia="zh-CN"/>
        </w:rPr>
      </w:pPr>
      <w:r>
        <w:rPr>
          <w:rFonts w:hint="eastAsia"/>
          <w:lang w:val="en-US" w:eastAsia="zh-CN"/>
        </w:rPr>
        <w:t>做出决议</w:t>
      </w:r>
    </w:p>
    <w:p w:rsidR="008F6740" w:rsidRDefault="008F6740" w:rsidP="00EB000A">
      <w:pPr>
        <w:ind w:firstLineChars="200" w:firstLine="480"/>
        <w:rPr>
          <w:lang w:eastAsia="zh-CN"/>
        </w:rPr>
      </w:pPr>
      <w:r>
        <w:rPr>
          <w:rFonts w:hint="eastAsia"/>
          <w:lang w:eastAsia="zh-CN"/>
        </w:rPr>
        <w:t>国际电联须继续进行自身调整，以协调透明的方式为支持互联网</w:t>
      </w:r>
      <w:r>
        <w:rPr>
          <w:rFonts w:asciiTheme="minorHAnsi" w:hAnsiTheme="minorHAnsi" w:hint="eastAsia"/>
          <w:lang w:eastAsia="zh-CN"/>
        </w:rPr>
        <w:t>发展</w:t>
      </w:r>
      <w:r w:rsidRPr="00520654">
        <w:rPr>
          <w:rFonts w:hint="eastAsia"/>
          <w:lang w:eastAsia="zh-CN"/>
        </w:rPr>
        <w:t>电信网络技术</w:t>
      </w:r>
      <w:r>
        <w:rPr>
          <w:rFonts w:hint="eastAsia"/>
          <w:lang w:eastAsia="zh-CN"/>
        </w:rPr>
        <w:t>，以便基于文稿开展工作，帮助推动网络演进、容量、持续性、互通性和安全性的发展，</w:t>
      </w:r>
    </w:p>
    <w:p w:rsidR="008F6740" w:rsidRDefault="008F6740" w:rsidP="00EB000A">
      <w:pPr>
        <w:pStyle w:val="Call"/>
        <w:rPr>
          <w:lang w:eastAsia="zh-CN"/>
        </w:rPr>
      </w:pPr>
      <w:r>
        <w:rPr>
          <w:rFonts w:hint="eastAsia"/>
          <w:lang w:eastAsia="zh-CN"/>
        </w:rPr>
        <w:t>责成秘书长和各局主任</w:t>
      </w:r>
    </w:p>
    <w:p w:rsidR="008F6740" w:rsidRDefault="008F6740" w:rsidP="00EB000A">
      <w:pPr>
        <w:ind w:firstLineChars="200" w:firstLine="480"/>
        <w:rPr>
          <w:lang w:eastAsia="zh-CN"/>
        </w:rPr>
      </w:pPr>
      <w:r>
        <w:rPr>
          <w:rFonts w:hint="eastAsia"/>
          <w:lang w:eastAsia="zh-CN"/>
        </w:rPr>
        <w:t>继续采取所有必要措施，使国际电联履行其组织支持互联网的电信网络工作的职责，</w:t>
      </w:r>
    </w:p>
    <w:p w:rsidR="008F6740" w:rsidRPr="00F70933" w:rsidRDefault="008F6740" w:rsidP="00EB000A">
      <w:pPr>
        <w:pStyle w:val="Call"/>
        <w:rPr>
          <w:lang w:val="en-US" w:eastAsia="zh-CN"/>
        </w:rPr>
      </w:pPr>
      <w:r>
        <w:rPr>
          <w:rFonts w:hint="eastAsia"/>
          <w:lang w:val="en-US" w:eastAsia="zh-CN"/>
        </w:rPr>
        <w:t>责成电信标准化局主任与电信标准化顾问组协商</w:t>
      </w:r>
    </w:p>
    <w:p w:rsidR="008F6740" w:rsidRDefault="008F6740" w:rsidP="00EB000A">
      <w:pPr>
        <w:rPr>
          <w:lang w:val="en-US" w:eastAsia="zh-CN"/>
        </w:rPr>
      </w:pPr>
      <w:r w:rsidRPr="00F70933">
        <w:rPr>
          <w:rFonts w:asciiTheme="minorHAnsi" w:hAnsiTheme="minorHAnsi" w:hint="eastAsia"/>
          <w:lang w:val="en-US" w:eastAsia="zh-CN"/>
        </w:rPr>
        <w:t>1</w:t>
      </w:r>
      <w:r>
        <w:rPr>
          <w:rFonts w:asciiTheme="minorHAnsi" w:hAnsiTheme="minorHAnsi" w:hint="eastAsia"/>
          <w:i/>
          <w:iCs/>
          <w:lang w:val="en-US" w:eastAsia="zh-CN"/>
        </w:rPr>
        <w:tab/>
      </w:r>
      <w:r>
        <w:rPr>
          <w:rFonts w:hint="eastAsia"/>
          <w:lang w:val="en-US" w:eastAsia="zh-CN"/>
        </w:rPr>
        <w:t>召开公开磋商会议，探讨</w:t>
      </w:r>
      <w:r>
        <w:rPr>
          <w:rFonts w:hint="eastAsia"/>
          <w:lang w:val="en-US" w:eastAsia="zh-CN"/>
        </w:rPr>
        <w:t>ITU-T</w:t>
      </w:r>
      <w:r>
        <w:rPr>
          <w:rFonts w:hint="eastAsia"/>
          <w:lang w:val="en-US" w:eastAsia="zh-CN"/>
        </w:rPr>
        <w:t>为落实信息社会世界峰会应做出的</w:t>
      </w:r>
      <w:r>
        <w:rPr>
          <w:lang w:val="en-US" w:eastAsia="zh-CN"/>
        </w:rPr>
        <w:br/>
      </w:r>
      <w:r>
        <w:rPr>
          <w:rFonts w:hint="eastAsia"/>
          <w:lang w:val="en-US" w:eastAsia="zh-CN"/>
        </w:rPr>
        <w:t>努力；</w:t>
      </w:r>
    </w:p>
    <w:p w:rsidR="008F6740" w:rsidRDefault="008F6740" w:rsidP="00EB000A">
      <w:pPr>
        <w:rPr>
          <w:lang w:val="en-US" w:eastAsia="zh-CN"/>
        </w:rPr>
      </w:pPr>
      <w:r>
        <w:rPr>
          <w:rFonts w:hint="eastAsia"/>
          <w:lang w:val="en-US" w:eastAsia="zh-CN"/>
        </w:rPr>
        <w:t>2</w:t>
      </w:r>
      <w:r>
        <w:rPr>
          <w:rFonts w:hint="eastAsia"/>
          <w:lang w:val="en-US" w:eastAsia="zh-CN"/>
        </w:rPr>
        <w:tab/>
      </w:r>
      <w:r>
        <w:rPr>
          <w:rFonts w:hint="eastAsia"/>
          <w:lang w:val="en-US" w:eastAsia="zh-CN"/>
        </w:rPr>
        <w:t>对电信标准化部门的现行结构进行评估并提出调整建议，从而通过就上述问题建议成立一个专门的研究组或其它组的方式，落实上述“</w:t>
      </w:r>
      <w:r w:rsidRPr="00B84BBC">
        <w:rPr>
          <w:rFonts w:ascii="STKaiti" w:eastAsia="STKaiti" w:hAnsi="STKaiti" w:hint="eastAsia"/>
          <w:lang w:val="en-US" w:eastAsia="zh-CN"/>
        </w:rPr>
        <w:t>做出决议</w:t>
      </w:r>
      <w:r>
        <w:rPr>
          <w:rFonts w:hint="eastAsia"/>
          <w:lang w:val="en-US" w:eastAsia="zh-CN"/>
        </w:rPr>
        <w:t>”部分提出的指示；</w:t>
      </w:r>
    </w:p>
    <w:p w:rsidR="008F6740" w:rsidRDefault="008F6740" w:rsidP="00EB000A">
      <w:pPr>
        <w:rPr>
          <w:lang w:val="en-US" w:eastAsia="zh-CN"/>
        </w:rPr>
      </w:pPr>
      <w:r>
        <w:rPr>
          <w:rFonts w:hint="eastAsia"/>
          <w:lang w:val="en-US" w:eastAsia="zh-CN"/>
        </w:rPr>
        <w:t>3</w:t>
      </w:r>
      <w:r>
        <w:rPr>
          <w:rFonts w:hint="eastAsia"/>
          <w:lang w:val="en-US" w:eastAsia="zh-CN"/>
        </w:rPr>
        <w:tab/>
      </w:r>
      <w:r>
        <w:rPr>
          <w:rFonts w:hint="eastAsia"/>
          <w:lang w:val="en-US" w:eastAsia="zh-CN"/>
        </w:rPr>
        <w:t>向</w:t>
      </w:r>
      <w:r>
        <w:rPr>
          <w:rFonts w:hint="eastAsia"/>
          <w:lang w:val="en-US" w:eastAsia="zh-CN"/>
        </w:rPr>
        <w:t>2012</w:t>
      </w:r>
      <w:r>
        <w:rPr>
          <w:rFonts w:hint="eastAsia"/>
          <w:lang w:val="en-US" w:eastAsia="zh-CN"/>
        </w:rPr>
        <w:t>年世界电信标准化全会（</w:t>
      </w:r>
      <w:r>
        <w:rPr>
          <w:rFonts w:hint="eastAsia"/>
          <w:lang w:val="en-US" w:eastAsia="zh-CN"/>
        </w:rPr>
        <w:t>WTSA</w:t>
      </w:r>
      <w:r>
        <w:rPr>
          <w:rFonts w:hint="eastAsia"/>
          <w:lang w:val="en-US" w:eastAsia="zh-CN"/>
        </w:rPr>
        <w:t>）提交上述第</w:t>
      </w:r>
      <w:r>
        <w:rPr>
          <w:rFonts w:hint="eastAsia"/>
          <w:lang w:val="en-US" w:eastAsia="zh-CN"/>
        </w:rPr>
        <w:t>2</w:t>
      </w:r>
      <w:r>
        <w:rPr>
          <w:rFonts w:hint="eastAsia"/>
          <w:lang w:val="en-US" w:eastAsia="zh-CN"/>
        </w:rPr>
        <w:t>项所涉及的评估结论，</w:t>
      </w:r>
    </w:p>
    <w:p w:rsidR="008F6740" w:rsidRDefault="008F6740" w:rsidP="00EB000A">
      <w:pPr>
        <w:pStyle w:val="Call"/>
        <w:rPr>
          <w:lang w:val="en-US" w:eastAsia="zh-CN"/>
        </w:rPr>
      </w:pPr>
      <w:r>
        <w:rPr>
          <w:rFonts w:hint="eastAsia"/>
          <w:lang w:val="en-US" w:eastAsia="zh-CN"/>
        </w:rPr>
        <w:t>请成员国和部门成员</w:t>
      </w:r>
    </w:p>
    <w:p w:rsidR="008F6740" w:rsidRDefault="008F6740" w:rsidP="00EB000A">
      <w:pPr>
        <w:pStyle w:val="NormalCH"/>
        <w:ind w:firstLine="480"/>
        <w:rPr>
          <w:lang w:eastAsia="zh-CN"/>
        </w:rPr>
      </w:pPr>
      <w:r>
        <w:rPr>
          <w:rFonts w:hint="eastAsia"/>
          <w:lang w:eastAsia="zh-CN"/>
        </w:rPr>
        <w:t>参加“</w:t>
      </w:r>
      <w:r w:rsidRPr="00B84BBC">
        <w:rPr>
          <w:rFonts w:ascii="STKaiti" w:eastAsia="STKaiti" w:hAnsi="STKaiti" w:hint="eastAsia"/>
          <w:lang w:eastAsia="zh-CN"/>
        </w:rPr>
        <w:t>责成电信标准化局主任和电信标准化顾问组</w:t>
      </w:r>
      <w:r>
        <w:rPr>
          <w:rFonts w:hint="eastAsia"/>
          <w:lang w:eastAsia="zh-CN"/>
        </w:rPr>
        <w:t>”第</w:t>
      </w:r>
      <w:r>
        <w:rPr>
          <w:rFonts w:hint="eastAsia"/>
          <w:lang w:eastAsia="zh-CN"/>
        </w:rPr>
        <w:t>2</w:t>
      </w:r>
      <w:r>
        <w:rPr>
          <w:rFonts w:hint="eastAsia"/>
          <w:lang w:eastAsia="zh-CN"/>
        </w:rPr>
        <w:t>项所涉及的评估并提交文稿，</w:t>
      </w:r>
    </w:p>
    <w:p w:rsidR="008F6740" w:rsidRPr="000E157B" w:rsidRDefault="008F6740" w:rsidP="00EB000A">
      <w:pPr>
        <w:pStyle w:val="Call"/>
        <w:rPr>
          <w:rFonts w:asciiTheme="minorHAnsi" w:hAnsiTheme="minorHAnsi"/>
          <w:lang w:eastAsia="zh-CN"/>
        </w:rPr>
      </w:pPr>
      <w:r w:rsidRPr="000E157B">
        <w:rPr>
          <w:rFonts w:asciiTheme="minorHAnsi"/>
          <w:lang w:eastAsia="zh-CN"/>
        </w:rPr>
        <w:t>请</w:t>
      </w:r>
      <w:r w:rsidRPr="000E157B">
        <w:rPr>
          <w:rFonts w:asciiTheme="minorHAnsi" w:hAnsiTheme="minorHAnsi"/>
          <w:lang w:eastAsia="zh-CN"/>
        </w:rPr>
        <w:t>2012</w:t>
      </w:r>
      <w:r w:rsidRPr="000E157B">
        <w:rPr>
          <w:rFonts w:asciiTheme="minorHAnsi"/>
          <w:lang w:eastAsia="zh-CN"/>
        </w:rPr>
        <w:t>年世界电信标准化全会</w:t>
      </w:r>
    </w:p>
    <w:p w:rsidR="008F6740" w:rsidRDefault="008F6740" w:rsidP="00EB000A">
      <w:pPr>
        <w:rPr>
          <w:lang w:val="en-US" w:eastAsia="zh-CN"/>
        </w:rPr>
      </w:pPr>
      <w:r>
        <w:rPr>
          <w:rFonts w:hint="eastAsia"/>
          <w:lang w:val="en-US" w:eastAsia="zh-CN"/>
        </w:rPr>
        <w:t>1</w:t>
      </w:r>
      <w:r>
        <w:rPr>
          <w:rFonts w:hint="eastAsia"/>
          <w:lang w:val="en-US" w:eastAsia="zh-CN"/>
        </w:rPr>
        <w:tab/>
      </w:r>
      <w:r>
        <w:rPr>
          <w:rFonts w:hint="eastAsia"/>
          <w:lang w:val="en-US" w:eastAsia="zh-CN"/>
        </w:rPr>
        <w:t>分析电信标准化局主任和电信标准化顾问组的报告以及成员国和部门成员提交的文稿，对电信标准化部门（</w:t>
      </w:r>
      <w:r>
        <w:rPr>
          <w:rFonts w:hint="eastAsia"/>
          <w:lang w:val="en-US" w:eastAsia="zh-CN"/>
        </w:rPr>
        <w:t>ITU-T</w:t>
      </w:r>
      <w:r>
        <w:rPr>
          <w:rFonts w:hint="eastAsia"/>
          <w:lang w:val="en-US" w:eastAsia="zh-CN"/>
        </w:rPr>
        <w:t>）的结构调整做出决定，以实现</w:t>
      </w:r>
      <w:r>
        <w:rPr>
          <w:rFonts w:hint="eastAsia"/>
          <w:lang w:val="en-US" w:eastAsia="zh-CN"/>
        </w:rPr>
        <w:t>ITU-T</w:t>
      </w:r>
      <w:r>
        <w:rPr>
          <w:rFonts w:hint="eastAsia"/>
          <w:lang w:val="en-US" w:eastAsia="zh-CN"/>
        </w:rPr>
        <w:t>内部改进技术工作的目标，为支持互联网发展电信网络技术；</w:t>
      </w:r>
    </w:p>
    <w:p w:rsidR="008F6740" w:rsidRDefault="008F6740" w:rsidP="00EB000A">
      <w:pPr>
        <w:rPr>
          <w:lang w:val="en-US" w:eastAsia="zh-CN"/>
        </w:rPr>
      </w:pPr>
      <w:r>
        <w:rPr>
          <w:rFonts w:hint="eastAsia"/>
          <w:lang w:eastAsia="zh-CN"/>
        </w:rPr>
        <w:t>2</w:t>
      </w:r>
      <w:r>
        <w:rPr>
          <w:rFonts w:hint="eastAsia"/>
          <w:lang w:eastAsia="zh-CN"/>
        </w:rPr>
        <w:tab/>
      </w:r>
      <w:r>
        <w:rPr>
          <w:rFonts w:hint="eastAsia"/>
          <w:lang w:eastAsia="zh-CN"/>
        </w:rPr>
        <w:t>酌情采取必要措施，为实现上述“</w:t>
      </w:r>
      <w:r w:rsidRPr="00B84BBC">
        <w:rPr>
          <w:rFonts w:ascii="STKaiti" w:eastAsia="STKaiti" w:hAnsi="STKaiti" w:hint="eastAsia"/>
          <w:lang w:eastAsia="zh-CN"/>
        </w:rPr>
        <w:t>做出决议</w:t>
      </w:r>
      <w:r>
        <w:rPr>
          <w:rFonts w:hint="eastAsia"/>
          <w:lang w:eastAsia="zh-CN"/>
        </w:rPr>
        <w:t>”的目标成立一个研究组或其它适当组。</w:t>
      </w:r>
    </w:p>
    <w:p w:rsidR="0063445E" w:rsidRDefault="0063445E" w:rsidP="00EB000A">
      <w:pPr>
        <w:rPr>
          <w:lang w:eastAsia="zh-CN"/>
        </w:rPr>
      </w:pPr>
    </w:p>
    <w:p w:rsidR="008F6740" w:rsidRDefault="008F6740" w:rsidP="00EB000A">
      <w:pPr>
        <w:jc w:val="center"/>
        <w:rPr>
          <w:lang w:eastAsia="zh-CN"/>
        </w:rPr>
      </w:pPr>
      <w:r>
        <w:t>______________</w:t>
      </w:r>
    </w:p>
    <w:sectPr w:rsidR="008F6740" w:rsidSect="00E377DF">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A2" w:rsidRDefault="00546CA2">
      <w:r>
        <w:separator/>
      </w:r>
    </w:p>
  </w:endnote>
  <w:endnote w:type="continuationSeparator" w:id="0">
    <w:p w:rsidR="00546CA2" w:rsidRDefault="00546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Ўм§А-?Ўм§А?Ўм§¶?Ўм§А??Ўм§А?§ЮЎ"/>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STKaiti">
    <w:altName w:val="SimSun"/>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A2" w:rsidRPr="009F3C85" w:rsidRDefault="009F3C85" w:rsidP="00F436B2">
    <w:pPr>
      <w:pStyle w:val="Footer"/>
      <w:rPr>
        <w:sz w:val="16"/>
        <w:szCs w:val="16"/>
        <w:lang w:val="en-US"/>
      </w:rPr>
    </w:pPr>
    <w:r>
      <w:rPr>
        <w:sz w:val="16"/>
        <w:szCs w:val="16"/>
        <w:lang w:val="en-US"/>
      </w:rPr>
      <w:t>ITU-T\BUREAU\CIRC\100\174C.DOCX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A2" w:rsidRDefault="00546CA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46CA2" w:rsidRDefault="00546CA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46CA2" w:rsidRDefault="00546CA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A2" w:rsidRDefault="00546CA2">
      <w:r>
        <w:separator/>
      </w:r>
    </w:p>
  </w:footnote>
  <w:footnote w:type="continuationSeparator" w:id="0">
    <w:p w:rsidR="00546CA2" w:rsidRDefault="00546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A2" w:rsidRDefault="00546CA2">
    <w:pPr>
      <w:pStyle w:val="Header"/>
    </w:pPr>
    <w:r>
      <w:t xml:space="preserve">- </w:t>
    </w:r>
    <w:r w:rsidR="00603D8C">
      <w:fldChar w:fldCharType="begin"/>
    </w:r>
    <w:r>
      <w:instrText>PAGE</w:instrText>
    </w:r>
    <w:r w:rsidR="00603D8C">
      <w:fldChar w:fldCharType="separate"/>
    </w:r>
    <w:r w:rsidR="009F3C85">
      <w:rPr>
        <w:noProof/>
      </w:rPr>
      <w:t>3</w:t>
    </w:r>
    <w:r w:rsidR="00603D8C">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useFELayout/>
  </w:compat>
  <w:rsids>
    <w:rsidRoot w:val="0063445E"/>
    <w:rsid w:val="00081BA5"/>
    <w:rsid w:val="00090E72"/>
    <w:rsid w:val="00117471"/>
    <w:rsid w:val="00160A43"/>
    <w:rsid w:val="00234A9B"/>
    <w:rsid w:val="00282732"/>
    <w:rsid w:val="00284869"/>
    <w:rsid w:val="002E05E3"/>
    <w:rsid w:val="00303A2A"/>
    <w:rsid w:val="00334A24"/>
    <w:rsid w:val="0035674D"/>
    <w:rsid w:val="003F1CCA"/>
    <w:rsid w:val="00464015"/>
    <w:rsid w:val="00546CA2"/>
    <w:rsid w:val="005C26FD"/>
    <w:rsid w:val="00603D8C"/>
    <w:rsid w:val="00627AE8"/>
    <w:rsid w:val="0063445E"/>
    <w:rsid w:val="006A1B56"/>
    <w:rsid w:val="006D22B1"/>
    <w:rsid w:val="006D42C6"/>
    <w:rsid w:val="007568DA"/>
    <w:rsid w:val="007E4CEA"/>
    <w:rsid w:val="00836B05"/>
    <w:rsid w:val="00841612"/>
    <w:rsid w:val="008A57C9"/>
    <w:rsid w:val="008B2BDA"/>
    <w:rsid w:val="008F6740"/>
    <w:rsid w:val="009128F1"/>
    <w:rsid w:val="00956D38"/>
    <w:rsid w:val="009B6A05"/>
    <w:rsid w:val="009C2FF6"/>
    <w:rsid w:val="009F3C85"/>
    <w:rsid w:val="00A1090D"/>
    <w:rsid w:val="00A16AB0"/>
    <w:rsid w:val="00AA798B"/>
    <w:rsid w:val="00AD5D8C"/>
    <w:rsid w:val="00B56B75"/>
    <w:rsid w:val="00BB5392"/>
    <w:rsid w:val="00BB6DE1"/>
    <w:rsid w:val="00BC7AEE"/>
    <w:rsid w:val="00BD51CB"/>
    <w:rsid w:val="00BE339D"/>
    <w:rsid w:val="00C03E87"/>
    <w:rsid w:val="00C6016A"/>
    <w:rsid w:val="00C7008A"/>
    <w:rsid w:val="00C82C28"/>
    <w:rsid w:val="00C916ED"/>
    <w:rsid w:val="00D34F86"/>
    <w:rsid w:val="00DB6366"/>
    <w:rsid w:val="00E35907"/>
    <w:rsid w:val="00E377DF"/>
    <w:rsid w:val="00E47AFF"/>
    <w:rsid w:val="00EB000A"/>
    <w:rsid w:val="00EE3FF4"/>
    <w:rsid w:val="00F346AB"/>
    <w:rsid w:val="00F436B2"/>
    <w:rsid w:val="00F938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4">
    <w:name w:val="heading 4"/>
    <w:basedOn w:val="Normal"/>
    <w:next w:val="Normal"/>
    <w:link w:val="Heading4Char"/>
    <w:semiHidden/>
    <w:unhideWhenUsed/>
    <w:qFormat/>
    <w:rsid w:val="00BB6DE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Heading4"/>
    <w:next w:val="Normal"/>
    <w:link w:val="Heading8Char"/>
    <w:qFormat/>
    <w:rsid w:val="00BB6DE1"/>
    <w:pPr>
      <w:tabs>
        <w:tab w:val="clear" w:pos="794"/>
        <w:tab w:val="clear" w:pos="1191"/>
        <w:tab w:val="clear" w:pos="1588"/>
        <w:tab w:val="clear" w:pos="1985"/>
        <w:tab w:val="left" w:pos="567"/>
        <w:tab w:val="left" w:pos="1134"/>
        <w:tab w:val="left" w:pos="1701"/>
        <w:tab w:val="left" w:pos="2268"/>
        <w:tab w:val="left" w:pos="2835"/>
      </w:tabs>
      <w:ind w:left="1701" w:hanging="1701"/>
      <w:jc w:val="both"/>
      <w:outlineLvl w:val="7"/>
    </w:pPr>
    <w:rPr>
      <w:rFonts w:ascii="Calibri" w:eastAsiaTheme="minorEastAsia" w:hAnsi="Calibri" w:cs="Times New Roman"/>
      <w:bCs w:val="0"/>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uiPriority w:val="99"/>
    <w:rsid w:val="00EB000A"/>
    <w:pPr>
      <w:spacing w:before="80"/>
      <w:ind w:left="794" w:hanging="794"/>
      <w:jc w:val="both"/>
    </w:pPr>
    <w:rPr>
      <w:rFonts w:eastAsiaTheme="minorEastAsia"/>
    </w:rPr>
  </w:style>
  <w:style w:type="character" w:customStyle="1" w:styleId="enumlev1Char">
    <w:name w:val="enumlev1 Char"/>
    <w:basedOn w:val="DefaultParagraphFont"/>
    <w:link w:val="enumlev1"/>
    <w:uiPriority w:val="99"/>
    <w:locked/>
    <w:rsid w:val="00EB000A"/>
    <w:rPr>
      <w:rFonts w:eastAsiaTheme="minorEastAsia"/>
      <w:sz w:val="24"/>
      <w:lang w:val="en-GB" w:eastAsia="en-US"/>
    </w:rPr>
  </w:style>
  <w:style w:type="paragraph" w:customStyle="1" w:styleId="Normalaftertitle">
    <w:name w:val="Normal after title"/>
    <w:basedOn w:val="Normal"/>
    <w:next w:val="Normal"/>
    <w:link w:val="NormalaftertitleChar"/>
    <w:uiPriority w:val="99"/>
    <w:rsid w:val="008F6740"/>
    <w:pPr>
      <w:tabs>
        <w:tab w:val="clear" w:pos="794"/>
        <w:tab w:val="clear" w:pos="1191"/>
        <w:tab w:val="clear" w:pos="1588"/>
        <w:tab w:val="clear" w:pos="1985"/>
        <w:tab w:val="left" w:pos="567"/>
        <w:tab w:val="left" w:pos="1134"/>
        <w:tab w:val="left" w:pos="1701"/>
        <w:tab w:val="left" w:pos="2268"/>
        <w:tab w:val="left" w:pos="2835"/>
      </w:tabs>
      <w:spacing w:before="240"/>
      <w:jc w:val="both"/>
    </w:pPr>
    <w:rPr>
      <w:rFonts w:ascii="Calibri" w:eastAsiaTheme="minorEastAsia" w:hAnsi="Calibri"/>
    </w:rPr>
  </w:style>
  <w:style w:type="character" w:customStyle="1" w:styleId="NormalaftertitleChar">
    <w:name w:val="Normal after title Char"/>
    <w:basedOn w:val="DefaultParagraphFont"/>
    <w:link w:val="Normalaftertitle"/>
    <w:uiPriority w:val="99"/>
    <w:locked/>
    <w:rsid w:val="008F6740"/>
    <w:rPr>
      <w:rFonts w:ascii="Calibri" w:eastAsiaTheme="minorEastAsia" w:hAnsi="Calibri"/>
      <w:sz w:val="24"/>
      <w:lang w:val="en-GB" w:eastAsia="en-US"/>
    </w:rPr>
  </w:style>
  <w:style w:type="paragraph" w:customStyle="1" w:styleId="Call">
    <w:name w:val="Call"/>
    <w:basedOn w:val="Normal"/>
    <w:next w:val="Normal"/>
    <w:link w:val="CallChar"/>
    <w:uiPriority w:val="99"/>
    <w:rsid w:val="008F6740"/>
    <w:pPr>
      <w:keepNext/>
      <w:keepLines/>
      <w:tabs>
        <w:tab w:val="clear" w:pos="794"/>
        <w:tab w:val="clear" w:pos="1191"/>
        <w:tab w:val="clear" w:pos="1588"/>
        <w:tab w:val="clear" w:pos="1985"/>
        <w:tab w:val="left" w:pos="567"/>
      </w:tabs>
      <w:spacing w:before="160"/>
      <w:ind w:left="567"/>
      <w:jc w:val="both"/>
    </w:pPr>
    <w:rPr>
      <w:rFonts w:ascii="STKaiti" w:eastAsia="STKaiti" w:hAnsi="STKaiti"/>
    </w:rPr>
  </w:style>
  <w:style w:type="character" w:customStyle="1" w:styleId="CallChar">
    <w:name w:val="Call Char"/>
    <w:basedOn w:val="DefaultParagraphFont"/>
    <w:link w:val="Call"/>
    <w:uiPriority w:val="99"/>
    <w:locked/>
    <w:rsid w:val="008F6740"/>
    <w:rPr>
      <w:rFonts w:ascii="STKaiti" w:eastAsia="STKaiti" w:hAnsi="STKaiti"/>
      <w:sz w:val="24"/>
      <w:lang w:val="en-GB" w:eastAsia="en-US"/>
    </w:rPr>
  </w:style>
  <w:style w:type="paragraph" w:customStyle="1" w:styleId="ResNo">
    <w:name w:val="Res_No"/>
    <w:basedOn w:val="Normal"/>
    <w:next w:val="Restitle"/>
    <w:link w:val="ResNoChar"/>
    <w:uiPriority w:val="99"/>
    <w:rsid w:val="008F6740"/>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eastAsiaTheme="minorEastAsia" w:hAnsi="Calibri"/>
      <w:caps/>
      <w:sz w:val="28"/>
    </w:rPr>
  </w:style>
  <w:style w:type="paragraph" w:customStyle="1" w:styleId="Restitle">
    <w:name w:val="Res_title"/>
    <w:basedOn w:val="Normal"/>
    <w:next w:val="Normal"/>
    <w:link w:val="RestitleChar"/>
    <w:uiPriority w:val="99"/>
    <w:rsid w:val="008F6740"/>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eastAsiaTheme="minorEastAsia" w:hAnsi="Calibri"/>
      <w:b/>
      <w:sz w:val="28"/>
    </w:rPr>
  </w:style>
  <w:style w:type="character" w:customStyle="1" w:styleId="RestitleChar">
    <w:name w:val="Res_title Char"/>
    <w:basedOn w:val="DefaultParagraphFont"/>
    <w:link w:val="Restitle"/>
    <w:uiPriority w:val="99"/>
    <w:locked/>
    <w:rsid w:val="008F6740"/>
    <w:rPr>
      <w:rFonts w:ascii="Calibri" w:eastAsiaTheme="minorEastAsia" w:hAnsi="Calibri"/>
      <w:b/>
      <w:sz w:val="28"/>
      <w:lang w:val="en-GB" w:eastAsia="en-US"/>
    </w:rPr>
  </w:style>
  <w:style w:type="character" w:customStyle="1" w:styleId="ResNoChar">
    <w:name w:val="Res_No Char"/>
    <w:basedOn w:val="DefaultParagraphFont"/>
    <w:link w:val="ResNo"/>
    <w:uiPriority w:val="99"/>
    <w:rsid w:val="008F6740"/>
    <w:rPr>
      <w:rFonts w:ascii="Calibri" w:eastAsiaTheme="minorEastAsia" w:hAnsi="Calibri"/>
      <w:caps/>
      <w:sz w:val="28"/>
      <w:lang w:val="en-GB" w:eastAsia="en-US"/>
    </w:rPr>
  </w:style>
  <w:style w:type="paragraph" w:customStyle="1" w:styleId="NormalCH">
    <w:name w:val="NormalCH"/>
    <w:basedOn w:val="Normal"/>
    <w:next w:val="Normal"/>
    <w:qFormat/>
    <w:rsid w:val="008F6740"/>
    <w:pPr>
      <w:tabs>
        <w:tab w:val="clear" w:pos="794"/>
        <w:tab w:val="clear" w:pos="1191"/>
        <w:tab w:val="clear" w:pos="1588"/>
        <w:tab w:val="clear" w:pos="1985"/>
        <w:tab w:val="left" w:pos="567"/>
        <w:tab w:val="left" w:pos="1134"/>
        <w:tab w:val="left" w:pos="1701"/>
        <w:tab w:val="left" w:pos="2268"/>
        <w:tab w:val="left" w:pos="2835"/>
      </w:tabs>
      <w:ind w:firstLineChars="200" w:firstLine="200"/>
      <w:jc w:val="both"/>
    </w:pPr>
    <w:rPr>
      <w:rFonts w:ascii="Calibri" w:eastAsiaTheme="minorEastAsia" w:hAnsi="Calibri"/>
      <w:lang w:val="en-US"/>
    </w:rPr>
  </w:style>
  <w:style w:type="character" w:customStyle="1" w:styleId="href">
    <w:name w:val="href"/>
    <w:basedOn w:val="DefaultParagraphFont"/>
    <w:rsid w:val="008F6740"/>
    <w:rPr>
      <w:color w:val="auto"/>
    </w:rPr>
  </w:style>
  <w:style w:type="character" w:customStyle="1" w:styleId="Heading8Char">
    <w:name w:val="Heading 8 Char"/>
    <w:basedOn w:val="DefaultParagraphFont"/>
    <w:link w:val="Heading8"/>
    <w:rsid w:val="00BB6DE1"/>
    <w:rPr>
      <w:rFonts w:ascii="Calibri" w:eastAsiaTheme="minorEastAsia" w:hAnsi="Calibri"/>
      <w:b/>
      <w:sz w:val="24"/>
      <w:lang w:val="en-GB" w:eastAsia="en-US"/>
    </w:rPr>
  </w:style>
  <w:style w:type="character" w:customStyle="1" w:styleId="Heading4Char">
    <w:name w:val="Heading 4 Char"/>
    <w:basedOn w:val="DefaultParagraphFont"/>
    <w:link w:val="Heading4"/>
    <w:semiHidden/>
    <w:rsid w:val="00BB6DE1"/>
    <w:rPr>
      <w:rFonts w:asciiTheme="majorHAnsi" w:eastAsiaTheme="majorEastAsia" w:hAnsiTheme="majorHAnsi" w:cstheme="majorBidi"/>
      <w:b/>
      <w:bCs/>
      <w:i/>
      <w:iCs/>
      <w:color w:val="4F81BD" w:themeColor="accent1"/>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4">
    <w:name w:val="heading 4"/>
    <w:basedOn w:val="Normal"/>
    <w:next w:val="Normal"/>
    <w:link w:val="Heading4Char"/>
    <w:semiHidden/>
    <w:unhideWhenUsed/>
    <w:qFormat/>
    <w:rsid w:val="00BB6DE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Heading4"/>
    <w:next w:val="Normal"/>
    <w:link w:val="Heading8Char"/>
    <w:qFormat/>
    <w:rsid w:val="00BB6DE1"/>
    <w:pPr>
      <w:tabs>
        <w:tab w:val="clear" w:pos="794"/>
        <w:tab w:val="clear" w:pos="1191"/>
        <w:tab w:val="clear" w:pos="1588"/>
        <w:tab w:val="clear" w:pos="1985"/>
        <w:tab w:val="left" w:pos="567"/>
        <w:tab w:val="left" w:pos="1134"/>
        <w:tab w:val="left" w:pos="1701"/>
        <w:tab w:val="left" w:pos="2268"/>
        <w:tab w:val="left" w:pos="2835"/>
      </w:tabs>
      <w:ind w:left="1701" w:hanging="1701"/>
      <w:jc w:val="both"/>
      <w:outlineLvl w:val="7"/>
    </w:pPr>
    <w:rPr>
      <w:rFonts w:ascii="Calibri" w:eastAsiaTheme="minorEastAsia" w:hAnsi="Calibri" w:cs="Times New Roman"/>
      <w:bCs w:val="0"/>
      <w:i w:val="0"/>
      <w:iCs w:val="0"/>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uiPriority w:val="99"/>
    <w:rsid w:val="00EB000A"/>
    <w:pPr>
      <w:spacing w:before="80"/>
      <w:ind w:left="794" w:hanging="794"/>
      <w:jc w:val="both"/>
    </w:pPr>
    <w:rPr>
      <w:rFonts w:eastAsiaTheme="minorEastAsia"/>
    </w:rPr>
  </w:style>
  <w:style w:type="character" w:customStyle="1" w:styleId="enumlev1Char">
    <w:name w:val="enumlev1 Char"/>
    <w:basedOn w:val="DefaultParagraphFont"/>
    <w:link w:val="enumlev1"/>
    <w:uiPriority w:val="99"/>
    <w:locked/>
    <w:rsid w:val="00EB000A"/>
    <w:rPr>
      <w:rFonts w:eastAsiaTheme="minorEastAsia"/>
      <w:sz w:val="24"/>
      <w:lang w:val="en-GB" w:eastAsia="en-US"/>
    </w:rPr>
  </w:style>
  <w:style w:type="paragraph" w:customStyle="1" w:styleId="Normalaftertitle">
    <w:name w:val="Normal after title"/>
    <w:basedOn w:val="Normal"/>
    <w:next w:val="Normal"/>
    <w:link w:val="NormalaftertitleChar"/>
    <w:uiPriority w:val="99"/>
    <w:rsid w:val="008F6740"/>
    <w:pPr>
      <w:tabs>
        <w:tab w:val="clear" w:pos="794"/>
        <w:tab w:val="clear" w:pos="1191"/>
        <w:tab w:val="clear" w:pos="1588"/>
        <w:tab w:val="clear" w:pos="1985"/>
        <w:tab w:val="left" w:pos="567"/>
        <w:tab w:val="left" w:pos="1134"/>
        <w:tab w:val="left" w:pos="1701"/>
        <w:tab w:val="left" w:pos="2268"/>
        <w:tab w:val="left" w:pos="2835"/>
      </w:tabs>
      <w:spacing w:before="240"/>
      <w:jc w:val="both"/>
    </w:pPr>
    <w:rPr>
      <w:rFonts w:ascii="Calibri" w:eastAsiaTheme="minorEastAsia" w:hAnsi="Calibri"/>
    </w:rPr>
  </w:style>
  <w:style w:type="character" w:customStyle="1" w:styleId="NormalaftertitleChar">
    <w:name w:val="Normal after title Char"/>
    <w:basedOn w:val="DefaultParagraphFont"/>
    <w:link w:val="Normalaftertitle"/>
    <w:uiPriority w:val="99"/>
    <w:locked/>
    <w:rsid w:val="008F6740"/>
    <w:rPr>
      <w:rFonts w:ascii="Calibri" w:eastAsiaTheme="minorEastAsia" w:hAnsi="Calibri"/>
      <w:sz w:val="24"/>
      <w:lang w:val="en-GB" w:eastAsia="en-US"/>
    </w:rPr>
  </w:style>
  <w:style w:type="paragraph" w:customStyle="1" w:styleId="Call">
    <w:name w:val="Call"/>
    <w:basedOn w:val="Normal"/>
    <w:next w:val="Normal"/>
    <w:link w:val="CallChar"/>
    <w:uiPriority w:val="99"/>
    <w:rsid w:val="008F6740"/>
    <w:pPr>
      <w:keepNext/>
      <w:keepLines/>
      <w:tabs>
        <w:tab w:val="clear" w:pos="794"/>
        <w:tab w:val="clear" w:pos="1191"/>
        <w:tab w:val="clear" w:pos="1588"/>
        <w:tab w:val="clear" w:pos="1985"/>
        <w:tab w:val="left" w:pos="567"/>
      </w:tabs>
      <w:spacing w:before="160"/>
      <w:ind w:left="567"/>
      <w:jc w:val="both"/>
    </w:pPr>
    <w:rPr>
      <w:rFonts w:ascii="STKaiti" w:eastAsia="STKaiti" w:hAnsi="STKaiti"/>
    </w:rPr>
  </w:style>
  <w:style w:type="character" w:customStyle="1" w:styleId="CallChar">
    <w:name w:val="Call Char"/>
    <w:basedOn w:val="DefaultParagraphFont"/>
    <w:link w:val="Call"/>
    <w:uiPriority w:val="99"/>
    <w:locked/>
    <w:rsid w:val="008F6740"/>
    <w:rPr>
      <w:rFonts w:ascii="STKaiti" w:eastAsia="STKaiti" w:hAnsi="STKaiti"/>
      <w:sz w:val="24"/>
      <w:lang w:val="en-GB" w:eastAsia="en-US"/>
    </w:rPr>
  </w:style>
  <w:style w:type="paragraph" w:customStyle="1" w:styleId="ResNo">
    <w:name w:val="Res_No"/>
    <w:basedOn w:val="Normal"/>
    <w:next w:val="Restitle"/>
    <w:link w:val="ResNoChar"/>
    <w:uiPriority w:val="99"/>
    <w:rsid w:val="008F6740"/>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ascii="Calibri" w:eastAsiaTheme="minorEastAsia" w:hAnsi="Calibri"/>
      <w:caps/>
      <w:sz w:val="28"/>
    </w:rPr>
  </w:style>
  <w:style w:type="paragraph" w:customStyle="1" w:styleId="Restitle">
    <w:name w:val="Res_title"/>
    <w:basedOn w:val="Normal"/>
    <w:next w:val="Normal"/>
    <w:link w:val="RestitleChar"/>
    <w:uiPriority w:val="99"/>
    <w:rsid w:val="008F6740"/>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eastAsiaTheme="minorEastAsia" w:hAnsi="Calibri"/>
      <w:b/>
      <w:sz w:val="28"/>
    </w:rPr>
  </w:style>
  <w:style w:type="character" w:customStyle="1" w:styleId="RestitleChar">
    <w:name w:val="Res_title Char"/>
    <w:basedOn w:val="DefaultParagraphFont"/>
    <w:link w:val="Restitle"/>
    <w:uiPriority w:val="99"/>
    <w:locked/>
    <w:rsid w:val="008F6740"/>
    <w:rPr>
      <w:rFonts w:ascii="Calibri" w:eastAsiaTheme="minorEastAsia" w:hAnsi="Calibri"/>
      <w:b/>
      <w:sz w:val="28"/>
      <w:lang w:val="en-GB" w:eastAsia="en-US"/>
    </w:rPr>
  </w:style>
  <w:style w:type="character" w:customStyle="1" w:styleId="ResNoChar">
    <w:name w:val="Res_No Char"/>
    <w:basedOn w:val="DefaultParagraphFont"/>
    <w:link w:val="ResNo"/>
    <w:uiPriority w:val="99"/>
    <w:rsid w:val="008F6740"/>
    <w:rPr>
      <w:rFonts w:ascii="Calibri" w:eastAsiaTheme="minorEastAsia" w:hAnsi="Calibri"/>
      <w:caps/>
      <w:sz w:val="28"/>
      <w:lang w:val="en-GB" w:eastAsia="en-US"/>
    </w:rPr>
  </w:style>
  <w:style w:type="paragraph" w:customStyle="1" w:styleId="NormalCH">
    <w:name w:val="NormalCH"/>
    <w:basedOn w:val="Normal"/>
    <w:next w:val="Normal"/>
    <w:qFormat/>
    <w:rsid w:val="008F6740"/>
    <w:pPr>
      <w:tabs>
        <w:tab w:val="clear" w:pos="794"/>
        <w:tab w:val="clear" w:pos="1191"/>
        <w:tab w:val="clear" w:pos="1588"/>
        <w:tab w:val="clear" w:pos="1985"/>
        <w:tab w:val="left" w:pos="567"/>
        <w:tab w:val="left" w:pos="1134"/>
        <w:tab w:val="left" w:pos="1701"/>
        <w:tab w:val="left" w:pos="2268"/>
        <w:tab w:val="left" w:pos="2835"/>
      </w:tabs>
      <w:ind w:firstLineChars="200" w:firstLine="200"/>
      <w:jc w:val="both"/>
    </w:pPr>
    <w:rPr>
      <w:rFonts w:ascii="Calibri" w:eastAsiaTheme="minorEastAsia" w:hAnsi="Calibri"/>
      <w:lang w:val="en-US"/>
    </w:rPr>
  </w:style>
  <w:style w:type="character" w:customStyle="1" w:styleId="href">
    <w:name w:val="href"/>
    <w:basedOn w:val="DefaultParagraphFont"/>
    <w:rsid w:val="008F6740"/>
    <w:rPr>
      <w:color w:val="auto"/>
    </w:rPr>
  </w:style>
  <w:style w:type="character" w:customStyle="1" w:styleId="Heading8Char">
    <w:name w:val="Heading 8 Char"/>
    <w:basedOn w:val="DefaultParagraphFont"/>
    <w:link w:val="Heading8"/>
    <w:rsid w:val="00BB6DE1"/>
    <w:rPr>
      <w:rFonts w:ascii="Calibri" w:eastAsiaTheme="minorEastAsia" w:hAnsi="Calibri"/>
      <w:b/>
      <w:sz w:val="24"/>
      <w:lang w:val="en-GB" w:eastAsia="en-US"/>
    </w:rPr>
  </w:style>
  <w:style w:type="character" w:customStyle="1" w:styleId="Heading4Char">
    <w:name w:val="Heading 4 Char"/>
    <w:basedOn w:val="DefaultParagraphFont"/>
    <w:link w:val="Heading4"/>
    <w:semiHidden/>
    <w:rsid w:val="00BB6DE1"/>
    <w:rPr>
      <w:rFonts w:asciiTheme="majorHAnsi" w:eastAsiaTheme="majorEastAsia" w:hAnsiTheme="majorHAnsi" w:cstheme="majorBidi"/>
      <w:b/>
      <w:bCs/>
      <w:i/>
      <w:iCs/>
      <w:color w:val="4F81BD" w:themeColor="accent1"/>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servi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dir@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2228</Words>
  <Characters>560</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2783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dc:description/>
  <cp:lastModifiedBy>comas</cp:lastModifiedBy>
  <cp:revision>5</cp:revision>
  <cp:lastPrinted>2011-03-22T14:34:00Z</cp:lastPrinted>
  <dcterms:created xsi:type="dcterms:W3CDTF">2011-03-22T14:32:00Z</dcterms:created>
  <dcterms:modified xsi:type="dcterms:W3CDTF">2011-03-24T10:13:00Z</dcterms:modified>
</cp:coreProperties>
</file>