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Tr="00810105">
        <w:trPr>
          <w:cantSplit/>
        </w:trPr>
        <w:tc>
          <w:tcPr>
            <w:tcW w:w="6426" w:type="dxa"/>
            <w:vAlign w:val="center"/>
          </w:tcPr>
          <w:p w:rsidR="00CB1125" w:rsidRDefault="00CB1125" w:rsidP="00810105">
            <w:pPr>
              <w:tabs>
                <w:tab w:val="right" w:pos="8732"/>
              </w:tabs>
              <w:spacing w:before="0"/>
              <w:rPr>
                <w:rFonts w:ascii="Verdana" w:hAnsi="Verdana"/>
                <w:b/>
                <w:bCs/>
                <w:iCs/>
                <w:color w:val="FFFFFF"/>
                <w:sz w:val="26"/>
                <w:szCs w:val="26"/>
              </w:rPr>
            </w:pPr>
            <w:r w:rsidRPr="00A92432">
              <w:rPr>
                <w:rFonts w:ascii="Verdana" w:hAnsi="Verdana"/>
                <w:b/>
                <w:bCs/>
                <w:iCs/>
                <w:sz w:val="26"/>
                <w:szCs w:val="26"/>
              </w:rPr>
              <w:t>Bureau de la normalisation</w:t>
            </w:r>
            <w:r w:rsidRPr="00A92432">
              <w:rPr>
                <w:rFonts w:ascii="Verdana" w:hAnsi="Verdana"/>
                <w:b/>
                <w:bCs/>
                <w:iCs/>
                <w:sz w:val="26"/>
                <w:szCs w:val="26"/>
              </w:rPr>
              <w:br/>
              <w:t>des télécommunications</w:t>
            </w:r>
          </w:p>
        </w:tc>
        <w:tc>
          <w:tcPr>
            <w:tcW w:w="3355" w:type="dxa"/>
            <w:vAlign w:val="center"/>
          </w:tcPr>
          <w:p w:rsidR="00CB1125" w:rsidRDefault="0085428D" w:rsidP="00810105">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1125" w:rsidTr="00810105">
        <w:trPr>
          <w:cantSplit/>
        </w:trPr>
        <w:tc>
          <w:tcPr>
            <w:tcW w:w="6426" w:type="dxa"/>
            <w:vAlign w:val="center"/>
          </w:tcPr>
          <w:p w:rsidR="00CB1125" w:rsidRDefault="00CB1125" w:rsidP="00810105">
            <w:pPr>
              <w:tabs>
                <w:tab w:val="right" w:pos="8732"/>
              </w:tabs>
              <w:spacing w:before="0"/>
              <w:rPr>
                <w:rFonts w:ascii="Verdana" w:hAnsi="Verdana"/>
                <w:b/>
                <w:bCs/>
                <w:iCs/>
                <w:sz w:val="18"/>
                <w:szCs w:val="18"/>
              </w:rPr>
            </w:pPr>
          </w:p>
        </w:tc>
        <w:tc>
          <w:tcPr>
            <w:tcW w:w="3355" w:type="dxa"/>
            <w:vAlign w:val="center"/>
          </w:tcPr>
          <w:p w:rsidR="00CB1125" w:rsidRDefault="00CB1125" w:rsidP="00810105">
            <w:pPr>
              <w:spacing w:before="0"/>
              <w:ind w:left="993" w:hanging="993"/>
              <w:jc w:val="right"/>
              <w:rPr>
                <w:rFonts w:ascii="Verdana" w:hAnsi="Verdana"/>
                <w:sz w:val="18"/>
                <w:szCs w:val="18"/>
              </w:rPr>
            </w:pPr>
          </w:p>
        </w:tc>
      </w:tr>
    </w:tbl>
    <w:p w:rsidR="00CB1125" w:rsidRDefault="00CB1125" w:rsidP="00CB1125">
      <w:pPr>
        <w:tabs>
          <w:tab w:val="left" w:pos="5755"/>
        </w:tabs>
        <w:spacing w:before="0"/>
      </w:pPr>
    </w:p>
    <w:p w:rsidR="00CB1125" w:rsidRDefault="00CB1125" w:rsidP="00CB1125">
      <w:pPr>
        <w:tabs>
          <w:tab w:val="clear" w:pos="794"/>
          <w:tab w:val="clear" w:pos="1191"/>
          <w:tab w:val="clear" w:pos="1588"/>
          <w:tab w:val="clear" w:pos="1985"/>
          <w:tab w:val="left" w:pos="6322"/>
        </w:tabs>
        <w:spacing w:before="0"/>
      </w:pPr>
      <w:r>
        <w:tab/>
      </w:r>
      <w:bookmarkStart w:id="1" w:name="Date"/>
      <w:bookmarkEnd w:id="1"/>
      <w:r>
        <w:t>Genève, le</w:t>
      </w:r>
      <w:r w:rsidR="000039EE">
        <w:t xml:space="preserve"> </w:t>
      </w:r>
      <w:r w:rsidR="000928E6">
        <w:t>18 février 2011</w:t>
      </w:r>
    </w:p>
    <w:p w:rsidR="00CB1125" w:rsidRDefault="00CB1125" w:rsidP="00CB1125">
      <w:pPr>
        <w:spacing w:before="0" w:after="240"/>
      </w:pPr>
    </w:p>
    <w:p w:rsidR="00CB1125" w:rsidRDefault="00CB1125" w:rsidP="00CB1125">
      <w:pPr>
        <w:tabs>
          <w:tab w:val="left" w:pos="4111"/>
        </w:tabs>
        <w:spacing w:before="0" w:after="240"/>
        <w:ind w:left="57"/>
        <w:rPr>
          <w:rFonts w:ascii="Futura Lt BT" w:hAnsi="Futura Lt BT"/>
          <w:sz w:val="20"/>
        </w:rPr>
        <w:sectPr w:rsidR="00CB1125">
          <w:headerReference w:type="even" r:id="rId8"/>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0" w:type="auto"/>
        <w:tblInd w:w="534" w:type="dxa"/>
        <w:tblLayout w:type="fixed"/>
        <w:tblCellMar>
          <w:left w:w="0" w:type="dxa"/>
          <w:right w:w="0" w:type="dxa"/>
        </w:tblCellMar>
        <w:tblLook w:val="0000"/>
      </w:tblPr>
      <w:tblGrid>
        <w:gridCol w:w="822"/>
        <w:gridCol w:w="4055"/>
      </w:tblGrid>
      <w:tr w:rsidR="00CB1125" w:rsidTr="00810105">
        <w:trPr>
          <w:trHeight w:val="340"/>
        </w:trPr>
        <w:tc>
          <w:tcPr>
            <w:tcW w:w="822" w:type="dxa"/>
          </w:tcPr>
          <w:p w:rsidR="00CB1125" w:rsidRDefault="00CB1125" w:rsidP="00810105">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Réf.:</w:t>
            </w:r>
          </w:p>
        </w:tc>
        <w:tc>
          <w:tcPr>
            <w:tcW w:w="4055" w:type="dxa"/>
          </w:tcPr>
          <w:p w:rsidR="00CB1125" w:rsidRDefault="000928E6" w:rsidP="00810105">
            <w:pPr>
              <w:tabs>
                <w:tab w:val="left" w:pos="4111"/>
              </w:tabs>
              <w:spacing w:before="0"/>
              <w:ind w:left="57"/>
            </w:pPr>
            <w:r>
              <w:rPr>
                <w:b/>
              </w:rPr>
              <w:t>Circulaire TSB 167</w:t>
            </w:r>
            <w:r w:rsidR="00CB1125">
              <w:rPr>
                <w:b/>
              </w:rPr>
              <w:br/>
            </w:r>
            <w:r>
              <w:t>COM 13/TK</w:t>
            </w:r>
          </w:p>
        </w:tc>
      </w:tr>
      <w:tr w:rsidR="00CB1125" w:rsidTr="00810105">
        <w:trPr>
          <w:trHeight w:hRule="exact" w:val="340"/>
        </w:trPr>
        <w:tc>
          <w:tcPr>
            <w:tcW w:w="822" w:type="dxa"/>
          </w:tcPr>
          <w:p w:rsidR="00CB1125" w:rsidRDefault="00CB1125" w:rsidP="00810105">
            <w:pPr>
              <w:tabs>
                <w:tab w:val="left" w:pos="4111"/>
              </w:tabs>
              <w:spacing w:before="0"/>
              <w:ind w:left="57"/>
              <w:rPr>
                <w:rFonts w:ascii="Futura Lt BT" w:hAnsi="Futura Lt BT"/>
                <w:color w:val="FFFFFF"/>
                <w:sz w:val="20"/>
              </w:rPr>
            </w:pPr>
          </w:p>
        </w:tc>
        <w:tc>
          <w:tcPr>
            <w:tcW w:w="4055" w:type="dxa"/>
          </w:tcPr>
          <w:p w:rsidR="00CB1125" w:rsidRDefault="00CB1125" w:rsidP="00810105">
            <w:pPr>
              <w:tabs>
                <w:tab w:val="left" w:pos="4111"/>
              </w:tabs>
              <w:spacing w:before="0"/>
              <w:ind w:left="57"/>
            </w:pPr>
          </w:p>
        </w:tc>
      </w:tr>
      <w:tr w:rsidR="00CB1125" w:rsidTr="00810105">
        <w:trPr>
          <w:trHeight w:hRule="exact" w:val="340"/>
        </w:trPr>
        <w:tc>
          <w:tcPr>
            <w:tcW w:w="822" w:type="dxa"/>
          </w:tcPr>
          <w:p w:rsidR="00CB1125" w:rsidRDefault="00CB1125" w:rsidP="00810105">
            <w:pPr>
              <w:tabs>
                <w:tab w:val="left" w:pos="4111"/>
              </w:tabs>
              <w:spacing w:before="0"/>
              <w:ind w:left="57"/>
              <w:rPr>
                <w:rFonts w:ascii="Futura Lt BT" w:hAnsi="Futura Lt BT"/>
                <w:color w:val="FFFFFF"/>
                <w:sz w:val="20"/>
              </w:rPr>
            </w:pPr>
            <w:r>
              <w:rPr>
                <w:rFonts w:ascii="Futura Lt BT" w:hAnsi="Futura Lt BT"/>
                <w:sz w:val="20"/>
              </w:rPr>
              <w:t>Tél.:</w:t>
            </w:r>
          </w:p>
        </w:tc>
        <w:tc>
          <w:tcPr>
            <w:tcW w:w="4055" w:type="dxa"/>
          </w:tcPr>
          <w:p w:rsidR="00CB1125" w:rsidRDefault="00CB1125" w:rsidP="00810105">
            <w:pPr>
              <w:tabs>
                <w:tab w:val="left" w:pos="4111"/>
              </w:tabs>
              <w:spacing w:before="0"/>
              <w:ind w:left="57"/>
            </w:pPr>
            <w:r>
              <w:t xml:space="preserve">+41 22 730 </w:t>
            </w:r>
            <w:r w:rsidR="000928E6">
              <w:t>5126</w:t>
            </w:r>
          </w:p>
        </w:tc>
      </w:tr>
      <w:tr w:rsidR="00CB1125" w:rsidTr="00810105">
        <w:trPr>
          <w:trHeight w:hRule="exact" w:val="340"/>
        </w:trPr>
        <w:tc>
          <w:tcPr>
            <w:tcW w:w="822" w:type="dxa"/>
          </w:tcPr>
          <w:p w:rsidR="00CB1125" w:rsidRDefault="00CB1125" w:rsidP="00810105">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CB1125" w:rsidRDefault="00CB1125" w:rsidP="00810105">
            <w:pPr>
              <w:tabs>
                <w:tab w:val="left" w:pos="4111"/>
              </w:tabs>
              <w:spacing w:before="0"/>
              <w:ind w:left="57"/>
            </w:pPr>
            <w:r>
              <w:t>+41 22 730 5853</w:t>
            </w:r>
          </w:p>
        </w:tc>
      </w:tr>
      <w:tr w:rsidR="00CB1125" w:rsidTr="00810105">
        <w:trPr>
          <w:trHeight w:hRule="exact" w:val="560"/>
        </w:trPr>
        <w:tc>
          <w:tcPr>
            <w:tcW w:w="822" w:type="dxa"/>
          </w:tcPr>
          <w:p w:rsidR="00CB1125" w:rsidRDefault="00CB1125" w:rsidP="00810105">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CB1125" w:rsidRDefault="00341A2F" w:rsidP="00810105">
            <w:pPr>
              <w:tabs>
                <w:tab w:val="left" w:pos="4111"/>
              </w:tabs>
              <w:spacing w:before="0"/>
              <w:ind w:left="57"/>
            </w:pPr>
            <w:hyperlink r:id="rId13" w:history="1">
              <w:r w:rsidR="000928E6" w:rsidRPr="00681E83">
                <w:rPr>
                  <w:rStyle w:val="Hyperlink"/>
                </w:rPr>
                <w:t>tsbsg13@itu.int</w:t>
              </w:r>
            </w:hyperlink>
            <w:r w:rsidR="00CB1125">
              <w:t xml:space="preserve"> </w:t>
            </w:r>
          </w:p>
        </w:tc>
      </w:tr>
    </w:tbl>
    <w:p w:rsidR="00CB1125" w:rsidRDefault="00CB1125" w:rsidP="00CB1125">
      <w:pPr>
        <w:spacing w:before="0"/>
        <w:rPr>
          <w:sz w:val="4"/>
        </w:rPr>
      </w:pPr>
      <w:r>
        <w:rPr>
          <w:sz w:val="4"/>
        </w:rPr>
        <w:br w:type="column"/>
      </w:r>
    </w:p>
    <w:tbl>
      <w:tblPr>
        <w:tblW w:w="0" w:type="auto"/>
        <w:jc w:val="right"/>
        <w:tblLayout w:type="fixed"/>
        <w:tblCellMar>
          <w:left w:w="0" w:type="dxa"/>
          <w:right w:w="0" w:type="dxa"/>
        </w:tblCellMar>
        <w:tblLook w:val="0000"/>
      </w:tblPr>
      <w:tblGrid>
        <w:gridCol w:w="5103"/>
      </w:tblGrid>
      <w:tr w:rsidR="00CB1125" w:rsidTr="00810105">
        <w:trPr>
          <w:trHeight w:val="1588"/>
          <w:jc w:val="right"/>
        </w:trPr>
        <w:tc>
          <w:tcPr>
            <w:tcW w:w="5103" w:type="dxa"/>
          </w:tcPr>
          <w:p w:rsidR="00CB1125" w:rsidRDefault="00CB1125" w:rsidP="00CB1125">
            <w:pPr>
              <w:tabs>
                <w:tab w:val="left" w:pos="511"/>
                <w:tab w:val="left" w:pos="4111"/>
              </w:tabs>
              <w:spacing w:before="0"/>
              <w:ind w:left="511" w:hanging="142"/>
            </w:pPr>
            <w:bookmarkStart w:id="3" w:name="Addressee"/>
            <w:bookmarkEnd w:id="3"/>
            <w:r>
              <w:t>-</w:t>
            </w:r>
            <w:r>
              <w:tab/>
              <w:t>Aux administrations des Etats Membres</w:t>
            </w:r>
            <w:r>
              <w:br/>
              <w:t>de l'Union</w:t>
            </w:r>
          </w:p>
          <w:p w:rsidR="00CB1125" w:rsidRDefault="00CB1125" w:rsidP="00810105">
            <w:pPr>
              <w:tabs>
                <w:tab w:val="left" w:pos="710"/>
                <w:tab w:val="left" w:pos="4111"/>
              </w:tabs>
              <w:spacing w:before="0"/>
              <w:ind w:left="369"/>
            </w:pPr>
          </w:p>
          <w:p w:rsidR="00CB1125" w:rsidRDefault="00DD77DA" w:rsidP="00810105">
            <w:pPr>
              <w:tabs>
                <w:tab w:val="left" w:pos="710"/>
                <w:tab w:val="left" w:pos="4111"/>
              </w:tabs>
              <w:spacing w:before="0"/>
              <w:ind w:left="369"/>
            </w:pPr>
            <w:r>
              <w:rPr>
                <w:b/>
              </w:rPr>
              <w:t>Copie</w:t>
            </w:r>
            <w:r w:rsidR="00CB1125">
              <w:rPr>
                <w:b/>
              </w:rPr>
              <w:t>:</w:t>
            </w:r>
          </w:p>
          <w:p w:rsidR="00CB1125" w:rsidRDefault="00CB1125" w:rsidP="00810105">
            <w:pPr>
              <w:tabs>
                <w:tab w:val="left" w:pos="511"/>
                <w:tab w:val="left" w:pos="4111"/>
              </w:tabs>
              <w:spacing w:before="0"/>
              <w:ind w:left="369"/>
            </w:pPr>
            <w:r>
              <w:t>-</w:t>
            </w:r>
            <w:r>
              <w:tab/>
              <w:t>Aux Membres du Secteur UIT-T;</w:t>
            </w:r>
          </w:p>
          <w:p w:rsidR="00CB1125" w:rsidRDefault="00CB1125" w:rsidP="00005622">
            <w:pPr>
              <w:tabs>
                <w:tab w:val="left" w:pos="511"/>
                <w:tab w:val="left" w:pos="4111"/>
              </w:tabs>
              <w:spacing w:before="0"/>
              <w:ind w:left="369"/>
            </w:pPr>
            <w:r>
              <w:t>-</w:t>
            </w:r>
            <w:r>
              <w:tab/>
              <w:t>Aux Associés de l</w:t>
            </w:r>
            <w:r w:rsidR="00005622">
              <w:t>'</w:t>
            </w:r>
            <w:r>
              <w:t>UIT-T;</w:t>
            </w:r>
          </w:p>
          <w:p w:rsidR="00CB1125" w:rsidRDefault="00CB1125" w:rsidP="0043711B">
            <w:pPr>
              <w:tabs>
                <w:tab w:val="left" w:pos="511"/>
                <w:tab w:val="left" w:pos="4111"/>
              </w:tabs>
              <w:spacing w:before="0"/>
              <w:ind w:left="511" w:hanging="142"/>
            </w:pPr>
            <w:r>
              <w:t>-</w:t>
            </w:r>
            <w:r>
              <w:tab/>
              <w:t xml:space="preserve">Aux Président et </w:t>
            </w:r>
            <w:proofErr w:type="spellStart"/>
            <w:r>
              <w:t>Vice-Présidents</w:t>
            </w:r>
            <w:proofErr w:type="spellEnd"/>
            <w:r>
              <w:t xml:space="preserve"> de la</w:t>
            </w:r>
            <w:r w:rsidR="0043711B">
              <w:t xml:space="preserve"> </w:t>
            </w:r>
            <w:r w:rsidR="000928E6">
              <w:t>Commission d'études 13</w:t>
            </w:r>
            <w:r>
              <w:t>;</w:t>
            </w:r>
          </w:p>
          <w:p w:rsidR="00CB1125" w:rsidRDefault="00CB1125" w:rsidP="0043711B">
            <w:pPr>
              <w:tabs>
                <w:tab w:val="left" w:pos="511"/>
                <w:tab w:val="left" w:pos="4111"/>
              </w:tabs>
              <w:spacing w:before="0"/>
              <w:ind w:left="511" w:hanging="142"/>
            </w:pPr>
            <w:r>
              <w:t>-</w:t>
            </w:r>
            <w:r>
              <w:tab/>
              <w:t>Au Directeur du Bureau de développement</w:t>
            </w:r>
            <w:r w:rsidR="0043711B">
              <w:t xml:space="preserve"> </w:t>
            </w:r>
            <w:r>
              <w:t>des télécommunications;</w:t>
            </w:r>
          </w:p>
          <w:p w:rsidR="00CB1125" w:rsidRDefault="00CB1125" w:rsidP="0043711B">
            <w:pPr>
              <w:tabs>
                <w:tab w:val="left" w:pos="511"/>
                <w:tab w:val="left" w:pos="4111"/>
              </w:tabs>
              <w:spacing w:before="0"/>
              <w:ind w:left="511" w:hanging="142"/>
            </w:pPr>
            <w:r>
              <w:t>-</w:t>
            </w:r>
            <w:r>
              <w:tab/>
              <w:t>Au Directeur du Bureau des</w:t>
            </w:r>
            <w:r w:rsidR="0043711B">
              <w:t xml:space="preserve"> </w:t>
            </w:r>
            <w:r>
              <w:t>radiocommunications</w:t>
            </w:r>
          </w:p>
        </w:tc>
      </w:tr>
    </w:tbl>
    <w:p w:rsidR="00CB1125" w:rsidRDefault="00CB1125" w:rsidP="00CB1125">
      <w:pPr>
        <w:tabs>
          <w:tab w:val="left" w:pos="4111"/>
        </w:tabs>
        <w:spacing w:before="0" w:after="300"/>
        <w:ind w:left="57"/>
      </w:pPr>
    </w:p>
    <w:p w:rsidR="00CB1125" w:rsidRDefault="00CB1125" w:rsidP="00CB1125">
      <w:pPr>
        <w:tabs>
          <w:tab w:val="left" w:pos="4111"/>
        </w:tabs>
        <w:spacing w:before="0"/>
        <w:ind w:left="57"/>
        <w:rPr>
          <w:rFonts w:ascii="Futura Lt BT" w:hAnsi="Futura Lt BT"/>
          <w:sz w:val="20"/>
        </w:rPr>
        <w:sectPr w:rsidR="00CB1125">
          <w:type w:val="continuous"/>
          <w:pgSz w:w="11907" w:h="16840" w:code="9"/>
          <w:pgMar w:top="794" w:right="454" w:bottom="1440" w:left="567" w:header="720" w:footer="510" w:gutter="0"/>
          <w:cols w:num="2" w:space="0"/>
          <w:titlePg/>
        </w:sectPr>
      </w:pPr>
    </w:p>
    <w:tbl>
      <w:tblPr>
        <w:tblW w:w="0" w:type="auto"/>
        <w:tblInd w:w="414" w:type="dxa"/>
        <w:tblLayout w:type="fixed"/>
        <w:tblCellMar>
          <w:left w:w="0" w:type="dxa"/>
          <w:right w:w="0" w:type="dxa"/>
        </w:tblCellMar>
        <w:tblLook w:val="0000"/>
      </w:tblPr>
      <w:tblGrid>
        <w:gridCol w:w="822"/>
        <w:gridCol w:w="4990"/>
      </w:tblGrid>
      <w:tr w:rsidR="00CB1125" w:rsidTr="00810105">
        <w:trPr>
          <w:trHeight w:val="680"/>
        </w:trPr>
        <w:tc>
          <w:tcPr>
            <w:tcW w:w="822" w:type="dxa"/>
          </w:tcPr>
          <w:p w:rsidR="00CB1125" w:rsidRDefault="00CB1125" w:rsidP="00810105">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Objet:</w:t>
            </w:r>
            <w:r>
              <w:rPr>
                <w:rFonts w:ascii="Futura Lt BT" w:hAnsi="Futura Lt BT"/>
                <w:sz w:val="20"/>
              </w:rPr>
              <w:tab/>
            </w:r>
          </w:p>
        </w:tc>
        <w:tc>
          <w:tcPr>
            <w:tcW w:w="4990" w:type="dxa"/>
          </w:tcPr>
          <w:p w:rsidR="00CB1125" w:rsidRDefault="00E07141" w:rsidP="00E07141">
            <w:pPr>
              <w:tabs>
                <w:tab w:val="left" w:pos="4111"/>
              </w:tabs>
              <w:spacing w:before="0"/>
              <w:ind w:left="57"/>
            </w:pPr>
            <w:r>
              <w:rPr>
                <w:b/>
                <w:bCs/>
              </w:rPr>
              <w:t>Approbation de la nouvelle Question 24/13 issue de la fusion des Questions 13/13 et 14/13 actuelles et de la nouvelle Question 25/13</w:t>
            </w:r>
            <w:r w:rsidR="0092355A">
              <w:rPr>
                <w:b/>
                <w:bCs/>
              </w:rPr>
              <w:t xml:space="preserve"> </w:t>
            </w:r>
            <w:r>
              <w:rPr>
                <w:b/>
                <w:bCs/>
              </w:rPr>
              <w:t>issue de la fusion des Questions 1/13 et 2/13 actuelles </w:t>
            </w:r>
          </w:p>
        </w:tc>
      </w:tr>
    </w:tbl>
    <w:p w:rsidR="00CB1125" w:rsidRDefault="00CB1125" w:rsidP="00CB1125">
      <w:pPr>
        <w:ind w:left="-198"/>
        <w:rPr>
          <w:rFonts w:ascii="Century Gothic" w:hAnsi="Century Gothic"/>
          <w:color w:val="FFFFFF"/>
          <w:sz w:val="16"/>
        </w:rPr>
      </w:pPr>
    </w:p>
    <w:p w:rsidR="00CB1125" w:rsidRDefault="00CB1125" w:rsidP="00CB1125">
      <w:pPr>
        <w:spacing w:before="0"/>
        <w:rPr>
          <w:rFonts w:ascii="Century Gothic" w:hAnsi="Century Gothic"/>
          <w:sz w:val="16"/>
        </w:rPr>
        <w:sectPr w:rsidR="00CB1125">
          <w:type w:val="continuous"/>
          <w:pgSz w:w="11907" w:h="16840" w:code="9"/>
          <w:pgMar w:top="794" w:right="454" w:bottom="1440" w:left="567" w:header="720" w:footer="510" w:gutter="0"/>
          <w:cols w:space="720"/>
          <w:titlePg/>
        </w:sectPr>
      </w:pPr>
    </w:p>
    <w:p w:rsidR="00CB1125" w:rsidRDefault="00CB1125" w:rsidP="00CB1125">
      <w:bookmarkStart w:id="5" w:name="StartTyping"/>
      <w:bookmarkEnd w:id="5"/>
      <w:r>
        <w:lastRenderedPageBreak/>
        <w:t>Madame, Monsieur,</w:t>
      </w:r>
    </w:p>
    <w:p w:rsidR="00CB1125" w:rsidRDefault="00CB1125" w:rsidP="00DE1BAD">
      <w:r>
        <w:t>1</w:t>
      </w:r>
      <w:r>
        <w:tab/>
        <w:t>A la demande du Président de la Commission d</w:t>
      </w:r>
      <w:r w:rsidR="0092355A">
        <w:t>'</w:t>
      </w:r>
      <w:r>
        <w:t xml:space="preserve">études </w:t>
      </w:r>
      <w:r w:rsidR="00E07141">
        <w:t>13 (</w:t>
      </w:r>
      <w:r w:rsidR="000427C9" w:rsidRPr="000E010E">
        <w:rPr>
          <w:lang w:val="fr-CH"/>
        </w:rPr>
        <w:t>Réseaux futurs, y compris les réseaux mobiles et les</w:t>
      </w:r>
      <w:r w:rsidR="000427C9">
        <w:rPr>
          <w:lang w:val="fr-CH"/>
        </w:rPr>
        <w:t xml:space="preserve"> réseaux de prochaine génération), </w:t>
      </w:r>
      <w:r>
        <w:t>j</w:t>
      </w:r>
      <w:r w:rsidR="0092355A">
        <w:t>'</w:t>
      </w:r>
      <w:r>
        <w:t>ai l</w:t>
      </w:r>
      <w:r w:rsidR="0092355A">
        <w:t>'</w:t>
      </w:r>
      <w:r>
        <w:t>honneur de vous informer que, conformément à la procédure décrite au § 7.2.2 de la section 7 de la Résolution 1 de l</w:t>
      </w:r>
      <w:r w:rsidR="0092355A">
        <w:t>'</w:t>
      </w:r>
      <w:r>
        <w:t>AMNT (Johannesburg, 2008), les Etats Membres et les Membres d</w:t>
      </w:r>
      <w:r w:rsidR="0092355A">
        <w:t>e</w:t>
      </w:r>
      <w:r>
        <w:t xml:space="preserve"> Secteur présents à la dernière réunion de ladite Commission d</w:t>
      </w:r>
      <w:r w:rsidR="0092355A">
        <w:t>'</w:t>
      </w:r>
      <w:r>
        <w:t>études, qui s</w:t>
      </w:r>
      <w:r w:rsidR="0092355A">
        <w:t>'</w:t>
      </w:r>
      <w:r>
        <w:t xml:space="preserve">est tenue à Genève du </w:t>
      </w:r>
      <w:r w:rsidR="000427C9">
        <w:t>17 au 28 janvier 2011</w:t>
      </w:r>
      <w:r>
        <w:t>, ont décid</w:t>
      </w:r>
      <w:r w:rsidR="000427C9">
        <w:t>é par consensus d</w:t>
      </w:r>
      <w:r w:rsidR="0092355A">
        <w:t>'</w:t>
      </w:r>
      <w:r w:rsidR="000427C9">
        <w:t>approuver</w:t>
      </w:r>
      <w:r>
        <w:t>:</w:t>
      </w:r>
    </w:p>
    <w:p w:rsidR="000427C9" w:rsidRDefault="000427C9" w:rsidP="00DE1BAD">
      <w:pPr>
        <w:ind w:left="794" w:hanging="794"/>
      </w:pPr>
      <w:r>
        <w:t>1.1</w:t>
      </w:r>
      <w:r>
        <w:tab/>
        <w:t xml:space="preserve">La </w:t>
      </w:r>
      <w:r w:rsidR="00293A6D">
        <w:t xml:space="preserve">Question 24/13 issue de la </w:t>
      </w:r>
      <w:r>
        <w:t xml:space="preserve">fusion des Questions 13/13 </w:t>
      </w:r>
      <w:r w:rsidR="007640A4">
        <w:t>"</w:t>
      </w:r>
      <w:r w:rsidRPr="00026AD3">
        <w:t>Passage progressif aux réseaux NGN</w:t>
      </w:r>
      <w:r w:rsidR="007640A4">
        <w:t>"</w:t>
      </w:r>
      <w:r w:rsidR="0092355A">
        <w:t xml:space="preserve"> </w:t>
      </w:r>
      <w:r>
        <w:t xml:space="preserve">et 14/13 </w:t>
      </w:r>
      <w:r w:rsidR="007640A4">
        <w:t>"</w:t>
      </w:r>
      <w:r w:rsidRPr="00026AD3">
        <w:t>Scénarios de services et modèles de déploiement des réseaux NGN</w:t>
      </w:r>
      <w:r w:rsidR="007640A4">
        <w:t>"</w:t>
      </w:r>
      <w:r w:rsidR="0092355A">
        <w:t xml:space="preserve"> </w:t>
      </w:r>
    </w:p>
    <w:p w:rsidR="00CB1125" w:rsidRDefault="000427C9" w:rsidP="00DE1BAD">
      <w:pPr>
        <w:ind w:left="794" w:hanging="794"/>
      </w:pPr>
      <w:r>
        <w:tab/>
        <w:t>Le titre d</w:t>
      </w:r>
      <w:r w:rsidR="00293A6D">
        <w:t>e la nouvelle Question 24/13: </w:t>
      </w:r>
      <w:r w:rsidR="007640A4">
        <w:t>"</w:t>
      </w:r>
      <w:r>
        <w:t xml:space="preserve">Scénarios de services, </w:t>
      </w:r>
      <w:r w:rsidRPr="00026AD3">
        <w:t>modèles de déploiement</w:t>
      </w:r>
      <w:r w:rsidR="00293A6D">
        <w:t xml:space="preserve"> et passage aux réseaux NGN</w:t>
      </w:r>
      <w:r w:rsidR="007640A4">
        <w:t>"</w:t>
      </w:r>
    </w:p>
    <w:p w:rsidR="00293A6D" w:rsidRDefault="00293A6D" w:rsidP="00DE1BAD">
      <w:pPr>
        <w:ind w:left="794" w:hanging="794"/>
      </w:pPr>
      <w:r>
        <w:tab/>
        <w:t xml:space="preserve">Le texte de la Question 24/13 figure dans </w:t>
      </w:r>
      <w:r w:rsidRPr="00293A6D">
        <w:t>l</w:t>
      </w:r>
      <w:r w:rsidR="0092355A">
        <w:t>'</w:t>
      </w:r>
      <w:r w:rsidRPr="00293A6D">
        <w:rPr>
          <w:b/>
          <w:bCs/>
        </w:rPr>
        <w:t>Annexe 1</w:t>
      </w:r>
      <w:r>
        <w:t xml:space="preserve"> de la présente Circulaire. Les motifs à l'appui des modifications apportées sont brièvement</w:t>
      </w:r>
      <w:r w:rsidRPr="00293A6D">
        <w:t xml:space="preserve"> </w:t>
      </w:r>
      <w:r>
        <w:t xml:space="preserve">exposés dans la </w:t>
      </w:r>
      <w:r w:rsidRPr="00293A6D">
        <w:rPr>
          <w:b/>
          <w:bCs/>
        </w:rPr>
        <w:t>Note</w:t>
      </w:r>
      <w:r w:rsidRPr="00293A6D">
        <w:t xml:space="preserve"> </w:t>
      </w:r>
      <w:r>
        <w:t>figu</w:t>
      </w:r>
      <w:r w:rsidR="0092355A">
        <w:t xml:space="preserve">rant à la fin de ladite </w:t>
      </w:r>
      <w:r w:rsidR="007640A4">
        <w:t>A</w:t>
      </w:r>
      <w:r w:rsidR="0092355A">
        <w:t>nnexe.</w:t>
      </w:r>
    </w:p>
    <w:p w:rsidR="00293A6D" w:rsidRDefault="00293A6D" w:rsidP="00DE1BAD">
      <w:pPr>
        <w:ind w:left="794" w:hanging="794"/>
      </w:pPr>
      <w:r>
        <w:t>1.2</w:t>
      </w:r>
      <w:r>
        <w:tab/>
        <w:t>La Question 25/13 issue de la fusion des Question</w:t>
      </w:r>
      <w:r w:rsidR="0057201C">
        <w:t>s</w:t>
      </w:r>
      <w:r>
        <w:t xml:space="preserve"> 1/13 </w:t>
      </w:r>
      <w:r w:rsidR="007640A4">
        <w:t>"</w:t>
      </w:r>
      <w:r w:rsidRPr="00026AD3">
        <w:t>Coordination et planification</w:t>
      </w:r>
      <w:r w:rsidR="007640A4">
        <w:t>"</w:t>
      </w:r>
      <w:r>
        <w:t xml:space="preserve"> et</w:t>
      </w:r>
      <w:r w:rsidR="00DE1BAD">
        <w:t> </w:t>
      </w:r>
      <w:r>
        <w:t xml:space="preserve">2/13 </w:t>
      </w:r>
      <w:r w:rsidR="007640A4">
        <w:t>"</w:t>
      </w:r>
      <w:r w:rsidRPr="00026AD3">
        <w:t>Terminologie concernant le réseau</w:t>
      </w:r>
      <w:r w:rsidR="007640A4">
        <w:t>"</w:t>
      </w:r>
    </w:p>
    <w:p w:rsidR="00C44737" w:rsidRDefault="00C44737" w:rsidP="00DE1BAD">
      <w:pPr>
        <w:ind w:left="794" w:hanging="794"/>
      </w:pPr>
      <w:r>
        <w:tab/>
        <w:t>Le titre de la nouvelle Question 25/13</w:t>
      </w:r>
      <w:r w:rsidR="0092355A">
        <w:t>:</w:t>
      </w:r>
      <w:r>
        <w:t xml:space="preserve"> </w:t>
      </w:r>
      <w:r w:rsidR="007640A4">
        <w:t>"</w:t>
      </w:r>
      <w:r>
        <w:t>Coordination, planification et terminologie</w:t>
      </w:r>
      <w:r w:rsidR="007640A4">
        <w:t>"</w:t>
      </w:r>
    </w:p>
    <w:p w:rsidR="0057201C" w:rsidRDefault="00C44737" w:rsidP="00DE1BAD">
      <w:pPr>
        <w:ind w:left="794" w:hanging="794"/>
      </w:pPr>
      <w:r>
        <w:tab/>
        <w:t xml:space="preserve">Le texte de la Question 25/13 figure dans </w:t>
      </w:r>
      <w:r w:rsidRPr="00293A6D">
        <w:t>l</w:t>
      </w:r>
      <w:r w:rsidR="0092355A">
        <w:t>'</w:t>
      </w:r>
      <w:r w:rsidRPr="00293A6D">
        <w:rPr>
          <w:b/>
          <w:bCs/>
        </w:rPr>
        <w:t xml:space="preserve">Annexe </w:t>
      </w:r>
      <w:r>
        <w:rPr>
          <w:b/>
          <w:bCs/>
        </w:rPr>
        <w:t>2</w:t>
      </w:r>
      <w:r>
        <w:t xml:space="preserve"> de la présente Circulaire. Les motifs à l'appui des modifications apportées sont brièvement</w:t>
      </w:r>
      <w:r w:rsidRPr="00293A6D">
        <w:t xml:space="preserve"> </w:t>
      </w:r>
      <w:r>
        <w:t xml:space="preserve">exposés dans la </w:t>
      </w:r>
      <w:r w:rsidRPr="00293A6D">
        <w:rPr>
          <w:b/>
          <w:bCs/>
        </w:rPr>
        <w:t>Note</w:t>
      </w:r>
      <w:r w:rsidRPr="00293A6D">
        <w:t xml:space="preserve"> </w:t>
      </w:r>
      <w:r>
        <w:t xml:space="preserve">figurant à la fin de ladite annexe. </w:t>
      </w:r>
    </w:p>
    <w:p w:rsidR="0057201C" w:rsidRDefault="0057201C">
      <w:pPr>
        <w:tabs>
          <w:tab w:val="clear" w:pos="794"/>
          <w:tab w:val="clear" w:pos="1191"/>
          <w:tab w:val="clear" w:pos="1588"/>
          <w:tab w:val="clear" w:pos="1985"/>
        </w:tabs>
        <w:overflowPunct/>
        <w:autoSpaceDE/>
        <w:autoSpaceDN/>
        <w:adjustRightInd/>
        <w:spacing w:before="0"/>
        <w:textAlignment w:val="auto"/>
      </w:pPr>
      <w:r>
        <w:br w:type="page"/>
      </w:r>
    </w:p>
    <w:p w:rsidR="0057201C" w:rsidRDefault="0057201C" w:rsidP="0092355A"/>
    <w:p w:rsidR="00CB1125" w:rsidRPr="00775E4B" w:rsidRDefault="00CB1125" w:rsidP="0092355A">
      <w:r w:rsidRPr="00CB1125">
        <w:t>2</w:t>
      </w:r>
      <w:r>
        <w:tab/>
      </w:r>
      <w:r w:rsidR="00C44737" w:rsidRPr="0092355A">
        <w:rPr>
          <w:b/>
          <w:bCs/>
        </w:rPr>
        <w:t xml:space="preserve">Les </w:t>
      </w:r>
      <w:r w:rsidR="0092355A">
        <w:rPr>
          <w:b/>
          <w:bCs/>
        </w:rPr>
        <w:t>nouvelles</w:t>
      </w:r>
      <w:r w:rsidR="007640A4">
        <w:rPr>
          <w:b/>
          <w:bCs/>
        </w:rPr>
        <w:t xml:space="preserve"> </w:t>
      </w:r>
      <w:r w:rsidR="00C44737" w:rsidRPr="0092355A">
        <w:rPr>
          <w:b/>
          <w:bCs/>
        </w:rPr>
        <w:t>Questions 24/13 et 25/13 sont donc approuvées</w:t>
      </w:r>
      <w:r w:rsidRPr="0092355A">
        <w:rPr>
          <w:b/>
          <w:bCs/>
        </w:rPr>
        <w:t>.</w:t>
      </w:r>
    </w:p>
    <w:p w:rsidR="00C44737" w:rsidRDefault="00C44737" w:rsidP="00DE1BAD">
      <w:r>
        <w:t>3</w:t>
      </w:r>
      <w:r>
        <w:tab/>
        <w:t xml:space="preserve">Les Recommandations </w:t>
      </w:r>
      <w:r w:rsidR="0092355A">
        <w:t>résultant de</w:t>
      </w:r>
      <w:r>
        <w:t xml:space="preserve"> l</w:t>
      </w:r>
      <w:r w:rsidR="0092355A">
        <w:t>'</w:t>
      </w:r>
      <w:r>
        <w:t xml:space="preserve">étude de ces deux nouvelles Questions sont </w:t>
      </w:r>
      <w:r w:rsidR="0092355A">
        <w:t>réputées relever de la variante de la procédure</w:t>
      </w:r>
      <w:r>
        <w:t xml:space="preserve"> d</w:t>
      </w:r>
      <w:r w:rsidR="0092355A">
        <w:t>'</w:t>
      </w:r>
      <w:r>
        <w:t>approbation (AAP).</w:t>
      </w:r>
    </w:p>
    <w:p w:rsidR="00C44737" w:rsidRDefault="00C44737" w:rsidP="00DE1BAD">
      <w:r>
        <w:t>Veuillez agréer, Madame, Monsieur, l'assurance de ma considération distinguée.</w:t>
      </w:r>
    </w:p>
    <w:p w:rsidR="00C44737" w:rsidRDefault="00C44737" w:rsidP="0092355A"/>
    <w:p w:rsidR="0092355A" w:rsidRDefault="0092355A" w:rsidP="0092355A"/>
    <w:p w:rsidR="0057201C" w:rsidRDefault="0057201C" w:rsidP="0092355A"/>
    <w:p w:rsidR="00C44737" w:rsidRDefault="00C44737" w:rsidP="0092355A">
      <w:r w:rsidRPr="00CC117A">
        <w:rPr>
          <w:szCs w:val="24"/>
        </w:rPr>
        <w:t>Malcolm Johnson</w:t>
      </w:r>
      <w:r>
        <w:br/>
        <w:t>Directeur du Bureau de la</w:t>
      </w:r>
      <w:r>
        <w:br/>
        <w:t>normalisation des télécommunications</w:t>
      </w:r>
    </w:p>
    <w:p w:rsidR="00C44737" w:rsidRDefault="00C44737" w:rsidP="00C44737">
      <w:pPr>
        <w:spacing w:before="720"/>
      </w:pPr>
    </w:p>
    <w:p w:rsidR="00C44737" w:rsidRDefault="00C44737" w:rsidP="00C44737">
      <w:pPr>
        <w:spacing w:before="720"/>
      </w:pPr>
      <w:r w:rsidRPr="002D2C6B">
        <w:rPr>
          <w:b/>
          <w:bCs/>
        </w:rPr>
        <w:t>Annexe</w:t>
      </w:r>
      <w:r>
        <w:rPr>
          <w:b/>
          <w:bCs/>
        </w:rPr>
        <w:t>s</w:t>
      </w:r>
      <w:r w:rsidRPr="002D2C6B">
        <w:rPr>
          <w:b/>
          <w:bCs/>
        </w:rPr>
        <w:t>:</w:t>
      </w:r>
      <w:r>
        <w:t xml:space="preserve"> 2</w:t>
      </w:r>
    </w:p>
    <w:p w:rsidR="0092355A" w:rsidRDefault="0092355A" w:rsidP="00C44737">
      <w:pPr>
        <w:spacing w:before="720"/>
      </w:pPr>
      <w:r>
        <w:br w:type="page"/>
      </w:r>
    </w:p>
    <w:p w:rsidR="00FF3716" w:rsidRPr="00FF3716" w:rsidRDefault="00FF3716" w:rsidP="0092355A">
      <w:pPr>
        <w:pStyle w:val="Annex"/>
      </w:pPr>
      <w:r w:rsidRPr="00FF3716">
        <w:lastRenderedPageBreak/>
        <w:t>ANNEXE 1</w:t>
      </w:r>
    </w:p>
    <w:p w:rsidR="00FF3716" w:rsidRPr="00FF3716" w:rsidRDefault="00FF3716" w:rsidP="0092355A">
      <w:pPr>
        <w:jc w:val="center"/>
      </w:pPr>
      <w:r w:rsidRPr="00FF3716">
        <w:t>(de la Circulaire TSB 167)</w:t>
      </w:r>
    </w:p>
    <w:p w:rsidR="00FF3716" w:rsidRPr="00026AD3" w:rsidRDefault="00FF3716" w:rsidP="0092355A">
      <w:pPr>
        <w:pStyle w:val="headingb"/>
        <w:rPr>
          <w:lang w:eastAsia="ko-KR"/>
        </w:rPr>
      </w:pPr>
      <w:r>
        <w:t>Question 2</w:t>
      </w:r>
      <w:r w:rsidRPr="00026AD3">
        <w:t>4/13</w:t>
      </w:r>
      <w:r w:rsidRPr="00026AD3">
        <w:rPr>
          <w:bCs/>
        </w:rPr>
        <w:t xml:space="preserve"> – </w:t>
      </w:r>
      <w:r w:rsidRPr="00026AD3">
        <w:rPr>
          <w:lang w:eastAsia="ko-KR"/>
        </w:rPr>
        <w:t>S</w:t>
      </w:r>
      <w:r w:rsidRPr="00026AD3">
        <w:t>cénarios</w:t>
      </w:r>
      <w:r>
        <w:rPr>
          <w:lang w:eastAsia="ko-KR"/>
        </w:rPr>
        <w:t xml:space="preserve"> de services, </w:t>
      </w:r>
      <w:r w:rsidRPr="00026AD3">
        <w:rPr>
          <w:lang w:eastAsia="ko-KR"/>
        </w:rPr>
        <w:t xml:space="preserve">modèles de déploiement </w:t>
      </w:r>
      <w:r>
        <w:rPr>
          <w:lang w:eastAsia="ko-KR"/>
        </w:rPr>
        <w:t xml:space="preserve">et passage aux </w:t>
      </w:r>
      <w:r w:rsidRPr="00026AD3">
        <w:rPr>
          <w:lang w:eastAsia="ko-KR"/>
        </w:rPr>
        <w:t>réseaux NGN</w:t>
      </w:r>
    </w:p>
    <w:p w:rsidR="00FF3716" w:rsidRPr="00026AD3" w:rsidRDefault="00FF3716" w:rsidP="00FF3716">
      <w:pPr>
        <w:rPr>
          <w:iCs/>
        </w:rPr>
      </w:pPr>
      <w:r w:rsidRPr="00026AD3">
        <w:rPr>
          <w:iCs/>
        </w:rPr>
        <w:t>(</w:t>
      </w:r>
      <w:r>
        <w:rPr>
          <w:iCs/>
        </w:rPr>
        <w:t>Fusion</w:t>
      </w:r>
      <w:r w:rsidRPr="00026AD3">
        <w:rPr>
          <w:iCs/>
        </w:rPr>
        <w:t xml:space="preserve"> de</w:t>
      </w:r>
      <w:r>
        <w:rPr>
          <w:iCs/>
        </w:rPr>
        <w:t>s</w:t>
      </w:r>
      <w:r w:rsidRPr="00026AD3">
        <w:rPr>
          <w:iCs/>
        </w:rPr>
        <w:t xml:space="preserve"> Question</w:t>
      </w:r>
      <w:r>
        <w:rPr>
          <w:iCs/>
        </w:rPr>
        <w:t>s</w:t>
      </w:r>
      <w:r w:rsidRPr="00026AD3">
        <w:rPr>
          <w:iCs/>
        </w:rPr>
        <w:t xml:space="preserve"> </w:t>
      </w:r>
      <w:r>
        <w:rPr>
          <w:iCs/>
          <w:lang w:eastAsia="ko-KR"/>
        </w:rPr>
        <w:t>13</w:t>
      </w:r>
      <w:r w:rsidRPr="00026AD3">
        <w:rPr>
          <w:iCs/>
        </w:rPr>
        <w:t>/13</w:t>
      </w:r>
      <w:r>
        <w:rPr>
          <w:iCs/>
        </w:rPr>
        <w:t xml:space="preserve"> et 14/13</w:t>
      </w:r>
      <w:r w:rsidRPr="00026AD3">
        <w:rPr>
          <w:iCs/>
        </w:rPr>
        <w:t>)</w:t>
      </w:r>
    </w:p>
    <w:p w:rsidR="00FF3716" w:rsidRPr="00026AD3" w:rsidRDefault="00FF3716" w:rsidP="0092355A">
      <w:pPr>
        <w:pStyle w:val="headingb"/>
      </w:pPr>
      <w:r w:rsidRPr="00026AD3">
        <w:t>Motifs</w:t>
      </w:r>
    </w:p>
    <w:p w:rsidR="00FF3716" w:rsidRPr="00026AD3" w:rsidRDefault="00FF3716" w:rsidP="00DE1BAD">
      <w:pPr>
        <w:rPr>
          <w:lang w:eastAsia="ko-KR"/>
        </w:rPr>
      </w:pPr>
      <w:r w:rsidRPr="00026AD3">
        <w:rPr>
          <w:lang w:eastAsia="ko-KR"/>
        </w:rPr>
        <w:t xml:space="preserve">Etant donné que le champ d'application des réseaux NGN </w:t>
      </w:r>
      <w:r>
        <w:rPr>
          <w:lang w:eastAsia="ko-KR"/>
        </w:rPr>
        <w:t xml:space="preserve">et des réseaux futurs </w:t>
      </w:r>
      <w:r w:rsidRPr="00026AD3">
        <w:rPr>
          <w:lang w:eastAsia="ko-KR"/>
        </w:rPr>
        <w:t xml:space="preserve">couvre de vastes secteurs du réseau, il est nécessaire d'élaborer des modèles de déploiement simples et clairs pour la définition des réseaux </w:t>
      </w:r>
      <w:r w:rsidRPr="00026AD3">
        <w:rPr>
          <w:shd w:val="clear" w:color="auto" w:fill="FFFFFF"/>
          <w:lang w:eastAsia="ko-KR"/>
        </w:rPr>
        <w:t>NGN</w:t>
      </w:r>
      <w:r>
        <w:rPr>
          <w:shd w:val="clear" w:color="auto" w:fill="FFFFFF"/>
          <w:lang w:eastAsia="ko-KR"/>
        </w:rPr>
        <w:t xml:space="preserve"> et des réseaux futurs</w:t>
      </w:r>
      <w:r w:rsidRPr="00026AD3">
        <w:rPr>
          <w:shd w:val="clear" w:color="auto" w:fill="FFFFFF"/>
          <w:lang w:eastAsia="ko-KR"/>
        </w:rPr>
        <w:t xml:space="preserve">. Dans ces conditions, il </w:t>
      </w:r>
      <w:r>
        <w:rPr>
          <w:shd w:val="clear" w:color="auto" w:fill="FFFFFF"/>
          <w:lang w:eastAsia="ko-KR"/>
        </w:rPr>
        <w:t>est</w:t>
      </w:r>
      <w:r w:rsidRPr="00026AD3">
        <w:rPr>
          <w:shd w:val="clear" w:color="auto" w:fill="FFFFFF"/>
          <w:lang w:eastAsia="ko-KR"/>
        </w:rPr>
        <w:t xml:space="preserve"> très utile de disposer d'une série prometteuse de scénarios de services et de modèles de déploiement des réseaux </w:t>
      </w:r>
      <w:r w:rsidRPr="00026AD3">
        <w:rPr>
          <w:lang w:eastAsia="ko-KR"/>
        </w:rPr>
        <w:t>NGN</w:t>
      </w:r>
      <w:r>
        <w:rPr>
          <w:lang w:eastAsia="ko-KR"/>
        </w:rPr>
        <w:t xml:space="preserve"> et des réseaux futurs</w:t>
      </w:r>
      <w:r w:rsidRPr="00026AD3">
        <w:rPr>
          <w:lang w:eastAsia="ko-KR"/>
        </w:rPr>
        <w:t xml:space="preserve"> pour accélérer le déploiement de ces réseaux. Tous les scénarios devraient prendre pour base le point de vue de l'utilisateur qui serait décrit comme cas d'utilisation. </w:t>
      </w:r>
    </w:p>
    <w:p w:rsidR="00FF3716" w:rsidRPr="00026AD3" w:rsidRDefault="00FF3716" w:rsidP="00DE1BAD">
      <w:r w:rsidRPr="00026AD3">
        <w:t>Ces scénarios de services pourraient être conçus de façon à permettre aux opérateurs de prendre en charge des environnements essentiels de réseaux et d'offrir des avantages différenciés grâce à des innovations.</w:t>
      </w:r>
    </w:p>
    <w:p w:rsidR="003C32DF" w:rsidRPr="003C32DF" w:rsidRDefault="003C32DF" w:rsidP="00DE1BAD">
      <w:pPr>
        <w:rPr>
          <w:lang w:val="fr-CH"/>
        </w:rPr>
      </w:pPr>
      <w:r w:rsidRPr="003C32DF">
        <w:rPr>
          <w:lang w:val="fr-CH"/>
        </w:rPr>
        <w:t xml:space="preserve">Cela étant, </w:t>
      </w:r>
      <w:r>
        <w:rPr>
          <w:lang w:val="fr-CH"/>
        </w:rPr>
        <w:t>l</w:t>
      </w:r>
      <w:r w:rsidRPr="003C32DF">
        <w:rPr>
          <w:lang w:val="fr-CH"/>
        </w:rPr>
        <w:t>es opérateurs des réseaux de télécommunication existants sont préoccupés par la nécessité de remplacer intégralement leurs équipements de réseau lors du passage des réseaux de télécommunication traditionnels aux réseaux NGN</w:t>
      </w:r>
      <w:r>
        <w:rPr>
          <w:lang w:val="fr-CH"/>
        </w:rPr>
        <w:t xml:space="preserve"> et aux réseaux futurs</w:t>
      </w:r>
      <w:r w:rsidRPr="003C32DF">
        <w:rPr>
          <w:lang w:val="fr-CH"/>
        </w:rPr>
        <w:t xml:space="preserve">. Face à la nécessité de protéger les investissements qu'ils ont consentis dans l'infrastructure de réseau existante, ils cherchent à assurer la transition graduelle </w:t>
      </w:r>
      <w:r w:rsidR="007A3722">
        <w:rPr>
          <w:lang w:val="fr-CH"/>
        </w:rPr>
        <w:t xml:space="preserve">de leurs réseaux de télécommunication existants </w:t>
      </w:r>
      <w:r w:rsidRPr="003C32DF">
        <w:rPr>
          <w:lang w:val="fr-CH"/>
        </w:rPr>
        <w:t xml:space="preserve">vers les réseaux NGN </w:t>
      </w:r>
      <w:r w:rsidR="007A3722">
        <w:rPr>
          <w:lang w:val="fr-CH"/>
        </w:rPr>
        <w:t xml:space="preserve">et les réseaux futurs </w:t>
      </w:r>
      <w:r w:rsidRPr="003C32DF">
        <w:rPr>
          <w:lang w:val="fr-CH"/>
        </w:rPr>
        <w:t>en remplaçant progressivement les équipements.</w:t>
      </w:r>
    </w:p>
    <w:p w:rsidR="00AA58E4" w:rsidRDefault="00B9157C" w:rsidP="007640A4">
      <w:r>
        <w:t>Pour ce qui est des réseaux futurs, de plus en plus de nouvelles technologies seront mises en œuvre, par exemple l</w:t>
      </w:r>
      <w:r w:rsidR="0092355A">
        <w:t>'</w:t>
      </w:r>
      <w:r>
        <w:t>informatique dématérialisée, l</w:t>
      </w:r>
      <w:r w:rsidR="0092355A">
        <w:t>'</w:t>
      </w:r>
      <w:r>
        <w:t xml:space="preserve">IOT (tarif </w:t>
      </w:r>
      <w:proofErr w:type="spellStart"/>
      <w:r>
        <w:t>interopérateurs</w:t>
      </w:r>
      <w:proofErr w:type="spellEnd"/>
      <w:r>
        <w:t>)</w:t>
      </w:r>
      <w:r w:rsidR="00AA58E4">
        <w:t>, etc. L</w:t>
      </w:r>
      <w:r w:rsidR="0092355A">
        <w:t>'</w:t>
      </w:r>
      <w:r w:rsidR="00AA58E4">
        <w:t>architecture et le déploiement des réseaux futurs seront probablement très différents de ceux des réseaux de télécommunication existants.</w:t>
      </w:r>
      <w:r w:rsidR="0092355A">
        <w:t xml:space="preserve"> </w:t>
      </w:r>
      <w:r w:rsidR="00AA58E4">
        <w:t>Les spécifications précédentes continueront d</w:t>
      </w:r>
      <w:r w:rsidR="0092355A">
        <w:t>'</w:t>
      </w:r>
      <w:r w:rsidR="00AA58E4">
        <w:t>être disponibles lors du passage des réseaux de télécommunication existants ou des réseaux NGN aux réseaux futurs.</w:t>
      </w:r>
    </w:p>
    <w:p w:rsidR="00FF3716" w:rsidRPr="00026AD3" w:rsidRDefault="00FF3716" w:rsidP="00FF3716">
      <w:pPr>
        <w:pStyle w:val="Heading3"/>
        <w:rPr>
          <w:szCs w:val="24"/>
          <w:lang w:eastAsia="ko-KR"/>
        </w:rPr>
      </w:pPr>
      <w:r w:rsidRPr="00026AD3">
        <w:rPr>
          <w:szCs w:val="24"/>
        </w:rPr>
        <w:t>Question</w:t>
      </w:r>
    </w:p>
    <w:p w:rsidR="00FF3716" w:rsidRPr="00026AD3" w:rsidRDefault="00FF3716" w:rsidP="00DE1BAD">
      <w:pPr>
        <w:rPr>
          <w:lang w:eastAsia="ko-KR"/>
        </w:rPr>
      </w:pPr>
      <w:r w:rsidRPr="00026AD3">
        <w:rPr>
          <w:lang w:eastAsia="ko-KR"/>
        </w:rPr>
        <w:t>Les sujets à étudier sont notamment les suivants (la liste n'est pas exhaustive):</w:t>
      </w:r>
    </w:p>
    <w:p w:rsidR="00FF3716" w:rsidRPr="00026AD3" w:rsidRDefault="00FF3716" w:rsidP="00DE1BAD">
      <w:pPr>
        <w:pStyle w:val="enumlev1"/>
      </w:pPr>
      <w:r w:rsidRPr="00026AD3">
        <w:rPr>
          <w:lang w:eastAsia="ko-KR"/>
        </w:rPr>
        <w:t>•</w:t>
      </w:r>
      <w:r w:rsidRPr="00026AD3">
        <w:rPr>
          <w:lang w:eastAsia="ko-KR"/>
        </w:rPr>
        <w:tab/>
        <w:t>Du point de vue de l'utilisateur, quels seront, dans le cadre des réseaux NGN</w:t>
      </w:r>
      <w:r w:rsidR="00122BBE">
        <w:rPr>
          <w:lang w:eastAsia="ko-KR"/>
        </w:rPr>
        <w:t xml:space="preserve"> et des réseaux futurs</w:t>
      </w:r>
      <w:r w:rsidRPr="00026AD3">
        <w:rPr>
          <w:lang w:eastAsia="ko-KR"/>
        </w:rPr>
        <w:t xml:space="preserve">, les scénarios spécifiques aux applications, y compris </w:t>
      </w:r>
      <w:r w:rsidR="00DE1BAD">
        <w:rPr>
          <w:lang w:eastAsia="ko-KR"/>
        </w:rPr>
        <w:t>l</w:t>
      </w:r>
      <w:r w:rsidRPr="00026AD3">
        <w:rPr>
          <w:lang w:eastAsia="ko-KR"/>
        </w:rPr>
        <w:t xml:space="preserve">es services d'application et </w:t>
      </w:r>
      <w:r w:rsidR="00DE1BAD">
        <w:rPr>
          <w:lang w:eastAsia="ko-KR"/>
        </w:rPr>
        <w:t>l</w:t>
      </w:r>
      <w:r w:rsidRPr="00026AD3">
        <w:rPr>
          <w:lang w:eastAsia="ko-KR"/>
        </w:rPr>
        <w:t xml:space="preserve">es fonctions d'utilisateur final? A noter qu'il conviendrait aussi d'étudier les nouveaux services d'application pour réseaux NGN </w:t>
      </w:r>
      <w:r w:rsidR="00122BBE">
        <w:rPr>
          <w:lang w:eastAsia="ko-KR"/>
        </w:rPr>
        <w:t xml:space="preserve">et réseaux futurs </w:t>
      </w:r>
      <w:r w:rsidRPr="00026AD3">
        <w:rPr>
          <w:lang w:eastAsia="ko-KR"/>
        </w:rPr>
        <w:t>à partir des environnements de services résultant de la convergence.</w:t>
      </w:r>
    </w:p>
    <w:p w:rsidR="00FF3716" w:rsidRDefault="00FF3716" w:rsidP="00DE1BAD">
      <w:pPr>
        <w:pStyle w:val="enumlev1"/>
        <w:rPr>
          <w:lang w:eastAsia="ko-KR"/>
        </w:rPr>
      </w:pPr>
      <w:r w:rsidRPr="00026AD3">
        <w:rPr>
          <w:lang w:eastAsia="ko-KR"/>
        </w:rPr>
        <w:t>•</w:t>
      </w:r>
      <w:r w:rsidRPr="00026AD3">
        <w:rPr>
          <w:lang w:eastAsia="ko-KR"/>
        </w:rPr>
        <w:tab/>
        <w:t xml:space="preserve">Quels scénarios de services de réseaux NGN </w:t>
      </w:r>
      <w:r w:rsidR="00122BBE">
        <w:rPr>
          <w:lang w:eastAsia="ko-KR"/>
        </w:rPr>
        <w:t xml:space="preserve">et de réseaux futurs </w:t>
      </w:r>
      <w:r w:rsidRPr="00026AD3">
        <w:rPr>
          <w:lang w:eastAsia="ko-KR"/>
        </w:rPr>
        <w:t>fondés sur différentes technologies: informatique, sécurité, équipements électroniques, radiodiffusion, y compris l'interactivité entre services hertziens et services mobiles et télécommunications, dont les technologies propres à l'entreprise et diverses technologies d'accès faut-il envisager?</w:t>
      </w:r>
    </w:p>
    <w:p w:rsidR="00C648F3" w:rsidRPr="00026AD3" w:rsidRDefault="00C648F3" w:rsidP="00DE1BAD">
      <w:pPr>
        <w:pStyle w:val="enumlev1"/>
      </w:pPr>
      <w:r w:rsidRPr="00026AD3">
        <w:rPr>
          <w:lang w:eastAsia="ja-JP"/>
        </w:rPr>
        <w:t>•</w:t>
      </w:r>
      <w:r w:rsidRPr="00026AD3">
        <w:rPr>
          <w:lang w:eastAsia="ja-JP"/>
        </w:rPr>
        <w:tab/>
      </w:r>
      <w:r>
        <w:rPr>
          <w:lang w:eastAsia="ja-JP"/>
        </w:rPr>
        <w:t>Quels scénarios envisager pour le passage progressif aux réseaux NGN et aux réseaux futurs?</w:t>
      </w:r>
    </w:p>
    <w:p w:rsidR="00FF3716" w:rsidRPr="00026AD3" w:rsidRDefault="00FF3716" w:rsidP="00DE1BAD">
      <w:pPr>
        <w:pStyle w:val="enumlev1"/>
      </w:pPr>
      <w:r w:rsidRPr="00026AD3">
        <w:rPr>
          <w:lang w:eastAsia="ja-JP"/>
        </w:rPr>
        <w:t>•</w:t>
      </w:r>
      <w:r w:rsidRPr="00026AD3">
        <w:rPr>
          <w:lang w:eastAsia="ja-JP"/>
        </w:rPr>
        <w:tab/>
      </w:r>
      <w:r w:rsidR="00C648F3">
        <w:t>Quelles méthodes utilisées dans ces scénarios contribueront, directement ou indirectement, à la réalisation d'économies d'énergie, au niveau des technologies de l'information et de la communication (TIC) ou dans d'autres secteurs?</w:t>
      </w:r>
    </w:p>
    <w:p w:rsidR="007D3626" w:rsidRDefault="007D3626" w:rsidP="00DE1BAD">
      <w:pPr>
        <w:pStyle w:val="headingb"/>
      </w:pPr>
      <w:r>
        <w:br w:type="page"/>
      </w:r>
    </w:p>
    <w:p w:rsidR="00FF3716" w:rsidRPr="00026AD3" w:rsidRDefault="00FF3716" w:rsidP="00DE1BAD">
      <w:pPr>
        <w:pStyle w:val="headingb"/>
      </w:pPr>
      <w:r w:rsidRPr="00026AD3">
        <w:lastRenderedPageBreak/>
        <w:t>Tâches</w:t>
      </w:r>
    </w:p>
    <w:p w:rsidR="00FF3716" w:rsidRPr="00026AD3" w:rsidRDefault="00FF3716" w:rsidP="00DE1BAD">
      <w:pPr>
        <w:rPr>
          <w:lang w:eastAsia="ko-KR"/>
        </w:rPr>
      </w:pPr>
      <w:r w:rsidRPr="00026AD3">
        <w:rPr>
          <w:lang w:eastAsia="ko-KR"/>
        </w:rPr>
        <w:t>Les tâches sont notamment les suivantes (la liste n'est pas exhaustive):</w:t>
      </w:r>
    </w:p>
    <w:p w:rsidR="00FF3716" w:rsidRPr="00026AD3" w:rsidRDefault="00FF3716" w:rsidP="001E060F">
      <w:pPr>
        <w:pStyle w:val="enumlev1"/>
      </w:pPr>
      <w:r w:rsidRPr="00026AD3">
        <w:rPr>
          <w:lang w:eastAsia="ko-KR"/>
        </w:rPr>
        <w:t>•</w:t>
      </w:r>
      <w:r w:rsidRPr="00026AD3">
        <w:rPr>
          <w:lang w:eastAsia="ko-KR"/>
        </w:rPr>
        <w:tab/>
        <w:t>Elaborer des documents sur des scénarios de services pour réseaux NGN</w:t>
      </w:r>
      <w:r w:rsidR="008B0568">
        <w:rPr>
          <w:lang w:eastAsia="ko-KR"/>
        </w:rPr>
        <w:t xml:space="preserve"> et réseaux futurs</w:t>
      </w:r>
      <w:r w:rsidRPr="00026AD3">
        <w:rPr>
          <w:lang w:eastAsia="ko-KR"/>
        </w:rPr>
        <w:t xml:space="preserve">, y compris les nouveaux services et les services issus de la </w:t>
      </w:r>
      <w:r w:rsidRPr="00026AD3">
        <w:rPr>
          <w:lang w:eastAsia="ja-JP"/>
        </w:rPr>
        <w:t>convergence</w:t>
      </w:r>
      <w:r w:rsidRPr="00026AD3">
        <w:rPr>
          <w:lang w:eastAsia="ko-KR"/>
        </w:rPr>
        <w:t>.</w:t>
      </w:r>
    </w:p>
    <w:p w:rsidR="00FF3716" w:rsidRDefault="00FF3716" w:rsidP="001E060F">
      <w:pPr>
        <w:pStyle w:val="enumlev1"/>
        <w:rPr>
          <w:lang w:eastAsia="ko-KR"/>
        </w:rPr>
      </w:pPr>
      <w:r w:rsidRPr="00026AD3">
        <w:rPr>
          <w:lang w:eastAsia="ko-KR"/>
        </w:rPr>
        <w:t>•</w:t>
      </w:r>
      <w:r w:rsidRPr="00026AD3">
        <w:rPr>
          <w:lang w:eastAsia="ko-KR"/>
        </w:rPr>
        <w:tab/>
        <w:t xml:space="preserve">Elaborer des documents sur des scénarios de services TVIP fondés sur les réseaux NGN </w:t>
      </w:r>
      <w:r w:rsidR="008B0568">
        <w:rPr>
          <w:lang w:eastAsia="ko-KR"/>
        </w:rPr>
        <w:t xml:space="preserve">et les réseaux futurs </w:t>
      </w:r>
      <w:r w:rsidRPr="00026AD3">
        <w:rPr>
          <w:lang w:eastAsia="ko-KR"/>
        </w:rPr>
        <w:t xml:space="preserve">assurant la convergence entre les services traditionnels de radiodiffusion et </w:t>
      </w:r>
      <w:r w:rsidR="001E060F">
        <w:rPr>
          <w:lang w:eastAsia="ko-KR"/>
        </w:rPr>
        <w:t xml:space="preserve">les services </w:t>
      </w:r>
      <w:r w:rsidRPr="00026AD3">
        <w:rPr>
          <w:lang w:eastAsia="ko-KR"/>
        </w:rPr>
        <w:t>de télécommunication dans le cadre de l'environnement de</w:t>
      </w:r>
      <w:r w:rsidR="001E060F">
        <w:rPr>
          <w:lang w:eastAsia="ko-KR"/>
        </w:rPr>
        <w:t>s</w:t>
      </w:r>
      <w:r w:rsidRPr="00026AD3">
        <w:rPr>
          <w:lang w:eastAsia="ko-KR"/>
        </w:rPr>
        <w:t xml:space="preserve"> réseaux NGN</w:t>
      </w:r>
      <w:r w:rsidR="008B0568">
        <w:rPr>
          <w:lang w:eastAsia="ko-KR"/>
        </w:rPr>
        <w:t xml:space="preserve"> et de</w:t>
      </w:r>
      <w:r w:rsidR="001E060F">
        <w:rPr>
          <w:lang w:eastAsia="ko-KR"/>
        </w:rPr>
        <w:t>s</w:t>
      </w:r>
      <w:r w:rsidR="008B0568">
        <w:rPr>
          <w:lang w:eastAsia="ko-KR"/>
        </w:rPr>
        <w:t xml:space="preserve"> réseaux futurs</w:t>
      </w:r>
      <w:r w:rsidRPr="00026AD3">
        <w:rPr>
          <w:lang w:eastAsia="ko-KR"/>
        </w:rPr>
        <w:t>.</w:t>
      </w:r>
    </w:p>
    <w:p w:rsidR="000F7DB5" w:rsidRPr="00026AD3" w:rsidRDefault="000F7DB5" w:rsidP="001E060F">
      <w:pPr>
        <w:pStyle w:val="enumlev1"/>
      </w:pPr>
      <w:r w:rsidRPr="00026AD3">
        <w:rPr>
          <w:lang w:eastAsia="ko-KR"/>
        </w:rPr>
        <w:t>•</w:t>
      </w:r>
      <w:r w:rsidRPr="00026AD3">
        <w:rPr>
          <w:lang w:eastAsia="ko-KR"/>
        </w:rPr>
        <w:tab/>
        <w:t>Elaborer des documents sur des scénarios de services pour des cas d'utilisation et des services de tierce partie destinés à des environnements ubiquitaires</w:t>
      </w:r>
      <w:r w:rsidRPr="00026AD3">
        <w:rPr>
          <w:rFonts w:eastAsia="Gulim"/>
          <w:color w:val="000000"/>
          <w:lang w:eastAsia="ko-KR"/>
        </w:rPr>
        <w:t>.</w:t>
      </w:r>
    </w:p>
    <w:p w:rsidR="008B0568" w:rsidRDefault="008B0568" w:rsidP="001E060F">
      <w:pPr>
        <w:pStyle w:val="enumlev1"/>
        <w:rPr>
          <w:lang w:eastAsia="ko-KR"/>
        </w:rPr>
      </w:pPr>
      <w:r w:rsidRPr="00026AD3">
        <w:rPr>
          <w:lang w:eastAsia="ko-KR"/>
        </w:rPr>
        <w:t>•</w:t>
      </w:r>
      <w:r w:rsidRPr="00026AD3">
        <w:rPr>
          <w:lang w:eastAsia="ko-KR"/>
        </w:rPr>
        <w:tab/>
        <w:t>Elaborer des documents sur des scénarios de</w:t>
      </w:r>
      <w:r>
        <w:rPr>
          <w:lang w:eastAsia="ko-KR"/>
        </w:rPr>
        <w:t xml:space="preserve"> transition vers les réseaux NGN et les réseaux futurs.</w:t>
      </w:r>
    </w:p>
    <w:p w:rsidR="008B0568" w:rsidRPr="00026AD3" w:rsidRDefault="000F7DB5" w:rsidP="007640A4">
      <w:pPr>
        <w:pStyle w:val="enumlev1"/>
      </w:pPr>
      <w:r>
        <w:rPr>
          <w:lang w:eastAsia="ko-KR"/>
        </w:rPr>
        <w:t>•</w:t>
      </w:r>
      <w:r>
        <w:rPr>
          <w:lang w:eastAsia="ko-KR"/>
        </w:rPr>
        <w:tab/>
      </w:r>
      <w:r w:rsidR="007640A4">
        <w:rPr>
          <w:lang w:eastAsia="ko-KR"/>
        </w:rPr>
        <w:t xml:space="preserve">Elaborer des documents sur des </w:t>
      </w:r>
      <w:r>
        <w:rPr>
          <w:lang w:eastAsia="ko-KR"/>
        </w:rPr>
        <w:t>paramètres de décision à l</w:t>
      </w:r>
      <w:r w:rsidR="0092355A">
        <w:rPr>
          <w:lang w:eastAsia="ko-KR"/>
        </w:rPr>
        <w:t>'</w:t>
      </w:r>
      <w:r>
        <w:rPr>
          <w:lang w:eastAsia="ko-KR"/>
        </w:rPr>
        <w:t>appui du choix des scénarios et des critères</w:t>
      </w:r>
      <w:r w:rsidRPr="000F7DB5">
        <w:rPr>
          <w:lang w:eastAsia="ko-KR"/>
        </w:rPr>
        <w:t xml:space="preserve"> </w:t>
      </w:r>
      <w:r w:rsidR="001E060F">
        <w:rPr>
          <w:lang w:eastAsia="ko-KR"/>
        </w:rPr>
        <w:t xml:space="preserve">de </w:t>
      </w:r>
      <w:r>
        <w:rPr>
          <w:lang w:eastAsia="ko-KR"/>
        </w:rPr>
        <w:t>transition à travers l</w:t>
      </w:r>
      <w:r w:rsidR="0092355A">
        <w:rPr>
          <w:lang w:eastAsia="ko-KR"/>
        </w:rPr>
        <w:t>'</w:t>
      </w:r>
      <w:r>
        <w:rPr>
          <w:lang w:eastAsia="ko-KR"/>
        </w:rPr>
        <w:t>analyse des scénarios.</w:t>
      </w:r>
    </w:p>
    <w:p w:rsidR="00FF3716" w:rsidRPr="00026AD3" w:rsidRDefault="00FF3716" w:rsidP="001E060F">
      <w:pPr>
        <w:pStyle w:val="enumlev1"/>
      </w:pPr>
      <w:r w:rsidRPr="00026AD3">
        <w:rPr>
          <w:lang w:eastAsia="ko-KR"/>
        </w:rPr>
        <w:t>•</w:t>
      </w:r>
      <w:r w:rsidRPr="00026AD3">
        <w:rPr>
          <w:lang w:eastAsia="ko-KR"/>
        </w:rPr>
        <w:tab/>
      </w:r>
      <w:r w:rsidR="000F7DB5">
        <w:rPr>
          <w:lang w:eastAsia="ko-KR"/>
        </w:rPr>
        <w:t xml:space="preserve">Poursuivre </w:t>
      </w:r>
      <w:r w:rsidRPr="00026AD3">
        <w:rPr>
          <w:lang w:eastAsia="ja-JP"/>
        </w:rPr>
        <w:t>l</w:t>
      </w:r>
      <w:r w:rsidR="0092355A">
        <w:rPr>
          <w:lang w:eastAsia="ja-JP"/>
        </w:rPr>
        <w:t>'</w:t>
      </w:r>
      <w:r w:rsidR="000F7DB5">
        <w:rPr>
          <w:lang w:eastAsia="ja-JP"/>
        </w:rPr>
        <w:t>élaboration d</w:t>
      </w:r>
      <w:r w:rsidRPr="00026AD3">
        <w:rPr>
          <w:lang w:eastAsia="ja-JP"/>
        </w:rPr>
        <w:t>es documents en cours</w:t>
      </w:r>
      <w:r w:rsidRPr="00026AD3">
        <w:rPr>
          <w:color w:val="000000"/>
        </w:rPr>
        <w:t>.</w:t>
      </w:r>
    </w:p>
    <w:p w:rsidR="00FF3716" w:rsidRPr="00026AD3" w:rsidRDefault="00FF3716" w:rsidP="001E060F">
      <w:r w:rsidRPr="00026AD3">
        <w:t>Les documents élaborés au titre de cette Question seront normalement publiés sous la forme de Suppléments ou seront traités dans le cadre d'autres Questions connexes ou en coordination avec elles.</w:t>
      </w:r>
    </w:p>
    <w:p w:rsidR="00FF3716" w:rsidRPr="00026AD3" w:rsidRDefault="00FF3716" w:rsidP="001E060F">
      <w:pPr>
        <w:pStyle w:val="headingb"/>
        <w:rPr>
          <w:color w:val="000000"/>
        </w:rPr>
      </w:pPr>
      <w:r w:rsidRPr="00026AD3">
        <w:t>Relations</w:t>
      </w:r>
    </w:p>
    <w:p w:rsidR="00FF3716" w:rsidRPr="00026AD3" w:rsidRDefault="00FF3716" w:rsidP="001E060F">
      <w:pPr>
        <w:rPr>
          <w:lang w:eastAsia="ko-KR"/>
        </w:rPr>
      </w:pPr>
      <w:r w:rsidRPr="00026AD3">
        <w:rPr>
          <w:lang w:eastAsia="ko-KR"/>
        </w:rPr>
        <w:t xml:space="preserve">Etablir une collaboration étroite avec d'autres </w:t>
      </w:r>
      <w:r w:rsidRPr="00026AD3">
        <w:rPr>
          <w:rFonts w:eastAsia="SimSun"/>
          <w:lang w:eastAsia="zh-CN"/>
        </w:rPr>
        <w:t>commissions d'études</w:t>
      </w:r>
      <w:r w:rsidRPr="00026AD3">
        <w:rPr>
          <w:lang w:eastAsia="ko-KR"/>
        </w:rPr>
        <w:t xml:space="preserve"> de l'UIT-T (pour les services et les applications) et d'autres organisations.</w:t>
      </w:r>
    </w:p>
    <w:p w:rsidR="00FF3716" w:rsidRPr="001E060F" w:rsidRDefault="00FF3716" w:rsidP="003F5DF6">
      <w:pPr>
        <w:pStyle w:val="Heading6"/>
        <w:rPr>
          <w:lang w:eastAsia="ko-KR"/>
        </w:rPr>
      </w:pPr>
      <w:r w:rsidRPr="001E060F">
        <w:rPr>
          <w:lang w:eastAsia="ko-KR"/>
        </w:rPr>
        <w:t>Recommandations:</w:t>
      </w:r>
    </w:p>
    <w:p w:rsidR="00FF3716" w:rsidRPr="000F7DB5" w:rsidRDefault="00FF3716" w:rsidP="001E060F">
      <w:pPr>
        <w:rPr>
          <w:lang w:eastAsia="ko-KR"/>
        </w:rPr>
      </w:pPr>
      <w:r w:rsidRPr="000F7DB5">
        <w:rPr>
          <w:lang w:eastAsia="ko-KR"/>
        </w:rPr>
        <w:t>Questions:</w:t>
      </w:r>
      <w:r w:rsidR="000F7DB5" w:rsidRPr="000F7DB5">
        <w:rPr>
          <w:lang w:eastAsia="ko-KR"/>
        </w:rPr>
        <w:t xml:space="preserve"> Q.3/13, Q.4/13 et Q.5/13</w:t>
      </w:r>
      <w:r w:rsidRPr="000F7DB5">
        <w:rPr>
          <w:lang w:eastAsia="ko-KR"/>
        </w:rPr>
        <w:tab/>
      </w:r>
    </w:p>
    <w:p w:rsidR="00FF3716" w:rsidRDefault="00FF3716" w:rsidP="001E060F">
      <w:pPr>
        <w:rPr>
          <w:lang w:eastAsia="ko-KR"/>
        </w:rPr>
      </w:pPr>
      <w:r w:rsidRPr="00026AD3">
        <w:rPr>
          <w:rFonts w:eastAsia="SimSun"/>
          <w:lang w:eastAsia="zh-CN"/>
        </w:rPr>
        <w:t>Commissions d'études</w:t>
      </w:r>
      <w:r w:rsidRPr="00026AD3">
        <w:rPr>
          <w:lang w:eastAsia="ko-KR"/>
        </w:rPr>
        <w:t>:</w:t>
      </w:r>
      <w:r w:rsidR="000F7DB5" w:rsidRPr="000F7DB5">
        <w:rPr>
          <w:lang w:eastAsia="ko-KR"/>
        </w:rPr>
        <w:t xml:space="preserve"> </w:t>
      </w:r>
      <w:r w:rsidR="000F7DB5">
        <w:rPr>
          <w:lang w:eastAsia="ko-KR"/>
        </w:rPr>
        <w:t>Commissions d</w:t>
      </w:r>
      <w:r w:rsidR="0092355A">
        <w:rPr>
          <w:lang w:eastAsia="ko-KR"/>
        </w:rPr>
        <w:t>'</w:t>
      </w:r>
      <w:r w:rsidR="000F7DB5">
        <w:rPr>
          <w:lang w:eastAsia="ko-KR"/>
        </w:rPr>
        <w:t>études</w:t>
      </w:r>
      <w:r w:rsidR="0092355A">
        <w:rPr>
          <w:lang w:eastAsia="ko-KR"/>
        </w:rPr>
        <w:t xml:space="preserve"> </w:t>
      </w:r>
      <w:r w:rsidR="000F7DB5" w:rsidRPr="00026AD3">
        <w:rPr>
          <w:lang w:eastAsia="ko-KR"/>
        </w:rPr>
        <w:t>9, 16 et 17 de l'UIT-T</w:t>
      </w:r>
      <w:r w:rsidR="000F7DB5">
        <w:rPr>
          <w:lang w:eastAsia="ko-KR"/>
        </w:rPr>
        <w:t xml:space="preserve"> et Commissions d</w:t>
      </w:r>
      <w:r w:rsidR="0092355A">
        <w:rPr>
          <w:lang w:eastAsia="ko-KR"/>
        </w:rPr>
        <w:t>'</w:t>
      </w:r>
      <w:r w:rsidR="000F7DB5">
        <w:rPr>
          <w:lang w:eastAsia="ko-KR"/>
        </w:rPr>
        <w:t>études</w:t>
      </w:r>
      <w:r w:rsidR="0092355A">
        <w:rPr>
          <w:lang w:eastAsia="ko-KR"/>
        </w:rPr>
        <w:t xml:space="preserve"> </w:t>
      </w:r>
      <w:r w:rsidR="000F7DB5">
        <w:rPr>
          <w:lang w:eastAsia="ko-KR"/>
        </w:rPr>
        <w:t>1 et 2 de l</w:t>
      </w:r>
      <w:r w:rsidR="0092355A">
        <w:rPr>
          <w:lang w:eastAsia="ko-KR"/>
        </w:rPr>
        <w:t>'</w:t>
      </w:r>
      <w:r w:rsidR="000F7DB5">
        <w:rPr>
          <w:lang w:eastAsia="ko-KR"/>
        </w:rPr>
        <w:t>UIT-D.</w:t>
      </w:r>
    </w:p>
    <w:p w:rsidR="00FF3716" w:rsidRPr="00026AD3" w:rsidRDefault="00FF3716" w:rsidP="001E060F">
      <w:pPr>
        <w:rPr>
          <w:lang w:eastAsia="ko-KR"/>
        </w:rPr>
      </w:pPr>
      <w:r w:rsidRPr="00026AD3">
        <w:t>Organismes de normalisation, forums et consortiums:</w:t>
      </w:r>
    </w:p>
    <w:p w:rsidR="00FF3716" w:rsidRPr="00026AD3" w:rsidRDefault="00FF3716" w:rsidP="001E060F">
      <w:pPr>
        <w:pStyle w:val="enumlev1"/>
        <w:rPr>
          <w:lang w:eastAsia="ko-KR"/>
        </w:rPr>
      </w:pPr>
      <w:r>
        <w:rPr>
          <w:lang w:eastAsia="ko-KR"/>
        </w:rPr>
        <w:t>•</w:t>
      </w:r>
      <w:r w:rsidRPr="00026AD3">
        <w:rPr>
          <w:lang w:eastAsia="ko-KR"/>
        </w:rPr>
        <w:tab/>
        <w:t>ISO pour l'informatique et les équipements électroniques</w:t>
      </w:r>
    </w:p>
    <w:p w:rsidR="00FF3716" w:rsidRPr="00026AD3" w:rsidRDefault="00FF3716" w:rsidP="001E060F">
      <w:pPr>
        <w:pStyle w:val="enumlev1"/>
        <w:rPr>
          <w:lang w:eastAsia="ko-KR"/>
        </w:rPr>
      </w:pPr>
      <w:r>
        <w:rPr>
          <w:lang w:eastAsia="ko-KR"/>
        </w:rPr>
        <w:t>•</w:t>
      </w:r>
      <w:r w:rsidRPr="00026AD3">
        <w:rPr>
          <w:lang w:eastAsia="ko-KR"/>
        </w:rPr>
        <w:tab/>
        <w:t>IEEE</w:t>
      </w:r>
    </w:p>
    <w:p w:rsidR="00FF3716" w:rsidRPr="00026AD3" w:rsidRDefault="00FF3716" w:rsidP="001E060F">
      <w:pPr>
        <w:pStyle w:val="enumlev1"/>
        <w:rPr>
          <w:lang w:eastAsia="ko-KR"/>
        </w:rPr>
      </w:pPr>
      <w:r>
        <w:rPr>
          <w:lang w:eastAsia="ko-KR"/>
        </w:rPr>
        <w:t>•</w:t>
      </w:r>
      <w:r w:rsidRPr="00026AD3">
        <w:rPr>
          <w:lang w:eastAsia="ko-KR"/>
        </w:rPr>
        <w:tab/>
        <w:t>IETF</w:t>
      </w:r>
    </w:p>
    <w:p w:rsidR="00FF3716" w:rsidRPr="00026AD3" w:rsidRDefault="00FF3716" w:rsidP="001E060F">
      <w:pPr>
        <w:pStyle w:val="enumlev1"/>
        <w:rPr>
          <w:lang w:eastAsia="ko-KR"/>
        </w:rPr>
      </w:pPr>
      <w:r>
        <w:rPr>
          <w:lang w:eastAsia="ko-KR"/>
        </w:rPr>
        <w:t>•</w:t>
      </w:r>
      <w:r w:rsidRPr="00026AD3">
        <w:rPr>
          <w:lang w:eastAsia="ko-KR"/>
        </w:rPr>
        <w:tab/>
        <w:t>ETSI</w:t>
      </w:r>
    </w:p>
    <w:p w:rsidR="00FF3716" w:rsidRPr="00026AD3" w:rsidRDefault="00FF3716" w:rsidP="001E060F">
      <w:pPr>
        <w:pStyle w:val="enumlev1"/>
        <w:rPr>
          <w:lang w:eastAsia="ko-KR"/>
        </w:rPr>
      </w:pPr>
      <w:r>
        <w:rPr>
          <w:lang w:eastAsia="ko-KR"/>
        </w:rPr>
        <w:t>•</w:t>
      </w:r>
      <w:r w:rsidRPr="00026AD3">
        <w:rPr>
          <w:lang w:eastAsia="ko-KR"/>
        </w:rPr>
        <w:tab/>
        <w:t>OMA</w:t>
      </w:r>
    </w:p>
    <w:p w:rsidR="00FF3716" w:rsidRPr="00026AD3" w:rsidRDefault="00FF3716" w:rsidP="001E060F">
      <w:pPr>
        <w:pStyle w:val="enumlev1"/>
        <w:rPr>
          <w:lang w:eastAsia="ko-KR"/>
        </w:rPr>
      </w:pPr>
      <w:r>
        <w:rPr>
          <w:lang w:eastAsia="ko-KR"/>
        </w:rPr>
        <w:t>•</w:t>
      </w:r>
      <w:r w:rsidRPr="00026AD3">
        <w:rPr>
          <w:lang w:eastAsia="ko-KR"/>
        </w:rPr>
        <w:tab/>
        <w:t>W3C</w:t>
      </w:r>
    </w:p>
    <w:p w:rsidR="00FF3716" w:rsidRDefault="00FF3716" w:rsidP="001E060F">
      <w:pPr>
        <w:pStyle w:val="enumlev1"/>
        <w:rPr>
          <w:lang w:eastAsia="ko-KR"/>
        </w:rPr>
      </w:pPr>
      <w:r>
        <w:rPr>
          <w:lang w:eastAsia="ko-KR"/>
        </w:rPr>
        <w:t>•</w:t>
      </w:r>
      <w:r w:rsidRPr="00026AD3">
        <w:rPr>
          <w:lang w:eastAsia="ko-KR"/>
        </w:rPr>
        <w:tab/>
        <w:t>OASIS</w:t>
      </w:r>
    </w:p>
    <w:p w:rsidR="000F7DB5" w:rsidRPr="0094324A" w:rsidRDefault="001E060F" w:rsidP="007640A4">
      <w:pPr>
        <w:rPr>
          <w:lang w:eastAsia="ko-KR"/>
        </w:rPr>
      </w:pPr>
      <w:r w:rsidRPr="001E060F">
        <w:rPr>
          <w:lang w:eastAsia="ko-KR"/>
        </w:rPr>
        <w:t xml:space="preserve">NOTE – </w:t>
      </w:r>
      <w:r w:rsidR="0094324A">
        <w:rPr>
          <w:lang w:eastAsia="ko-KR"/>
        </w:rPr>
        <w:t xml:space="preserve">Une forte synergie existe entre les </w:t>
      </w:r>
      <w:r w:rsidR="0094324A" w:rsidRPr="0094324A">
        <w:rPr>
          <w:lang w:eastAsia="ko-KR"/>
        </w:rPr>
        <w:t>Questions 13/13 et 14/13</w:t>
      </w:r>
      <w:r w:rsidR="0094324A">
        <w:rPr>
          <w:lang w:eastAsia="ko-KR"/>
        </w:rPr>
        <w:t>, qui sont liées du point de vue du sujet technique à l</w:t>
      </w:r>
      <w:r w:rsidR="0092355A">
        <w:rPr>
          <w:lang w:eastAsia="ko-KR"/>
        </w:rPr>
        <w:t>'</w:t>
      </w:r>
      <w:r w:rsidR="0094324A">
        <w:rPr>
          <w:lang w:eastAsia="ko-KR"/>
        </w:rPr>
        <w:t>étude et relèvent du même Groupe de travail. La Commission d</w:t>
      </w:r>
      <w:r w:rsidR="0092355A">
        <w:rPr>
          <w:lang w:eastAsia="ko-KR"/>
        </w:rPr>
        <w:t>'</w:t>
      </w:r>
      <w:r w:rsidR="0094324A">
        <w:rPr>
          <w:lang w:eastAsia="ko-KR"/>
        </w:rPr>
        <w:t>études 13 a par conséquent décidé de regrouper ces deux Questions en une nouvelle Question 24/13 et de supprimer les Questions 13/13 et 1</w:t>
      </w:r>
      <w:r w:rsidR="007640A4">
        <w:rPr>
          <w:lang w:eastAsia="ko-KR"/>
        </w:rPr>
        <w:t>4</w:t>
      </w:r>
      <w:r w:rsidR="0094324A">
        <w:rPr>
          <w:lang w:eastAsia="ko-KR"/>
        </w:rPr>
        <w:t>/1</w:t>
      </w:r>
      <w:r w:rsidR="007640A4">
        <w:rPr>
          <w:lang w:eastAsia="ko-KR"/>
        </w:rPr>
        <w:t>3</w:t>
      </w:r>
      <w:r w:rsidR="0094324A">
        <w:rPr>
          <w:lang w:eastAsia="ko-KR"/>
        </w:rPr>
        <w:t xml:space="preserve"> (voir la Circulaire 168 relative à la proposition de suppression).</w:t>
      </w:r>
    </w:p>
    <w:p w:rsidR="00161238" w:rsidRDefault="00161238" w:rsidP="001E060F">
      <w:pPr>
        <w:spacing w:before="720"/>
        <w:rPr>
          <w:b/>
          <w:bCs/>
        </w:rPr>
      </w:pPr>
      <w:r>
        <w:rPr>
          <w:b/>
          <w:bCs/>
        </w:rPr>
        <w:br w:type="page"/>
      </w:r>
    </w:p>
    <w:p w:rsidR="00161238" w:rsidRPr="00042D68" w:rsidRDefault="00161238" w:rsidP="00161238">
      <w:pPr>
        <w:pStyle w:val="Annex"/>
      </w:pPr>
      <w:r w:rsidRPr="00042D68">
        <w:lastRenderedPageBreak/>
        <w:t>ANNEXE 2</w:t>
      </w:r>
    </w:p>
    <w:p w:rsidR="00161238" w:rsidRPr="00042D68" w:rsidRDefault="00161238" w:rsidP="00161238">
      <w:pPr>
        <w:jc w:val="center"/>
      </w:pPr>
      <w:r w:rsidRPr="00042D68">
        <w:t>(de la Circulaire TSB 167)</w:t>
      </w:r>
    </w:p>
    <w:p w:rsidR="00161238" w:rsidRDefault="00161238" w:rsidP="00161238">
      <w:pPr>
        <w:pStyle w:val="headingb"/>
      </w:pPr>
      <w:r>
        <w:t>Question 25/13 – Coordination, planification et terminologie</w:t>
      </w:r>
    </w:p>
    <w:p w:rsidR="00161238" w:rsidRDefault="00161238" w:rsidP="00161238">
      <w:r w:rsidRPr="00042D68">
        <w:t>(Fusion des Questions 1/13 et 2/13)</w:t>
      </w:r>
    </w:p>
    <w:p w:rsidR="00161238" w:rsidRPr="00026AD3" w:rsidRDefault="00161238" w:rsidP="00161238">
      <w:pPr>
        <w:pStyle w:val="headingb"/>
      </w:pPr>
      <w:r w:rsidRPr="00026AD3">
        <w:t>Motifs</w:t>
      </w:r>
    </w:p>
    <w:p w:rsidR="00161238" w:rsidRPr="00026AD3" w:rsidRDefault="00161238" w:rsidP="00161238">
      <w:r w:rsidRPr="00026AD3">
        <w:t>L'</w:t>
      </w:r>
      <w:r>
        <w:t xml:space="preserve">un des </w:t>
      </w:r>
      <w:r w:rsidRPr="00026AD3">
        <w:t>objectif</w:t>
      </w:r>
      <w:r>
        <w:t>s</w:t>
      </w:r>
      <w:r w:rsidRPr="00026AD3">
        <w:t xml:space="preserve"> majeur</w:t>
      </w:r>
      <w:r>
        <w:t>s</w:t>
      </w:r>
      <w:r w:rsidRPr="00026AD3">
        <w:t xml:space="preserve"> </w:t>
      </w:r>
      <w:r>
        <w:t>de</w:t>
      </w:r>
      <w:r w:rsidRPr="00026AD3">
        <w:t xml:space="preserve"> l'évolution des réseaux mis en </w:t>
      </w:r>
      <w:proofErr w:type="spellStart"/>
      <w:r w:rsidRPr="00026AD3">
        <w:t>oeuvre</w:t>
      </w:r>
      <w:proofErr w:type="spellEnd"/>
      <w:r w:rsidRPr="00026AD3">
        <w:t xml:space="preserve"> est de faciliter la convergence des réseaux et des services. Il s'agit là d'un processus complexe, de sorte qu'il est nécessaire de coordonner les activités de l'UIT-T relatives à l'évolution des réseaux existants, et notamment d'élaborer des lignes directrices et des normes de mise en </w:t>
      </w:r>
      <w:proofErr w:type="spellStart"/>
      <w:r w:rsidRPr="00026AD3">
        <w:t>oeuvre</w:t>
      </w:r>
      <w:proofErr w:type="spellEnd"/>
      <w:r w:rsidRPr="00026AD3">
        <w:t xml:space="preserve"> pour faciliter l'évolution des réseaux actuels.</w:t>
      </w:r>
    </w:p>
    <w:p w:rsidR="00161238" w:rsidRPr="00026AD3" w:rsidRDefault="00161238" w:rsidP="00161238">
      <w:r w:rsidRPr="00026AD3">
        <w:t xml:space="preserve">Pendant la période d'études 2005-2008, une fonction de coordination et de planification de la mise en </w:t>
      </w:r>
      <w:proofErr w:type="spellStart"/>
      <w:r w:rsidRPr="00026AD3">
        <w:t>oeuvre</w:t>
      </w:r>
      <w:proofErr w:type="spellEnd"/>
      <w:r w:rsidRPr="00026AD3">
        <w:t xml:space="preserve"> des réseaux NGN a été créée et un certain nombre de Recommandations appuyant ce processus ont été élaborées, sans compter de nombreuses autres Recommandations en cours d'élaboration.</w:t>
      </w:r>
    </w:p>
    <w:p w:rsidR="00161238" w:rsidRPr="00026AD3" w:rsidRDefault="00161238" w:rsidP="00161238">
      <w:r w:rsidRPr="00026AD3">
        <w:t>Des demandes portant sur de nouveaux sujets d'étude comme la TVIP</w:t>
      </w:r>
      <w:r>
        <w:t>, les réseaux intelligents, les réseaux ubiquitaires, les réseaux futurs, etc.</w:t>
      </w:r>
      <w:r w:rsidR="007640A4">
        <w:t>,</w:t>
      </w:r>
      <w:r>
        <w:t xml:space="preserve"> ont été formulées</w:t>
      </w:r>
      <w:r w:rsidRPr="00026AD3">
        <w:t>. Il est reconnu qu'il existe un</w:t>
      </w:r>
      <w:r>
        <w:t xml:space="preserve"> réel</w:t>
      </w:r>
      <w:r w:rsidRPr="00026AD3">
        <w:t xml:space="preserve"> besoin de disposer d'une fonction de coordination et de planification pour favoriser l'évolution en cours des réseaux.</w:t>
      </w:r>
    </w:p>
    <w:p w:rsidR="00161238" w:rsidRPr="00026AD3" w:rsidRDefault="00161238" w:rsidP="004E5103">
      <w:r>
        <w:t>En outre, é</w:t>
      </w:r>
      <w:r w:rsidRPr="00026AD3">
        <w:t xml:space="preserve">tant donné que les </w:t>
      </w:r>
      <w:r>
        <w:t xml:space="preserve">réseaux et les applications IP </w:t>
      </w:r>
      <w:r w:rsidRPr="00026AD3">
        <w:t xml:space="preserve">prennent de l'importance dans l'industrie, on assiste au développement d'une nouvelle </w:t>
      </w:r>
      <w:r>
        <w:t>terminologie</w:t>
      </w:r>
      <w:r w:rsidRPr="00026AD3">
        <w:t xml:space="preserve"> dans la mise au point des normes. </w:t>
      </w:r>
      <w:r>
        <w:t>L</w:t>
      </w:r>
      <w:r w:rsidRPr="00026AD3">
        <w:t>'UIT-T élaborer</w:t>
      </w:r>
      <w:r>
        <w:t>a</w:t>
      </w:r>
      <w:r w:rsidRPr="00026AD3">
        <w:t xml:space="preserve"> sa propre terminologie et </w:t>
      </w:r>
      <w:r>
        <w:t xml:space="preserve">précisera les </w:t>
      </w:r>
      <w:r w:rsidRPr="00026AD3">
        <w:t xml:space="preserve">définitions </w:t>
      </w:r>
      <w:r>
        <w:t>des termes</w:t>
      </w:r>
      <w:r w:rsidR="004E5103">
        <w:t xml:space="preserve"> actuellement utilisé</w:t>
      </w:r>
      <w:r>
        <w:t>s</w:t>
      </w:r>
      <w:r w:rsidRPr="00026AD3">
        <w:t xml:space="preserve">. Afin d'établir un langage commun dans l'industrie </w:t>
      </w:r>
      <w:r w:rsidR="004E5103">
        <w:t>–</w:t>
      </w:r>
      <w:r w:rsidRPr="00026AD3">
        <w:t xml:space="preserve"> dans laquelle l'UIT joue un rôle fondamental </w:t>
      </w:r>
      <w:r>
        <w:t>–</w:t>
      </w:r>
      <w:r w:rsidRPr="00026AD3">
        <w:t xml:space="preserve"> il est essentiel de </w:t>
      </w:r>
      <w:r>
        <w:t xml:space="preserve">faire en sorte </w:t>
      </w:r>
      <w:r w:rsidRPr="00026AD3">
        <w:t>que chaque concept, élément d'architecture, intervention de protocole, élément d'équipement, etc., soit désigné par un terme unique. Lorsque plusieurs termes ont déjà été définis pour un même élément, il importe d'indiquer tous les synonymes applicables à une notion donnée.</w:t>
      </w:r>
    </w:p>
    <w:p w:rsidR="00161238" w:rsidRDefault="00161238" w:rsidP="004E5103">
      <w:r w:rsidRPr="00026AD3">
        <w:t>Cette Question a pour objet d'étudier les besoins associés à la prise en charge actuelle de cette fonction de coordination et de planification</w:t>
      </w:r>
      <w:r>
        <w:t xml:space="preserve">, </w:t>
      </w:r>
      <w:r w:rsidR="007640A4">
        <w:t xml:space="preserve">et </w:t>
      </w:r>
      <w:r>
        <w:t>d'unifier et préciser la terminologie.</w:t>
      </w:r>
    </w:p>
    <w:p w:rsidR="00161238" w:rsidRDefault="00161238" w:rsidP="00161238">
      <w:r>
        <w:t xml:space="preserve">Concernant la coordination et la planification, les </w:t>
      </w:r>
      <w:r w:rsidRPr="00026AD3">
        <w:t>Recommandations relevant de cette Question</w:t>
      </w:r>
      <w:r>
        <w:t xml:space="preserve"> sont les suivantes</w:t>
      </w:r>
      <w:r w:rsidRPr="00026AD3">
        <w:t xml:space="preserve">: Y.2006, Description de l'ensemble de capacités 1 pour la version 1 des réseaux de prochaine génération; </w:t>
      </w:r>
      <w:r>
        <w:t xml:space="preserve">Y.2007, </w:t>
      </w:r>
      <w:r w:rsidRPr="004D307C">
        <w:rPr>
          <w:rStyle w:val="Strong"/>
          <w:szCs w:val="24"/>
        </w:rPr>
        <w:t>Ensemble de capacités 2 des réseaux de prochaine génération</w:t>
      </w:r>
      <w:r>
        <w:t xml:space="preserve">; </w:t>
      </w:r>
      <w:r w:rsidRPr="00026AD3">
        <w:t>Supplément 1 à la série Y – Série UIT-T Y.2000: Supplément sur le domaine d'application de la version 1 des réseaux de prochaine génération; Supplément 5 à la série Y – Série Y.1900: Supplément sur les cas d'utilisation du service de TVIP</w:t>
      </w:r>
      <w:r>
        <w:t xml:space="preserve">; </w:t>
      </w:r>
      <w:r w:rsidRPr="00026AD3">
        <w:t>Supplément</w:t>
      </w:r>
      <w:r>
        <w:t xml:space="preserve"> 7</w:t>
      </w:r>
      <w:r w:rsidRPr="00026AD3">
        <w:t xml:space="preserve"> à la série Y – Série UIT-T Y.2000: Supplément sur le domaine d'application de la version 2 des réseaux de prochaine génération.</w:t>
      </w:r>
    </w:p>
    <w:p w:rsidR="00161238" w:rsidRPr="00026AD3" w:rsidRDefault="00161238" w:rsidP="00161238">
      <w:r>
        <w:t xml:space="preserve">Concernant la terminologie, les </w:t>
      </w:r>
      <w:r w:rsidRPr="00026AD3">
        <w:t>Recommandations relevant de cette Question</w:t>
      </w:r>
      <w:r>
        <w:t xml:space="preserve"> sont les suivantes</w:t>
      </w:r>
      <w:r w:rsidRPr="00026AD3">
        <w:t>:</w:t>
      </w:r>
      <w:r w:rsidRPr="004D307C">
        <w:t xml:space="preserve"> </w:t>
      </w:r>
      <w:r>
        <w:t>Y.101</w:t>
      </w:r>
      <w:r w:rsidRPr="00026AD3">
        <w:t>,</w:t>
      </w:r>
      <w:r w:rsidRPr="004D307C">
        <w:t xml:space="preserve"> </w:t>
      </w:r>
      <w:r w:rsidRPr="00026AD3">
        <w:t>Y.20</w:t>
      </w:r>
      <w:r>
        <w:t>91 et</w:t>
      </w:r>
      <w:r w:rsidRPr="004D307C">
        <w:t xml:space="preserve"> </w:t>
      </w:r>
      <w:r w:rsidRPr="00026AD3">
        <w:t>Y.</w:t>
      </w:r>
      <w:r>
        <w:t>1991.</w:t>
      </w:r>
    </w:p>
    <w:p w:rsidR="00161238" w:rsidRPr="00026AD3" w:rsidRDefault="00161238" w:rsidP="00161238">
      <w:pPr>
        <w:pStyle w:val="headingb"/>
      </w:pPr>
      <w:r w:rsidRPr="00026AD3">
        <w:t>Question</w:t>
      </w:r>
    </w:p>
    <w:p w:rsidR="00161238" w:rsidRPr="00026AD3" w:rsidRDefault="00161238" w:rsidP="00161238">
      <w:r w:rsidRPr="00026AD3">
        <w:t>Les sujets à étudier sont notamment les suivants (la liste n'est pas exhaustive):</w:t>
      </w:r>
    </w:p>
    <w:p w:rsidR="00161238" w:rsidRPr="00026AD3" w:rsidRDefault="00161238" w:rsidP="00161238">
      <w:pPr>
        <w:pStyle w:val="enumlev1"/>
      </w:pPr>
      <w:r w:rsidRPr="00026AD3">
        <w:t>•</w:t>
      </w:r>
      <w:r w:rsidRPr="00026AD3">
        <w:tab/>
        <w:t>faire en sorte que tous les éléments requis pour assurer l'interopérabilité et les capacités du réseau permettant de prendre en charge des applications au niveau mondial dans les réseaux</w:t>
      </w:r>
      <w:r w:rsidR="00D74B0A">
        <w:t xml:space="preserve"> </w:t>
      </w:r>
      <w:r w:rsidRPr="00026AD3">
        <w:t>soient traités dans le cadre des activités de normalisation de l'UIT-T;</w:t>
      </w:r>
    </w:p>
    <w:p w:rsidR="00161238" w:rsidRPr="00026AD3" w:rsidRDefault="00161238" w:rsidP="00161238">
      <w:pPr>
        <w:pStyle w:val="enumlev1"/>
      </w:pPr>
      <w:r w:rsidRPr="00026AD3">
        <w:t>•</w:t>
      </w:r>
      <w:r w:rsidRPr="00026AD3">
        <w:tab/>
        <w:t>assurer la coordination du développement futur des réseaux en coopération avec les Commissions d'études de l'UIT</w:t>
      </w:r>
      <w:r>
        <w:t>-T</w:t>
      </w:r>
      <w:r w:rsidRPr="00026AD3">
        <w:t xml:space="preserve"> et d'autres organisations de normalisation (SDO), par exemple, l'IETF;</w:t>
      </w:r>
    </w:p>
    <w:p w:rsidR="00161238" w:rsidRPr="00026AD3" w:rsidRDefault="00161238" w:rsidP="00161238">
      <w:pPr>
        <w:pStyle w:val="enumlev1"/>
      </w:pPr>
      <w:r w:rsidRPr="00026AD3">
        <w:lastRenderedPageBreak/>
        <w:t>•</w:t>
      </w:r>
      <w:r w:rsidRPr="00026AD3">
        <w:tab/>
        <w:t xml:space="preserve">assurer la coordination nécessaire pour l'interopérabilité des réseaux à satellite avec les </w:t>
      </w:r>
      <w:r>
        <w:t xml:space="preserve">réseaux </w:t>
      </w:r>
      <w:r w:rsidRPr="00026AD3">
        <w:t>NGN et/ou les réseaux futurs et l'intégration continue et totale du support de transmission satellitaire dans les réseaux publics, en tenant compte des technologies et des services émergents;</w:t>
      </w:r>
    </w:p>
    <w:p w:rsidR="00161238" w:rsidRDefault="00161238" w:rsidP="00161238">
      <w:pPr>
        <w:pStyle w:val="enumlev1"/>
      </w:pPr>
      <w:r w:rsidRPr="00026AD3">
        <w:t>•</w:t>
      </w:r>
      <w:r w:rsidRPr="00026AD3">
        <w:tab/>
        <w:t>collaborer, si nécessaire, avec d'autres SDO, pour éviter la duplication des activités de normalisation et définir, si besoin est, des travaux supplémentaires.</w:t>
      </w:r>
    </w:p>
    <w:p w:rsidR="00161238" w:rsidRPr="00026AD3" w:rsidRDefault="00161238" w:rsidP="007640A4">
      <w:pPr>
        <w:pStyle w:val="enumlev1"/>
        <w:rPr>
          <w:kern w:val="2"/>
          <w:lang w:eastAsia="ja-JP"/>
        </w:rPr>
      </w:pPr>
      <w:r w:rsidRPr="00026AD3">
        <w:rPr>
          <w:kern w:val="2"/>
          <w:lang w:eastAsia="ja-JP"/>
        </w:rPr>
        <w:t>•</w:t>
      </w:r>
      <w:r w:rsidRPr="00026AD3">
        <w:rPr>
          <w:kern w:val="2"/>
          <w:lang w:eastAsia="ja-JP"/>
        </w:rPr>
        <w:tab/>
        <w:t>Définition des concepts, éléments d'architecture, interventions de protocole, éléments d'équipement, etc., déjà désignés dans le cadre de la procédure d'appel à commentaires de l'IETF (</w:t>
      </w:r>
      <w:proofErr w:type="spellStart"/>
      <w:r w:rsidRPr="00026AD3">
        <w:rPr>
          <w:kern w:val="2"/>
          <w:lang w:eastAsia="ja-JP"/>
        </w:rPr>
        <w:t>RFCs</w:t>
      </w:r>
      <w:proofErr w:type="spellEnd"/>
      <w:r w:rsidRPr="00026AD3">
        <w:rPr>
          <w:kern w:val="2"/>
          <w:lang w:eastAsia="ja-JP"/>
        </w:rPr>
        <w:t>), dans les Recommandations UIT-T, les normes de l'ISO et les textes normatifs d'autres organisations reconnues par l'UIT-T.</w:t>
      </w:r>
    </w:p>
    <w:p w:rsidR="00161238" w:rsidRPr="00026AD3" w:rsidRDefault="00161238" w:rsidP="00161238">
      <w:pPr>
        <w:pStyle w:val="enumlev1"/>
        <w:rPr>
          <w:b/>
          <w:bCs/>
        </w:rPr>
      </w:pPr>
      <w:r w:rsidRPr="00026AD3">
        <w:rPr>
          <w:kern w:val="2"/>
          <w:lang w:eastAsia="ja-JP"/>
        </w:rPr>
        <w:t>•</w:t>
      </w:r>
      <w:r w:rsidRPr="00026AD3">
        <w:rPr>
          <w:kern w:val="2"/>
          <w:lang w:eastAsia="ja-JP"/>
        </w:rPr>
        <w:tab/>
        <w:t>En ce qui concerne les termes désignant ces concepts, éléments d'architecture, interventions de protocole et éléments d'équipement, etc., il est essentiel de parvenir à un consensus sur un nombre de termes aussi réduits que possible (de préférence un seul terme) pour une notion donnée.</w:t>
      </w:r>
    </w:p>
    <w:p w:rsidR="00161238" w:rsidRPr="00026AD3" w:rsidRDefault="00161238" w:rsidP="00161238">
      <w:pPr>
        <w:pStyle w:val="enumlev1"/>
        <w:rPr>
          <w:color w:val="000000"/>
        </w:rPr>
      </w:pPr>
      <w:r w:rsidRPr="00026AD3">
        <w:rPr>
          <w:kern w:val="2"/>
          <w:lang w:eastAsia="ja-JP"/>
        </w:rPr>
        <w:t>•</w:t>
      </w:r>
      <w:r w:rsidRPr="00026AD3">
        <w:rPr>
          <w:kern w:val="2"/>
          <w:lang w:eastAsia="ja-JP"/>
        </w:rPr>
        <w:tab/>
        <w:t>Actualisation des Recommandations existantes relatives</w:t>
      </w:r>
      <w:r>
        <w:rPr>
          <w:kern w:val="2"/>
          <w:lang w:eastAsia="ja-JP"/>
        </w:rPr>
        <w:t xml:space="preserve"> à la terminologie (</w:t>
      </w:r>
      <w:r w:rsidRPr="00026AD3">
        <w:rPr>
          <w:kern w:val="2"/>
          <w:lang w:eastAsia="ja-JP"/>
        </w:rPr>
        <w:t>Recommandations Y.101</w:t>
      </w:r>
      <w:r>
        <w:rPr>
          <w:kern w:val="2"/>
          <w:lang w:eastAsia="ja-JP"/>
        </w:rPr>
        <w:t>, Y.1991</w:t>
      </w:r>
      <w:r w:rsidRPr="00026AD3">
        <w:rPr>
          <w:kern w:val="2"/>
          <w:lang w:eastAsia="ja-JP"/>
        </w:rPr>
        <w:t xml:space="preserve"> et Y.2091).</w:t>
      </w:r>
    </w:p>
    <w:p w:rsidR="00161238" w:rsidRPr="00026AD3" w:rsidRDefault="00161238" w:rsidP="00161238">
      <w:pPr>
        <w:pStyle w:val="enumlev1"/>
        <w:rPr>
          <w:color w:val="000000"/>
        </w:rPr>
      </w:pPr>
      <w:r w:rsidRPr="00026AD3">
        <w:rPr>
          <w:kern w:val="2"/>
          <w:lang w:eastAsia="ja-JP"/>
        </w:rPr>
        <w:t>•</w:t>
      </w:r>
      <w:r w:rsidRPr="00026AD3">
        <w:rPr>
          <w:kern w:val="2"/>
          <w:lang w:eastAsia="ja-JP"/>
        </w:rPr>
        <w:tab/>
        <w:t>Elaboration de nouvelles Recommandations relatives à la terminologie ou d'autres documents, si nécessaire.</w:t>
      </w:r>
    </w:p>
    <w:p w:rsidR="00161238" w:rsidRPr="00026AD3" w:rsidRDefault="00161238" w:rsidP="00161238">
      <w:pPr>
        <w:pStyle w:val="enumlev1"/>
        <w:rPr>
          <w:color w:val="000000"/>
        </w:rPr>
      </w:pPr>
      <w:r w:rsidRPr="00026AD3">
        <w:rPr>
          <w:kern w:val="2"/>
          <w:lang w:eastAsia="ja-JP"/>
        </w:rPr>
        <w:t>•</w:t>
      </w:r>
      <w:r w:rsidRPr="00026AD3">
        <w:rPr>
          <w:kern w:val="2"/>
          <w:lang w:eastAsia="ja-JP"/>
        </w:rPr>
        <w:tab/>
        <w:t>Quelles améliorations faut-il apporter aux Recommandations existantes pour permettre de réaliser directement ou indirectement des économies d'énergie au niveau des technologies de l'information et de la communication (TIC) ou dans d'autres secteurs</w:t>
      </w:r>
      <w:r w:rsidRPr="00026AD3">
        <w:rPr>
          <w:lang w:eastAsia="ja-JP"/>
        </w:rPr>
        <w:t xml:space="preserve">? Quelles améliorations faut-il apporter </w:t>
      </w:r>
      <w:r>
        <w:rPr>
          <w:lang w:eastAsia="ja-JP"/>
        </w:rPr>
        <w:t>aux</w:t>
      </w:r>
      <w:r w:rsidRPr="0047465B">
        <w:rPr>
          <w:lang w:eastAsia="ja-JP"/>
        </w:rPr>
        <w:t xml:space="preserve"> </w:t>
      </w:r>
      <w:r w:rsidRPr="00026AD3">
        <w:rPr>
          <w:lang w:eastAsia="ja-JP"/>
        </w:rPr>
        <w:t>Recommandations</w:t>
      </w:r>
      <w:r>
        <w:rPr>
          <w:lang w:eastAsia="ja-JP"/>
        </w:rPr>
        <w:t xml:space="preserve"> en cours d'élaboration ou</w:t>
      </w:r>
      <w:r w:rsidRPr="00026AD3">
        <w:rPr>
          <w:lang w:eastAsia="ja-JP"/>
        </w:rPr>
        <w:t xml:space="preserve"> nouvelles pour permettre de réaliser ces économies?</w:t>
      </w:r>
    </w:p>
    <w:p w:rsidR="00161238" w:rsidRPr="00026AD3" w:rsidRDefault="00161238" w:rsidP="00161238">
      <w:pPr>
        <w:pStyle w:val="headingb"/>
      </w:pPr>
      <w:r w:rsidRPr="00026AD3">
        <w:t>Tâches</w:t>
      </w:r>
    </w:p>
    <w:p w:rsidR="00161238" w:rsidRPr="00026AD3" w:rsidRDefault="00161238" w:rsidP="00161238">
      <w:r w:rsidRPr="00026AD3">
        <w:t>Les tâches sont notamment les suivantes (la liste n'est pas exhaustive):</w:t>
      </w:r>
    </w:p>
    <w:p w:rsidR="00161238" w:rsidRPr="00026AD3" w:rsidRDefault="00161238" w:rsidP="00161238">
      <w:pPr>
        <w:pStyle w:val="enumlev1"/>
      </w:pPr>
      <w:r w:rsidRPr="00026AD3">
        <w:t>•</w:t>
      </w:r>
      <w:r w:rsidRPr="00026AD3">
        <w:tab/>
        <w:t>Elaborer des plans pour la coordination méthodique de l'évolution des réseaux.</w:t>
      </w:r>
    </w:p>
    <w:p w:rsidR="00161238" w:rsidRPr="00026AD3" w:rsidRDefault="00161238" w:rsidP="00161238">
      <w:pPr>
        <w:pStyle w:val="enumlev1"/>
      </w:pPr>
      <w:r w:rsidRPr="00026AD3">
        <w:t>•</w:t>
      </w:r>
      <w:r w:rsidRPr="00026AD3">
        <w:tab/>
        <w:t>Veiller à ce que les communications et la coopération entre les Commissions d'études et les forums au suje</w:t>
      </w:r>
      <w:r>
        <w:t>t des réseaux NGN, intelligents, ubiquitaires et</w:t>
      </w:r>
      <w:r w:rsidRPr="00026AD3">
        <w:t xml:space="preserve"> futurs permettent d'obtenir les résultats escomptés d'une façon officielle et en temps voulu.</w:t>
      </w:r>
    </w:p>
    <w:p w:rsidR="00161238" w:rsidRPr="00026AD3" w:rsidRDefault="00161238" w:rsidP="00161238">
      <w:pPr>
        <w:pStyle w:val="enumlev1"/>
      </w:pPr>
      <w:r w:rsidRPr="00026AD3">
        <w:t>•</w:t>
      </w:r>
      <w:r w:rsidRPr="00026AD3">
        <w:tab/>
        <w:t>Assurer la mise à jour régulière de</w:t>
      </w:r>
      <w:r>
        <w:t>s feuilles de route et de</w:t>
      </w:r>
      <w:r w:rsidRPr="00026AD3">
        <w:t xml:space="preserve"> la base de données de gestion du projet de réseaux NGN</w:t>
      </w:r>
      <w:r>
        <w:t xml:space="preserve">, </w:t>
      </w:r>
      <w:r w:rsidRPr="00026AD3">
        <w:t xml:space="preserve">de réseaux </w:t>
      </w:r>
      <w:r>
        <w:t xml:space="preserve">intelligents, </w:t>
      </w:r>
      <w:r w:rsidRPr="00026AD3">
        <w:t xml:space="preserve">de réseaux </w:t>
      </w:r>
      <w:r>
        <w:t xml:space="preserve">ubiquitaires </w:t>
      </w:r>
      <w:r w:rsidRPr="00026AD3">
        <w:t>et de réseaux futurs.</w:t>
      </w:r>
    </w:p>
    <w:p w:rsidR="00161238" w:rsidRPr="00026AD3" w:rsidRDefault="00161238" w:rsidP="00161238">
      <w:pPr>
        <w:pStyle w:val="enumlev1"/>
      </w:pPr>
      <w:r w:rsidRPr="00026AD3">
        <w:t>•</w:t>
      </w:r>
      <w:r w:rsidRPr="00026AD3">
        <w:tab/>
        <w:t>Publier des rapports d'activité.</w:t>
      </w:r>
    </w:p>
    <w:p w:rsidR="00161238" w:rsidRDefault="00161238" w:rsidP="00161238">
      <w:pPr>
        <w:pStyle w:val="enumlev1"/>
      </w:pPr>
      <w:r w:rsidRPr="00026AD3">
        <w:t>•</w:t>
      </w:r>
      <w:r w:rsidRPr="00026AD3">
        <w:tab/>
        <w:t>Apporter un appui à des ateliers et à d'autres activités, le cas échéant, pour mieux faire connaître les travaux menés par l'UIT-T sur les réseaux NGN</w:t>
      </w:r>
      <w:r>
        <w:t>, les</w:t>
      </w:r>
      <w:r w:rsidRPr="001C1634">
        <w:t xml:space="preserve"> </w:t>
      </w:r>
      <w:r w:rsidRPr="00026AD3">
        <w:t xml:space="preserve">réseaux </w:t>
      </w:r>
      <w:r>
        <w:t>intelligents, l</w:t>
      </w:r>
      <w:r w:rsidRPr="00026AD3">
        <w:t>e</w:t>
      </w:r>
      <w:r>
        <w:t>s</w:t>
      </w:r>
      <w:r w:rsidRPr="00026AD3">
        <w:t xml:space="preserve"> réseaux </w:t>
      </w:r>
      <w:r>
        <w:t>ubiquitaires</w:t>
      </w:r>
      <w:r w:rsidRPr="00026AD3">
        <w:t xml:space="preserve"> et les réseaux futurs.</w:t>
      </w:r>
    </w:p>
    <w:p w:rsidR="00161238" w:rsidRPr="001A1EC5" w:rsidRDefault="00161238" w:rsidP="007640A4">
      <w:pPr>
        <w:pStyle w:val="enumlev1"/>
        <w:rPr>
          <w:lang w:val="fr-CH"/>
        </w:rPr>
      </w:pPr>
      <w:r w:rsidRPr="001A1EC5">
        <w:rPr>
          <w:lang w:val="fr-CH"/>
        </w:rPr>
        <w:t>•</w:t>
      </w:r>
      <w:r w:rsidRPr="001A1EC5">
        <w:rPr>
          <w:lang w:val="fr-CH"/>
        </w:rPr>
        <w:tab/>
        <w:t>L</w:t>
      </w:r>
      <w:r>
        <w:rPr>
          <w:lang w:val="fr-CH"/>
        </w:rPr>
        <w:t>'ensemble des définitions et des termes</w:t>
      </w:r>
      <w:r w:rsidRPr="001A1EC5">
        <w:rPr>
          <w:lang w:val="fr-CH"/>
        </w:rPr>
        <w:t xml:space="preserve"> </w:t>
      </w:r>
      <w:r>
        <w:rPr>
          <w:lang w:val="fr-CH"/>
        </w:rPr>
        <w:t>devront</w:t>
      </w:r>
      <w:r w:rsidR="00B7427B">
        <w:rPr>
          <w:lang w:val="fr-CH"/>
        </w:rPr>
        <w:t xml:space="preserve"> être publié</w:t>
      </w:r>
      <w:r>
        <w:rPr>
          <w:lang w:val="fr-CH"/>
        </w:rPr>
        <w:t>s</w:t>
      </w:r>
      <w:r w:rsidRPr="001A1EC5">
        <w:rPr>
          <w:lang w:val="fr-CH"/>
        </w:rPr>
        <w:t xml:space="preserve"> dans des Recommandations UIT-T, nouvelles ou révisées, lesquelles seront rééditées régulièrement au fur et à mesure de l'évolution terminologique.</w:t>
      </w:r>
    </w:p>
    <w:p w:rsidR="00161238" w:rsidRPr="00026AD3" w:rsidRDefault="00161238" w:rsidP="00B7427B">
      <w:pPr>
        <w:pStyle w:val="headingb"/>
      </w:pPr>
      <w:r w:rsidRPr="00026AD3">
        <w:t>Relations</w:t>
      </w:r>
    </w:p>
    <w:p w:rsidR="00161238" w:rsidRPr="00B02E19" w:rsidRDefault="00161238" w:rsidP="00B7427B">
      <w:pPr>
        <w:rPr>
          <w:szCs w:val="24"/>
        </w:rPr>
      </w:pPr>
      <w:r w:rsidRPr="00B02E19">
        <w:rPr>
          <w:szCs w:val="24"/>
        </w:rPr>
        <w:t>Recommandations:</w:t>
      </w:r>
      <w:r>
        <w:rPr>
          <w:szCs w:val="24"/>
        </w:rPr>
        <w:t xml:space="preserve"> </w:t>
      </w:r>
      <w:r w:rsidRPr="00B02E19">
        <w:t>Série Y et toutes les Recommandations relatives aux réseaux futurs</w:t>
      </w:r>
    </w:p>
    <w:p w:rsidR="00161238" w:rsidRPr="00B02E19" w:rsidRDefault="00161238" w:rsidP="00B7427B">
      <w:pPr>
        <w:rPr>
          <w:szCs w:val="24"/>
        </w:rPr>
      </w:pPr>
      <w:r w:rsidRPr="00B02E19">
        <w:rPr>
          <w:szCs w:val="24"/>
        </w:rPr>
        <w:t>Questions:</w:t>
      </w:r>
      <w:r>
        <w:rPr>
          <w:szCs w:val="24"/>
        </w:rPr>
        <w:t xml:space="preserve"> </w:t>
      </w:r>
      <w:r w:rsidRPr="00B02E19">
        <w:t>Toutes les Questions relatives aux réseaux NGN</w:t>
      </w:r>
      <w:r>
        <w:t xml:space="preserve">, </w:t>
      </w:r>
      <w:r w:rsidRPr="00B02E19">
        <w:t>aux réseaux</w:t>
      </w:r>
      <w:r>
        <w:t xml:space="preserve"> intelligents, </w:t>
      </w:r>
      <w:r w:rsidRPr="00B02E19">
        <w:t xml:space="preserve">aux réseaux </w:t>
      </w:r>
      <w:r>
        <w:t xml:space="preserve">ubiquitaires </w:t>
      </w:r>
      <w:r w:rsidRPr="00B02E19">
        <w:t>et aux réseaux futurs</w:t>
      </w:r>
    </w:p>
    <w:p w:rsidR="00161238" w:rsidRPr="00B02E19" w:rsidRDefault="00161238" w:rsidP="003F5DF6">
      <w:pPr>
        <w:rPr>
          <w:szCs w:val="24"/>
        </w:rPr>
      </w:pPr>
      <w:r w:rsidRPr="00B02E19">
        <w:rPr>
          <w:szCs w:val="24"/>
        </w:rPr>
        <w:t>Commissions d'études:</w:t>
      </w:r>
      <w:r w:rsidRPr="00B02E19">
        <w:t xml:space="preserve"> </w:t>
      </w:r>
      <w:r>
        <w:t xml:space="preserve">Commissions d'études UIT-T, </w:t>
      </w:r>
      <w:bookmarkStart w:id="6" w:name="_GoBack"/>
      <w:bookmarkEnd w:id="6"/>
      <w:r w:rsidRPr="00B02E19">
        <w:t xml:space="preserve">UIT-R et </w:t>
      </w:r>
      <w:r>
        <w:t xml:space="preserve">UIT-D </w:t>
      </w:r>
      <w:r w:rsidRPr="00B02E19">
        <w:t>participant aux travaux de normalisation sur les réseaux NGN</w:t>
      </w:r>
      <w:r>
        <w:t>, les</w:t>
      </w:r>
      <w:r w:rsidRPr="00B02E19">
        <w:t xml:space="preserve"> réseaux</w:t>
      </w:r>
      <w:r>
        <w:t xml:space="preserve"> intelligents, les</w:t>
      </w:r>
      <w:r w:rsidRPr="00B02E19">
        <w:t xml:space="preserve"> réseaux </w:t>
      </w:r>
      <w:r>
        <w:t>ubiquitaires</w:t>
      </w:r>
      <w:r w:rsidRPr="00B02E19">
        <w:t xml:space="preserve"> et les réseaux futurs</w:t>
      </w:r>
    </w:p>
    <w:p w:rsidR="00161238" w:rsidRDefault="00161238" w:rsidP="00B7427B">
      <w:r w:rsidRPr="00026AD3">
        <w:rPr>
          <w:szCs w:val="24"/>
        </w:rPr>
        <w:lastRenderedPageBreak/>
        <w:t>Organismes de normalisation, forums et consortiums:</w:t>
      </w:r>
      <w:r>
        <w:t xml:space="preserve"> </w:t>
      </w:r>
      <w:r w:rsidRPr="00026AD3">
        <w:t>Liaison avec des SDO et d'autres organismes jouant un rôle da</w:t>
      </w:r>
      <w:r>
        <w:t xml:space="preserve">ns la normalisation et la mise </w:t>
      </w:r>
      <w:r w:rsidRPr="00026AD3">
        <w:t>en œuvre des réseaux NGN</w:t>
      </w:r>
      <w:r>
        <w:t>, des</w:t>
      </w:r>
      <w:r w:rsidRPr="00B02E19">
        <w:t xml:space="preserve"> réseaux intelligents, des réseaux ubiquitaires</w:t>
      </w:r>
      <w:r>
        <w:t xml:space="preserve"> </w:t>
      </w:r>
      <w:r w:rsidRPr="00026AD3">
        <w:t>et des réseaux futurs, le cas échéant.</w:t>
      </w:r>
    </w:p>
    <w:p w:rsidR="00161238" w:rsidRDefault="00B7427B" w:rsidP="00B7427B">
      <w:r w:rsidRPr="00B7427B">
        <w:t>NOTE –</w:t>
      </w:r>
      <w:r>
        <w:rPr>
          <w:b/>
          <w:bCs/>
        </w:rPr>
        <w:t xml:space="preserve"> </w:t>
      </w:r>
      <w:r w:rsidR="00161238" w:rsidRPr="00D0265B">
        <w:t xml:space="preserve">Les Questions 1/13 et 2/13 présentent de nombreux points communs du point de vue des </w:t>
      </w:r>
      <w:r w:rsidR="00161238">
        <w:t>efforts de coordination</w:t>
      </w:r>
      <w:r w:rsidR="00161238" w:rsidRPr="00D0265B">
        <w:t xml:space="preserve"> requis pour organiser cette étude</w:t>
      </w:r>
      <w:r w:rsidR="00161238">
        <w:t xml:space="preserve"> et relèvent du même Groupe de travail. Compte tenu de ce qui précède, et afin de réduire le nombre de séances parallèles et d'améliorer l'efficacité du fonctionnement des réunions, la Commission d'études 13 a décidé de </w:t>
      </w:r>
      <w:r>
        <w:t>regrouper</w:t>
      </w:r>
      <w:r w:rsidR="00161238">
        <w:t xml:space="preserve"> ces deux Question</w:t>
      </w:r>
      <w:r>
        <w:t>s</w:t>
      </w:r>
      <w:r w:rsidR="00161238">
        <w:t xml:space="preserve"> en une nouvelle Question 25/13</w:t>
      </w:r>
      <w:r w:rsidR="00D74B0A">
        <w:t xml:space="preserve"> </w:t>
      </w:r>
      <w:r w:rsidR="00161238">
        <w:t>et de supprimer les Questions 1/13 et 2/13 (voir la Circulaire 168 relative à la proposition de suppression).</w:t>
      </w:r>
    </w:p>
    <w:p w:rsidR="00B7427B" w:rsidRDefault="00B7427B" w:rsidP="00B7427B"/>
    <w:p w:rsidR="00B7427B" w:rsidRDefault="00B7427B">
      <w:pPr>
        <w:jc w:val="center"/>
      </w:pPr>
      <w:r>
        <w:t>______________</w:t>
      </w:r>
    </w:p>
    <w:p w:rsidR="00B7427B" w:rsidRDefault="00B7427B" w:rsidP="00B7427B"/>
    <w:sectPr w:rsidR="00B7427B" w:rsidSect="00CB66AE">
      <w:headerReference w:type="even" r:id="rId14"/>
      <w:headerReference w:type="default" r:id="rId15"/>
      <w:footerReference w:type="even" r:id="rId16"/>
      <w:footerReference w:type="default" r:id="rId17"/>
      <w:headerReference w:type="first" r:id="rId18"/>
      <w:footerReference w:type="first" r:id="rId19"/>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38" w:rsidRDefault="00161238">
      <w:r>
        <w:separator/>
      </w:r>
    </w:p>
  </w:endnote>
  <w:endnote w:type="continuationSeparator" w:id="0">
    <w:p w:rsidR="00161238" w:rsidRDefault="0016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Pr="00694717" w:rsidRDefault="00341A2F" w:rsidP="00810105">
    <w:pPr>
      <w:pStyle w:val="Footer"/>
      <w:rPr>
        <w:szCs w:val="18"/>
        <w:lang w:val="fr-CH"/>
      </w:rPr>
    </w:pPr>
    <w:fldSimple w:instr=" FILENAME \p  \* MERGEFORMAT ">
      <w:r w:rsidR="0057201C" w:rsidRPr="0057201C">
        <w:rPr>
          <w:noProof/>
          <w:szCs w:val="18"/>
          <w:lang w:val="fr-CH"/>
        </w:rPr>
        <w:t>M:\TSBDOC\COM13\circulaires\167F.docx</w:t>
      </w:r>
    </w:fldSimple>
    <w:r w:rsidR="00161238" w:rsidRPr="00694717">
      <w:rPr>
        <w:szCs w:val="18"/>
        <w:lang w:val="fr-CH"/>
      </w:rPr>
      <w:tab/>
    </w:r>
    <w:r w:rsidR="00161238" w:rsidRPr="00694717">
      <w:rPr>
        <w:szCs w:val="18"/>
        <w:lang w:val="fr-CH"/>
      </w:rPr>
      <w:tab/>
      <w:t>09/12/2008</w:t>
    </w:r>
  </w:p>
  <w:p w:rsidR="00161238" w:rsidRPr="00694717" w:rsidRDefault="00161238">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rsidP="0043711B">
    <w:pPr>
      <w:pBdr>
        <w:top w:val="single" w:sz="4" w:space="5" w:color="auto"/>
      </w:pBdr>
      <w:shd w:val="solid" w:color="FFFFFF" w:fill="FFFFFF"/>
      <w:tabs>
        <w:tab w:val="left" w:pos="3119"/>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161238" w:rsidRDefault="00161238" w:rsidP="0043711B">
    <w:pPr>
      <w:shd w:val="solid" w:color="FFFFFF" w:fill="FFFFFF"/>
      <w:tabs>
        <w:tab w:val="left" w:pos="2297"/>
        <w:tab w:val="left" w:pos="2552"/>
        <w:tab w:val="left" w:pos="3119"/>
        <w:tab w:val="left" w:pos="5699"/>
        <w:tab w:val="right" w:pos="9923"/>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161238" w:rsidRDefault="00161238" w:rsidP="0043711B">
    <w:pPr>
      <w:pStyle w:val="Footer"/>
      <w:tabs>
        <w:tab w:val="left" w:pos="2552"/>
        <w:tab w:val="left" w:pos="3119"/>
        <w:tab w:val="left" w:pos="6294"/>
        <w:tab w:val="right" w:pos="10858"/>
      </w:tabs>
      <w:rPr>
        <w:rFonts w:ascii="Futura Lt BT" w:hAnsi="Futura Lt BT"/>
      </w:rPr>
    </w:pPr>
    <w:r>
      <w:rPr>
        <w:rFonts w:ascii="Futura Lt BT" w:hAnsi="Futura Lt BT"/>
      </w:rPr>
      <w:t>S</w:t>
    </w:r>
    <w:r>
      <w:rPr>
        <w:rFonts w:ascii="Futura Lt BT" w:hAnsi="Futura Lt BT"/>
        <w:caps w:val="0"/>
      </w:rPr>
      <w:t>uisse</w:t>
    </w:r>
    <w:r>
      <w:rPr>
        <w:rFonts w:ascii="Futura Lt BT" w:hAnsi="Futura Lt BT"/>
      </w:rPr>
      <w:tab/>
      <w:t>G</w:t>
    </w:r>
    <w:r w:rsidRPr="00935AA8">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Pr="0057201C" w:rsidRDefault="0057201C" w:rsidP="00B7427B">
    <w:pPr>
      <w:pStyle w:val="Footer"/>
      <w:rPr>
        <w:szCs w:val="18"/>
        <w:lang w:val="fr-CH"/>
      </w:rPr>
    </w:pPr>
    <w:r w:rsidRPr="0057201C">
      <w:rPr>
        <w:lang w:val="fr-CH"/>
      </w:rPr>
      <w:t>ITU-T\BUREAU\CIRC\167F.DOC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161238" w:rsidRDefault="00161238">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161238" w:rsidRDefault="00161238">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38" w:rsidRDefault="00161238">
      <w:r>
        <w:t>____________________</w:t>
      </w:r>
    </w:p>
  </w:footnote>
  <w:footnote w:type="continuationSeparator" w:id="0">
    <w:p w:rsidR="00161238" w:rsidRDefault="0016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341A2F">
    <w:pPr>
      <w:pStyle w:val="Header"/>
      <w:framePr w:wrap="around" w:vAnchor="text" w:hAnchor="margin" w:xAlign="center" w:y="1"/>
      <w:rPr>
        <w:rStyle w:val="PageNumber"/>
      </w:rPr>
    </w:pPr>
    <w:r>
      <w:rPr>
        <w:rStyle w:val="PageNumber"/>
      </w:rPr>
      <w:fldChar w:fldCharType="begin"/>
    </w:r>
    <w:r w:rsidR="00161238">
      <w:rPr>
        <w:rStyle w:val="PageNumber"/>
      </w:rPr>
      <w:instrText xml:space="preserve">PAGE  </w:instrText>
    </w:r>
    <w:r>
      <w:rPr>
        <w:rStyle w:val="PageNumber"/>
      </w:rPr>
      <w:fldChar w:fldCharType="separate"/>
    </w:r>
    <w:r w:rsidR="00E71950">
      <w:rPr>
        <w:rStyle w:val="PageNumber"/>
        <w:noProof/>
      </w:rPr>
      <w:t>7</w:t>
    </w:r>
    <w:r>
      <w:rPr>
        <w:rStyle w:val="PageNumber"/>
      </w:rPr>
      <w:fldChar w:fldCharType="end"/>
    </w:r>
  </w:p>
  <w:p w:rsidR="00161238" w:rsidRDefault="001612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341A2F">
    <w:pPr>
      <w:pStyle w:val="Header"/>
      <w:jc w:val="right"/>
    </w:pPr>
    <w:r>
      <w:fldChar w:fldCharType="begin"/>
    </w:r>
    <w:r w:rsidR="00161238">
      <w:instrText xml:space="preserve"> PAGE  \* MERGEFORMAT </w:instrText>
    </w:r>
    <w:r>
      <w:fldChar w:fldCharType="separate"/>
    </w:r>
    <w:r w:rsidR="00E71950">
      <w:rPr>
        <w:noProof/>
      </w:rPr>
      <w:t>7</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rsidP="00C45376">
    <w:pPr>
      <w:pStyle w:val="Header"/>
      <w:tabs>
        <w:tab w:val="center" w:pos="5344"/>
        <w:tab w:val="left" w:pos="7830"/>
      </w:tabs>
      <w:spacing w:before="5880"/>
      <w:ind w:left="-198"/>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pPr>
      <w:pStyle w:val="Header"/>
    </w:pPr>
    <w:r>
      <w:t xml:space="preserve">- </w:t>
    </w:r>
    <w:r w:rsidR="00341A2F">
      <w:fldChar w:fldCharType="begin"/>
    </w:r>
    <w:r>
      <w:instrText>PAGE</w:instrText>
    </w:r>
    <w:r w:rsidR="00341A2F">
      <w:fldChar w:fldCharType="separate"/>
    </w:r>
    <w:r w:rsidR="0057201C">
      <w:rPr>
        <w:noProof/>
      </w:rPr>
      <w:t>5</w:t>
    </w:r>
    <w:r w:rsidR="00341A2F">
      <w:fldChar w:fldCharType="end"/>
    </w: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38" w:rsidRDefault="001612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85428D"/>
    <w:rsid w:val="000039EE"/>
    <w:rsid w:val="00005622"/>
    <w:rsid w:val="00035B43"/>
    <w:rsid w:val="000427C9"/>
    <w:rsid w:val="000928E6"/>
    <w:rsid w:val="000F7DB5"/>
    <w:rsid w:val="00122BBE"/>
    <w:rsid w:val="00161238"/>
    <w:rsid w:val="001E060F"/>
    <w:rsid w:val="00293A6D"/>
    <w:rsid w:val="003224A6"/>
    <w:rsid w:val="00341A2F"/>
    <w:rsid w:val="003B1E80"/>
    <w:rsid w:val="003B66E8"/>
    <w:rsid w:val="003C32DF"/>
    <w:rsid w:val="003F5DF6"/>
    <w:rsid w:val="00414B0C"/>
    <w:rsid w:val="0043711B"/>
    <w:rsid w:val="004B732E"/>
    <w:rsid w:val="004D51F4"/>
    <w:rsid w:val="004D6ECB"/>
    <w:rsid w:val="004E5103"/>
    <w:rsid w:val="005136D2"/>
    <w:rsid w:val="0057201C"/>
    <w:rsid w:val="005B1DFC"/>
    <w:rsid w:val="00601682"/>
    <w:rsid w:val="0067332E"/>
    <w:rsid w:val="00694717"/>
    <w:rsid w:val="00760063"/>
    <w:rsid w:val="007640A4"/>
    <w:rsid w:val="00772ACA"/>
    <w:rsid w:val="00775E4B"/>
    <w:rsid w:val="0079553B"/>
    <w:rsid w:val="007A3722"/>
    <w:rsid w:val="007C737E"/>
    <w:rsid w:val="007D3626"/>
    <w:rsid w:val="00810105"/>
    <w:rsid w:val="008157E0"/>
    <w:rsid w:val="0085428D"/>
    <w:rsid w:val="00887FA6"/>
    <w:rsid w:val="008B0568"/>
    <w:rsid w:val="008C4397"/>
    <w:rsid w:val="008F2C9B"/>
    <w:rsid w:val="0092355A"/>
    <w:rsid w:val="00935AA8"/>
    <w:rsid w:val="0094324A"/>
    <w:rsid w:val="00A27F2D"/>
    <w:rsid w:val="00AA58E4"/>
    <w:rsid w:val="00B7427B"/>
    <w:rsid w:val="00B9157C"/>
    <w:rsid w:val="00C26F2E"/>
    <w:rsid w:val="00C44737"/>
    <w:rsid w:val="00C45376"/>
    <w:rsid w:val="00C648F3"/>
    <w:rsid w:val="00CA0416"/>
    <w:rsid w:val="00CB1125"/>
    <w:rsid w:val="00CB66AE"/>
    <w:rsid w:val="00CD042E"/>
    <w:rsid w:val="00D62359"/>
    <w:rsid w:val="00D74B0A"/>
    <w:rsid w:val="00DD77DA"/>
    <w:rsid w:val="00DE1BAD"/>
    <w:rsid w:val="00E06C61"/>
    <w:rsid w:val="00E07141"/>
    <w:rsid w:val="00E71950"/>
    <w:rsid w:val="00E72AE1"/>
    <w:rsid w:val="00ED03BB"/>
    <w:rsid w:val="00F346CE"/>
    <w:rsid w:val="00FF3716"/>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6A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B66A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B66AE"/>
    <w:pPr>
      <w:spacing w:before="320"/>
      <w:outlineLvl w:val="1"/>
    </w:pPr>
  </w:style>
  <w:style w:type="paragraph" w:styleId="Heading3">
    <w:name w:val="heading 3"/>
    <w:basedOn w:val="Heading1"/>
    <w:next w:val="Normal"/>
    <w:qFormat/>
    <w:rsid w:val="00CB66AE"/>
    <w:pPr>
      <w:spacing w:before="200"/>
      <w:outlineLvl w:val="2"/>
    </w:pPr>
  </w:style>
  <w:style w:type="paragraph" w:styleId="Heading4">
    <w:name w:val="heading 4"/>
    <w:basedOn w:val="Heading3"/>
    <w:next w:val="Normal"/>
    <w:qFormat/>
    <w:rsid w:val="00CB66AE"/>
    <w:pPr>
      <w:tabs>
        <w:tab w:val="clear" w:pos="794"/>
        <w:tab w:val="left" w:pos="1191"/>
      </w:tabs>
      <w:ind w:left="993" w:hanging="993"/>
      <w:outlineLvl w:val="3"/>
    </w:pPr>
  </w:style>
  <w:style w:type="paragraph" w:styleId="Heading5">
    <w:name w:val="heading 5"/>
    <w:basedOn w:val="Heading3"/>
    <w:next w:val="Normal"/>
    <w:qFormat/>
    <w:rsid w:val="00CB66AE"/>
    <w:pPr>
      <w:tabs>
        <w:tab w:val="clear" w:pos="794"/>
        <w:tab w:val="left" w:pos="1191"/>
      </w:tabs>
      <w:outlineLvl w:val="4"/>
    </w:pPr>
  </w:style>
  <w:style w:type="paragraph" w:styleId="Heading6">
    <w:name w:val="heading 6"/>
    <w:basedOn w:val="Heading3"/>
    <w:next w:val="Normal"/>
    <w:qFormat/>
    <w:rsid w:val="00CB66AE"/>
    <w:pPr>
      <w:tabs>
        <w:tab w:val="clear" w:pos="794"/>
        <w:tab w:val="left" w:pos="1191"/>
      </w:tabs>
      <w:outlineLvl w:val="5"/>
    </w:pPr>
  </w:style>
  <w:style w:type="paragraph" w:styleId="Heading7">
    <w:name w:val="heading 7"/>
    <w:basedOn w:val="Heading3"/>
    <w:next w:val="Normal"/>
    <w:qFormat/>
    <w:rsid w:val="00CB66AE"/>
    <w:pPr>
      <w:tabs>
        <w:tab w:val="clear" w:pos="794"/>
        <w:tab w:val="left" w:pos="1191"/>
      </w:tabs>
      <w:outlineLvl w:val="6"/>
    </w:pPr>
  </w:style>
  <w:style w:type="paragraph" w:styleId="Heading8">
    <w:name w:val="heading 8"/>
    <w:basedOn w:val="Heading3"/>
    <w:next w:val="Normal"/>
    <w:qFormat/>
    <w:rsid w:val="00CB66AE"/>
    <w:pPr>
      <w:tabs>
        <w:tab w:val="clear" w:pos="794"/>
        <w:tab w:val="left" w:pos="1191"/>
      </w:tabs>
      <w:outlineLvl w:val="7"/>
    </w:pPr>
  </w:style>
  <w:style w:type="paragraph" w:styleId="Heading9">
    <w:name w:val="heading 9"/>
    <w:basedOn w:val="Heading3"/>
    <w:next w:val="Normal"/>
    <w:qFormat/>
    <w:rsid w:val="00CB66A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B66AE"/>
  </w:style>
  <w:style w:type="paragraph" w:styleId="TOC7">
    <w:name w:val="toc 7"/>
    <w:basedOn w:val="TOC3"/>
    <w:semiHidden/>
    <w:rsid w:val="00CB66AE"/>
  </w:style>
  <w:style w:type="paragraph" w:styleId="TOC6">
    <w:name w:val="toc 6"/>
    <w:basedOn w:val="TOC3"/>
    <w:semiHidden/>
    <w:rsid w:val="00CB66AE"/>
  </w:style>
  <w:style w:type="paragraph" w:styleId="TOC5">
    <w:name w:val="toc 5"/>
    <w:basedOn w:val="TOC3"/>
    <w:semiHidden/>
    <w:rsid w:val="00CB66AE"/>
  </w:style>
  <w:style w:type="paragraph" w:styleId="TOC4">
    <w:name w:val="toc 4"/>
    <w:basedOn w:val="TOC3"/>
    <w:semiHidden/>
    <w:rsid w:val="00CB66AE"/>
  </w:style>
  <w:style w:type="paragraph" w:styleId="TOC3">
    <w:name w:val="toc 3"/>
    <w:basedOn w:val="TOC2"/>
    <w:semiHidden/>
    <w:rsid w:val="00CB66AE"/>
    <w:pPr>
      <w:spacing w:before="80"/>
    </w:pPr>
  </w:style>
  <w:style w:type="paragraph" w:styleId="TOC2">
    <w:name w:val="toc 2"/>
    <w:basedOn w:val="TOC1"/>
    <w:semiHidden/>
    <w:rsid w:val="00CB66AE"/>
    <w:pPr>
      <w:spacing w:before="120"/>
    </w:pPr>
  </w:style>
  <w:style w:type="paragraph" w:styleId="TOC1">
    <w:name w:val="toc 1"/>
    <w:basedOn w:val="Normal"/>
    <w:semiHidden/>
    <w:rsid w:val="00CB66A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B66AE"/>
    <w:pPr>
      <w:ind w:left="1698"/>
    </w:pPr>
  </w:style>
  <w:style w:type="paragraph" w:styleId="Index6">
    <w:name w:val="index 6"/>
    <w:basedOn w:val="Normal"/>
    <w:next w:val="Normal"/>
    <w:semiHidden/>
    <w:rsid w:val="00CB66AE"/>
    <w:pPr>
      <w:ind w:left="1415"/>
    </w:pPr>
  </w:style>
  <w:style w:type="paragraph" w:styleId="Index5">
    <w:name w:val="index 5"/>
    <w:basedOn w:val="Normal"/>
    <w:next w:val="Normal"/>
    <w:semiHidden/>
    <w:rsid w:val="00CB66AE"/>
    <w:pPr>
      <w:ind w:left="1132"/>
    </w:pPr>
  </w:style>
  <w:style w:type="paragraph" w:styleId="Index4">
    <w:name w:val="index 4"/>
    <w:basedOn w:val="Normal"/>
    <w:next w:val="Normal"/>
    <w:semiHidden/>
    <w:rsid w:val="00CB66AE"/>
    <w:pPr>
      <w:ind w:left="849"/>
    </w:pPr>
  </w:style>
  <w:style w:type="paragraph" w:styleId="Index3">
    <w:name w:val="index 3"/>
    <w:basedOn w:val="Normal"/>
    <w:next w:val="Normal"/>
    <w:semiHidden/>
    <w:rsid w:val="00CB66AE"/>
    <w:pPr>
      <w:ind w:left="566"/>
    </w:pPr>
  </w:style>
  <w:style w:type="paragraph" w:styleId="Index2">
    <w:name w:val="index 2"/>
    <w:basedOn w:val="Normal"/>
    <w:next w:val="Normal"/>
    <w:semiHidden/>
    <w:rsid w:val="00CB66AE"/>
    <w:pPr>
      <w:ind w:left="283"/>
    </w:pPr>
  </w:style>
  <w:style w:type="paragraph" w:styleId="Index1">
    <w:name w:val="index 1"/>
    <w:basedOn w:val="Normal"/>
    <w:next w:val="Normal"/>
    <w:semiHidden/>
    <w:rsid w:val="00CB66AE"/>
  </w:style>
  <w:style w:type="character" w:styleId="LineNumber">
    <w:name w:val="line number"/>
    <w:basedOn w:val="DefaultParagraphFont"/>
    <w:rsid w:val="00CB66AE"/>
  </w:style>
  <w:style w:type="paragraph" w:styleId="IndexHeading">
    <w:name w:val="index heading"/>
    <w:basedOn w:val="Normal"/>
    <w:next w:val="Index1"/>
    <w:semiHidden/>
    <w:rsid w:val="00CB66AE"/>
  </w:style>
  <w:style w:type="paragraph" w:styleId="Footer">
    <w:name w:val="footer"/>
    <w:basedOn w:val="Normal"/>
    <w:link w:val="FooterChar"/>
    <w:rsid w:val="00CB66A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CB66AE"/>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CB66AE"/>
    <w:rPr>
      <w:position w:val="6"/>
      <w:sz w:val="16"/>
    </w:rPr>
  </w:style>
  <w:style w:type="paragraph" w:styleId="FootnoteText">
    <w:name w:val="footnote text"/>
    <w:basedOn w:val="Normal"/>
    <w:semiHidden/>
    <w:rsid w:val="00CB66AE"/>
    <w:pPr>
      <w:keepLines/>
      <w:tabs>
        <w:tab w:val="left" w:pos="256"/>
      </w:tabs>
      <w:ind w:left="256" w:hanging="256"/>
    </w:pPr>
  </w:style>
  <w:style w:type="paragraph" w:styleId="NormalIndent">
    <w:name w:val="Normal Indent"/>
    <w:basedOn w:val="Normal"/>
    <w:rsid w:val="00CB66AE"/>
    <w:pPr>
      <w:ind w:left="794"/>
    </w:pPr>
  </w:style>
  <w:style w:type="paragraph" w:customStyle="1" w:styleId="TableLegend">
    <w:name w:val="Table_Legend"/>
    <w:basedOn w:val="TableText"/>
    <w:rsid w:val="00CB66AE"/>
    <w:pPr>
      <w:spacing w:before="120"/>
    </w:pPr>
  </w:style>
  <w:style w:type="paragraph" w:customStyle="1" w:styleId="TableText">
    <w:name w:val="Table_Text"/>
    <w:basedOn w:val="Normal"/>
    <w:rsid w:val="00CB66A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B66AE"/>
    <w:pPr>
      <w:keepLines/>
      <w:spacing w:before="0"/>
    </w:pPr>
    <w:rPr>
      <w:b/>
      <w:caps w:val="0"/>
    </w:rPr>
  </w:style>
  <w:style w:type="paragraph" w:customStyle="1" w:styleId="Table">
    <w:name w:val="Table_#"/>
    <w:basedOn w:val="Normal"/>
    <w:next w:val="TableTitle"/>
    <w:rsid w:val="00CB66AE"/>
    <w:pPr>
      <w:keepNext/>
      <w:spacing w:before="560" w:after="120"/>
      <w:jc w:val="center"/>
    </w:pPr>
    <w:rPr>
      <w:caps/>
    </w:rPr>
  </w:style>
  <w:style w:type="paragraph" w:customStyle="1" w:styleId="enumlev1">
    <w:name w:val="enumlev1"/>
    <w:basedOn w:val="Normal"/>
    <w:link w:val="enumlev1Char"/>
    <w:rsid w:val="00CB66AE"/>
    <w:pPr>
      <w:spacing w:before="80"/>
      <w:ind w:left="794" w:hanging="794"/>
    </w:pPr>
  </w:style>
  <w:style w:type="paragraph" w:customStyle="1" w:styleId="enumlev2">
    <w:name w:val="enumlev2"/>
    <w:basedOn w:val="enumlev1"/>
    <w:rsid w:val="00CB66AE"/>
    <w:pPr>
      <w:ind w:left="1191" w:hanging="397"/>
    </w:pPr>
  </w:style>
  <w:style w:type="paragraph" w:customStyle="1" w:styleId="enumlev3">
    <w:name w:val="enumlev3"/>
    <w:basedOn w:val="enumlev2"/>
    <w:rsid w:val="00CB66AE"/>
    <w:pPr>
      <w:ind w:left="1588"/>
    </w:pPr>
  </w:style>
  <w:style w:type="paragraph" w:customStyle="1" w:styleId="TableHead">
    <w:name w:val="Table_Head"/>
    <w:basedOn w:val="TableText"/>
    <w:rsid w:val="00CB66AE"/>
    <w:pPr>
      <w:keepNext/>
      <w:spacing w:before="80" w:after="80"/>
      <w:jc w:val="center"/>
    </w:pPr>
    <w:rPr>
      <w:b/>
    </w:rPr>
  </w:style>
  <w:style w:type="paragraph" w:customStyle="1" w:styleId="FigureLegend">
    <w:name w:val="Figure_Legend"/>
    <w:basedOn w:val="Normal"/>
    <w:rsid w:val="00CB66A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B66AE"/>
    <w:pPr>
      <w:spacing w:before="480"/>
    </w:pPr>
  </w:style>
  <w:style w:type="paragraph" w:customStyle="1" w:styleId="FigureTitle">
    <w:name w:val="Figure_Title"/>
    <w:basedOn w:val="TableTitle"/>
    <w:next w:val="Normal"/>
    <w:rsid w:val="00CB66AE"/>
    <w:pPr>
      <w:keepNext w:val="0"/>
      <w:spacing w:after="480"/>
    </w:pPr>
  </w:style>
  <w:style w:type="paragraph" w:customStyle="1" w:styleId="Annex">
    <w:name w:val="Annex_#"/>
    <w:basedOn w:val="Normal"/>
    <w:next w:val="AnnexRef"/>
    <w:rsid w:val="00CB66AE"/>
    <w:pPr>
      <w:keepNext/>
      <w:keepLines/>
      <w:spacing w:before="480" w:after="80"/>
      <w:jc w:val="center"/>
    </w:pPr>
    <w:rPr>
      <w:caps/>
    </w:rPr>
  </w:style>
  <w:style w:type="paragraph" w:customStyle="1" w:styleId="AnnexRef">
    <w:name w:val="Annex_Ref"/>
    <w:basedOn w:val="Normal"/>
    <w:next w:val="AnnexTitle"/>
    <w:rsid w:val="00CB66AE"/>
    <w:pPr>
      <w:keepNext/>
      <w:keepLines/>
      <w:jc w:val="center"/>
    </w:pPr>
  </w:style>
  <w:style w:type="paragraph" w:customStyle="1" w:styleId="AnnexTitle">
    <w:name w:val="Annex_Title"/>
    <w:basedOn w:val="Normal"/>
    <w:next w:val="Normal"/>
    <w:rsid w:val="00CB66AE"/>
    <w:pPr>
      <w:keepNext/>
      <w:keepLines/>
      <w:spacing w:before="240" w:after="280"/>
      <w:jc w:val="center"/>
    </w:pPr>
    <w:rPr>
      <w:b/>
    </w:rPr>
  </w:style>
  <w:style w:type="paragraph" w:customStyle="1" w:styleId="Appendix">
    <w:name w:val="Appendix_#"/>
    <w:basedOn w:val="Annex"/>
    <w:next w:val="AppendixRef"/>
    <w:rsid w:val="00CB66AE"/>
  </w:style>
  <w:style w:type="paragraph" w:customStyle="1" w:styleId="AppendixRef">
    <w:name w:val="Appendix_Ref"/>
    <w:basedOn w:val="AnnexRef"/>
    <w:next w:val="AppendixTitle"/>
    <w:rsid w:val="00CB66AE"/>
  </w:style>
  <w:style w:type="paragraph" w:customStyle="1" w:styleId="AppendixTitle">
    <w:name w:val="Appendix_Title"/>
    <w:basedOn w:val="AnnexTitle"/>
    <w:next w:val="Normal"/>
    <w:rsid w:val="00CB66AE"/>
  </w:style>
  <w:style w:type="paragraph" w:customStyle="1" w:styleId="RefTitle">
    <w:name w:val="Ref_Title"/>
    <w:basedOn w:val="Normal"/>
    <w:next w:val="RefText"/>
    <w:rsid w:val="00CB66AE"/>
    <w:pPr>
      <w:spacing w:before="480"/>
      <w:jc w:val="center"/>
    </w:pPr>
    <w:rPr>
      <w:caps/>
    </w:rPr>
  </w:style>
  <w:style w:type="paragraph" w:customStyle="1" w:styleId="RefText">
    <w:name w:val="Ref_Text"/>
    <w:basedOn w:val="Normal"/>
    <w:rsid w:val="00CB66AE"/>
    <w:pPr>
      <w:ind w:left="794" w:hanging="794"/>
    </w:pPr>
  </w:style>
  <w:style w:type="paragraph" w:customStyle="1" w:styleId="Equation">
    <w:name w:val="Equation"/>
    <w:basedOn w:val="Normal"/>
    <w:rsid w:val="00CB66AE"/>
    <w:pPr>
      <w:tabs>
        <w:tab w:val="clear" w:pos="1191"/>
        <w:tab w:val="clear" w:pos="1588"/>
        <w:tab w:val="clear" w:pos="1985"/>
        <w:tab w:val="center" w:pos="4876"/>
        <w:tab w:val="right" w:pos="9752"/>
      </w:tabs>
    </w:pPr>
  </w:style>
  <w:style w:type="paragraph" w:customStyle="1" w:styleId="Head">
    <w:name w:val="Head"/>
    <w:basedOn w:val="Normal"/>
    <w:rsid w:val="00CB66A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B66AE"/>
    <w:pPr>
      <w:keepNext/>
      <w:keepLines/>
      <w:spacing w:before="240"/>
      <w:jc w:val="center"/>
    </w:pPr>
    <w:rPr>
      <w:b/>
      <w:caps/>
    </w:rPr>
  </w:style>
  <w:style w:type="paragraph" w:customStyle="1" w:styleId="Normalaftertitle">
    <w:name w:val="Normal after title"/>
    <w:basedOn w:val="Normal"/>
    <w:next w:val="Normal"/>
    <w:rsid w:val="00CB66AE"/>
    <w:pPr>
      <w:spacing w:before="320"/>
    </w:pPr>
  </w:style>
  <w:style w:type="paragraph" w:customStyle="1" w:styleId="call">
    <w:name w:val="call"/>
    <w:basedOn w:val="Normal"/>
    <w:next w:val="Normal"/>
    <w:rsid w:val="00CB66AE"/>
    <w:pPr>
      <w:keepNext/>
      <w:keepLines/>
      <w:spacing w:before="160"/>
      <w:ind w:left="794"/>
    </w:pPr>
    <w:rPr>
      <w:i/>
    </w:rPr>
  </w:style>
  <w:style w:type="paragraph" w:customStyle="1" w:styleId="Rec">
    <w:name w:val="Rec_#"/>
    <w:basedOn w:val="Normal"/>
    <w:next w:val="RecTitle"/>
    <w:rsid w:val="00CB66AE"/>
    <w:pPr>
      <w:keepNext/>
      <w:keepLines/>
      <w:spacing w:before="480"/>
      <w:jc w:val="center"/>
    </w:pPr>
    <w:rPr>
      <w:caps/>
    </w:rPr>
  </w:style>
  <w:style w:type="paragraph" w:customStyle="1" w:styleId="toc0">
    <w:name w:val="toc 0"/>
    <w:basedOn w:val="Normal"/>
    <w:next w:val="TOC1"/>
    <w:rsid w:val="00CB66AE"/>
    <w:pPr>
      <w:tabs>
        <w:tab w:val="clear" w:pos="794"/>
        <w:tab w:val="clear" w:pos="1191"/>
        <w:tab w:val="clear" w:pos="1588"/>
        <w:tab w:val="clear" w:pos="1985"/>
        <w:tab w:val="right" w:pos="9781"/>
      </w:tabs>
    </w:pPr>
    <w:rPr>
      <w:b/>
    </w:rPr>
  </w:style>
  <w:style w:type="paragraph" w:styleId="List">
    <w:name w:val="List"/>
    <w:basedOn w:val="Normal"/>
    <w:rsid w:val="00CB66A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B66A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B66A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B66AE"/>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CB66AE"/>
    <w:pPr>
      <w:tabs>
        <w:tab w:val="clear" w:pos="1191"/>
        <w:tab w:val="clear" w:pos="1588"/>
      </w:tabs>
      <w:ind w:left="794" w:hanging="794"/>
    </w:pPr>
  </w:style>
  <w:style w:type="paragraph" w:styleId="BodyText">
    <w:name w:val="Body Text"/>
    <w:basedOn w:val="Normal"/>
    <w:rsid w:val="00CB66AE"/>
    <w:pPr>
      <w:spacing w:after="120"/>
    </w:pPr>
  </w:style>
  <w:style w:type="paragraph" w:customStyle="1" w:styleId="EquationLegend">
    <w:name w:val="Equation_Legend"/>
    <w:basedOn w:val="Normal"/>
    <w:rsid w:val="00CB66A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B66A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B66AE"/>
    <w:pPr>
      <w:tabs>
        <w:tab w:val="left" w:pos="7371"/>
      </w:tabs>
      <w:spacing w:after="560"/>
    </w:pPr>
  </w:style>
  <w:style w:type="paragraph" w:customStyle="1" w:styleId="ASN1">
    <w:name w:val="ASN.1"/>
    <w:basedOn w:val="Normal"/>
    <w:rsid w:val="00CB66A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B66AE"/>
    <w:pPr>
      <w:tabs>
        <w:tab w:val="clear" w:pos="5954"/>
        <w:tab w:val="clear" w:pos="9639"/>
      </w:tabs>
    </w:pPr>
    <w:rPr>
      <w:caps w:val="0"/>
    </w:rPr>
  </w:style>
  <w:style w:type="paragraph" w:customStyle="1" w:styleId="Note">
    <w:name w:val="Note"/>
    <w:basedOn w:val="Normal"/>
    <w:rsid w:val="00CB66AE"/>
    <w:pPr>
      <w:tabs>
        <w:tab w:val="left" w:pos="397"/>
      </w:tabs>
    </w:pPr>
  </w:style>
  <w:style w:type="paragraph" w:styleId="TOC9">
    <w:name w:val="toc 9"/>
    <w:basedOn w:val="TOC3"/>
    <w:semiHidden/>
    <w:rsid w:val="00CB66AE"/>
  </w:style>
  <w:style w:type="paragraph" w:customStyle="1" w:styleId="headingb">
    <w:name w:val="heading_b"/>
    <w:basedOn w:val="Heading3"/>
    <w:next w:val="Normal"/>
    <w:link w:val="headingbChar"/>
    <w:rsid w:val="00CB66AE"/>
    <w:pPr>
      <w:spacing w:before="160"/>
      <w:ind w:left="0" w:firstLine="0"/>
      <w:outlineLvl w:val="9"/>
    </w:pPr>
  </w:style>
  <w:style w:type="paragraph" w:customStyle="1" w:styleId="headingi">
    <w:name w:val="heading_i"/>
    <w:basedOn w:val="Heading3"/>
    <w:next w:val="Normal"/>
    <w:rsid w:val="00CB66AE"/>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enumlev1Char">
    <w:name w:val="enumlev1 Char"/>
    <w:basedOn w:val="DefaultParagraphFont"/>
    <w:link w:val="enumlev1"/>
    <w:rsid w:val="00FF3716"/>
    <w:rPr>
      <w:rFonts w:ascii="Times New Roman" w:hAnsi="Times New Roman"/>
      <w:sz w:val="24"/>
      <w:lang w:val="fr-FR" w:eastAsia="en-US"/>
    </w:rPr>
  </w:style>
  <w:style w:type="character" w:customStyle="1" w:styleId="headingbChar">
    <w:name w:val="heading_b Char"/>
    <w:basedOn w:val="DefaultParagraphFont"/>
    <w:link w:val="headingb"/>
    <w:rsid w:val="00FF3716"/>
    <w:rPr>
      <w:rFonts w:ascii="Times New Roman" w:hAnsi="Times New Roman"/>
      <w:b/>
      <w:sz w:val="24"/>
      <w:lang w:val="fr-FR" w:eastAsia="en-US"/>
    </w:rPr>
  </w:style>
  <w:style w:type="paragraph" w:styleId="NormalWeb">
    <w:name w:val="Normal (Web)"/>
    <w:basedOn w:val="Normal"/>
    <w:uiPriority w:val="99"/>
    <w:unhideWhenUsed/>
    <w:rsid w:val="003C32D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161238"/>
    <w:rPr>
      <w:b/>
      <w:bCs/>
    </w:rPr>
  </w:style>
  <w:style w:type="character" w:customStyle="1" w:styleId="FooterChar">
    <w:name w:val="Footer Char"/>
    <w:basedOn w:val="DefaultParagraphFont"/>
    <w:link w:val="Footer"/>
    <w:rsid w:val="00B7427B"/>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enumlev1Char">
    <w:name w:val="enumlev1 Char"/>
    <w:basedOn w:val="DefaultParagraphFont"/>
    <w:link w:val="enumlev1"/>
    <w:rsid w:val="00FF3716"/>
    <w:rPr>
      <w:rFonts w:ascii="Times New Roman" w:hAnsi="Times New Roman"/>
      <w:sz w:val="24"/>
      <w:lang w:val="fr-FR" w:eastAsia="en-US"/>
    </w:rPr>
  </w:style>
  <w:style w:type="character" w:customStyle="1" w:styleId="headingbChar">
    <w:name w:val="heading_b Char"/>
    <w:basedOn w:val="DefaultParagraphFont"/>
    <w:link w:val="headingb"/>
    <w:rsid w:val="00FF3716"/>
    <w:rPr>
      <w:rFonts w:ascii="Times New Roman" w:hAnsi="Times New Roman"/>
      <w:b/>
      <w:sz w:val="24"/>
      <w:lang w:val="fr-FR" w:eastAsia="en-US"/>
    </w:rPr>
  </w:style>
  <w:style w:type="paragraph" w:styleId="NormalWeb">
    <w:name w:val="Normal (Web)"/>
    <w:basedOn w:val="Normal"/>
    <w:uiPriority w:val="99"/>
    <w:unhideWhenUsed/>
    <w:rsid w:val="003C32D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161238"/>
    <w:rPr>
      <w:b/>
      <w:bCs/>
    </w:rPr>
  </w:style>
  <w:style w:type="character" w:customStyle="1" w:styleId="FooterChar">
    <w:name w:val="Footer Char"/>
    <w:basedOn w:val="DefaultParagraphFont"/>
    <w:link w:val="Footer"/>
    <w:rsid w:val="00B7427B"/>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divs>
    <w:div w:id="144082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sbsg13@itu.int"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2268</Words>
  <Characters>12927</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        Question</vt:lpstr>
    </vt:vector>
  </TitlesOfParts>
  <Company/>
  <LinksUpToDate>false</LinksUpToDate>
  <CharactersWithSpaces>15165</CharactersWithSpaces>
  <SharedDoc>false</SharedDoc>
  <HLinks>
    <vt:vector size="6" baseType="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Decourt, Martine</dc:creator>
  <cp:keywords/>
  <dc:description/>
  <cp:lastModifiedBy>schiffer</cp:lastModifiedBy>
  <cp:revision>3</cp:revision>
  <cp:lastPrinted>2011-03-07T14:14:00Z</cp:lastPrinted>
  <dcterms:created xsi:type="dcterms:W3CDTF">2011-03-07T14:08:00Z</dcterms:created>
  <dcterms:modified xsi:type="dcterms:W3CDTF">2011-03-07T14:14:00Z</dcterms:modified>
</cp:coreProperties>
</file>