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030E25">
        <w:trPr>
          <w:cantSplit/>
        </w:trPr>
        <w:tc>
          <w:tcPr>
            <w:tcW w:w="6426" w:type="dxa"/>
            <w:vAlign w:val="center"/>
          </w:tcPr>
          <w:p w:rsidR="004C4144" w:rsidRPr="00030E25" w:rsidRDefault="004B7EA9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 xml:space="preserve">  </w:t>
            </w:r>
            <w:r w:rsidR="004C4144" w:rsidRPr="00030E25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="004C4144" w:rsidRPr="00030E25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030E25" w:rsidRDefault="0056427E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030E25">
        <w:trPr>
          <w:cantSplit/>
        </w:trPr>
        <w:tc>
          <w:tcPr>
            <w:tcW w:w="6426" w:type="dxa"/>
            <w:vAlign w:val="center"/>
          </w:tcPr>
          <w:p w:rsidR="004C4144" w:rsidRPr="00030E25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4C4144" w:rsidRPr="00030E25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4C4144" w:rsidRPr="00030E25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401C20" w:rsidRPr="00030E25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30E25">
        <w:rPr>
          <w:lang w:val="es-ES"/>
        </w:rPr>
        <w:tab/>
        <w:t xml:space="preserve">Ginebra, </w:t>
      </w:r>
      <w:r w:rsidR="00604BE2" w:rsidRPr="00030E25">
        <w:rPr>
          <w:lang w:val="es-ES"/>
        </w:rPr>
        <w:t>18 de febrero de 2011</w:t>
      </w:r>
    </w:p>
    <w:p w:rsidR="004C4144" w:rsidRPr="00030E25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401C20" w:rsidRPr="00030E25" w:rsidRDefault="00401C20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 w:rsidRPr="00030E25">
        <w:trPr>
          <w:cantSplit/>
          <w:trHeight w:val="340"/>
        </w:trPr>
        <w:tc>
          <w:tcPr>
            <w:tcW w:w="993" w:type="dxa"/>
          </w:tcPr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30E25">
              <w:rPr>
                <w:sz w:val="22"/>
                <w:lang w:val="es-ES"/>
              </w:rPr>
              <w:t>Ref</w:t>
            </w:r>
            <w:r w:rsidR="008505BD" w:rsidRPr="00030E25">
              <w:rPr>
                <w:sz w:val="22"/>
                <w:lang w:val="es-ES"/>
              </w:rPr>
              <w:t>.</w:t>
            </w:r>
            <w:r w:rsidRPr="00030E25">
              <w:rPr>
                <w:sz w:val="22"/>
                <w:lang w:val="es-ES"/>
              </w:rPr>
              <w:t>:</w:t>
            </w:r>
          </w:p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30E25">
              <w:rPr>
                <w:sz w:val="22"/>
                <w:lang w:val="es-ES"/>
              </w:rPr>
              <w:t>Tel</w:t>
            </w:r>
            <w:r w:rsidR="008505BD" w:rsidRPr="00030E25">
              <w:rPr>
                <w:sz w:val="22"/>
                <w:lang w:val="es-ES"/>
              </w:rPr>
              <w:t>.</w:t>
            </w:r>
            <w:r w:rsidRPr="00030E25">
              <w:rPr>
                <w:sz w:val="22"/>
                <w:lang w:val="es-ES"/>
              </w:rPr>
              <w:t>:</w:t>
            </w:r>
            <w:r w:rsidRPr="00030E25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401C20" w:rsidRPr="00030E25" w:rsidRDefault="00401C20" w:rsidP="00604BE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30E25">
              <w:rPr>
                <w:b/>
                <w:lang w:val="es-ES"/>
              </w:rPr>
              <w:t xml:space="preserve">Circular TSB </w:t>
            </w:r>
            <w:r w:rsidR="00604BE2" w:rsidRPr="00030E25">
              <w:rPr>
                <w:b/>
                <w:lang w:val="es-ES"/>
              </w:rPr>
              <w:t>165</w:t>
            </w:r>
          </w:p>
          <w:p w:rsidR="00401C20" w:rsidRPr="00030E25" w:rsidRDefault="00401C20" w:rsidP="00604BE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30E25">
              <w:rPr>
                <w:lang w:val="es-ES"/>
              </w:rPr>
              <w:t xml:space="preserve">COM </w:t>
            </w:r>
            <w:r w:rsidR="00604BE2" w:rsidRPr="00030E25">
              <w:rPr>
                <w:lang w:val="es-ES"/>
              </w:rPr>
              <w:t>13</w:t>
            </w:r>
            <w:r w:rsidRPr="00030E25">
              <w:rPr>
                <w:lang w:val="es-ES"/>
              </w:rPr>
              <w:t>/</w:t>
            </w:r>
            <w:r w:rsidR="00604BE2" w:rsidRPr="00030E25">
              <w:rPr>
                <w:lang w:val="es-ES"/>
              </w:rPr>
              <w:t>TK</w:t>
            </w:r>
          </w:p>
          <w:p w:rsidR="00401C20" w:rsidRPr="00030E25" w:rsidRDefault="00401C2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401C20" w:rsidRPr="00030E25" w:rsidRDefault="00401C2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30E25">
              <w:rPr>
                <w:lang w:val="es-ES"/>
              </w:rPr>
              <w:t>+41 22 730</w:t>
            </w:r>
            <w:r w:rsidR="00030E25">
              <w:rPr>
                <w:lang w:val="es-ES"/>
              </w:rPr>
              <w:t xml:space="preserve"> 5126</w:t>
            </w:r>
            <w:r w:rsidRPr="00030E25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401C20" w:rsidRPr="00030E25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1" w:name="Addressee_S"/>
            <w:bookmarkEnd w:id="1"/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 xml:space="preserve">A las Administraciones de los Estados Miembros </w:t>
            </w:r>
            <w:r w:rsidR="007D3227">
              <w:rPr>
                <w:lang w:val="es-ES"/>
              </w:rPr>
              <w:br/>
            </w:r>
            <w:r w:rsidRPr="00030E25">
              <w:rPr>
                <w:lang w:val="es-ES"/>
              </w:rPr>
              <w:t>de la Unión</w:t>
            </w:r>
          </w:p>
        </w:tc>
      </w:tr>
      <w:tr w:rsidR="00401C20" w:rsidRPr="00030E25">
        <w:trPr>
          <w:cantSplit/>
        </w:trPr>
        <w:tc>
          <w:tcPr>
            <w:tcW w:w="993" w:type="dxa"/>
          </w:tcPr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30E25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401C20" w:rsidRPr="00030E25" w:rsidRDefault="00424CA3" w:rsidP="00604BE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7" w:history="1">
              <w:r w:rsidR="00604BE2" w:rsidRPr="00030E25">
                <w:rPr>
                  <w:rStyle w:val="Hyperlink"/>
                  <w:lang w:val="es-ES"/>
                </w:rPr>
                <w:t>tsbsg13@itu.int</w:t>
              </w:r>
            </w:hyperlink>
            <w:r w:rsidR="00B95F0A" w:rsidRPr="00030E25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401C20" w:rsidRPr="00030E25" w:rsidRDefault="00401C20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30E25">
              <w:rPr>
                <w:b/>
                <w:lang w:val="es-ES"/>
              </w:rPr>
              <w:t>Copia</w:t>
            </w:r>
            <w:r w:rsidRPr="00030E25">
              <w:rPr>
                <w:lang w:val="es-ES"/>
              </w:rPr>
              <w:t>:</w:t>
            </w:r>
          </w:p>
          <w:p w:rsidR="00401C20" w:rsidRPr="00030E25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>A los Miembros del Sector UIT</w:t>
            </w:r>
            <w:r w:rsidR="008505BD" w:rsidRPr="00030E25">
              <w:rPr>
                <w:lang w:val="es-ES"/>
              </w:rPr>
              <w:noBreakHyphen/>
            </w:r>
            <w:r w:rsidRPr="00030E25">
              <w:rPr>
                <w:lang w:val="es-ES"/>
              </w:rPr>
              <w:t>T;</w:t>
            </w:r>
          </w:p>
          <w:p w:rsidR="00401C20" w:rsidRPr="00030E25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>A los Asociados del UIT</w:t>
            </w:r>
            <w:r w:rsidRPr="00030E25">
              <w:rPr>
                <w:lang w:val="es-ES"/>
              </w:rPr>
              <w:noBreakHyphen/>
              <w:t>T;</w:t>
            </w:r>
          </w:p>
          <w:p w:rsidR="00401C20" w:rsidRPr="00030E25" w:rsidRDefault="00B95F0A" w:rsidP="00604BE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>Al Presidente y a los Vicepresidentes de la</w:t>
            </w:r>
            <w:r w:rsidRPr="00030E25">
              <w:rPr>
                <w:lang w:val="es-ES"/>
              </w:rPr>
              <w:br/>
            </w:r>
            <w:r w:rsidR="00401C20" w:rsidRPr="00030E25">
              <w:rPr>
                <w:lang w:val="es-ES"/>
              </w:rPr>
              <w:t xml:space="preserve">Comisión de Estudio </w:t>
            </w:r>
            <w:r w:rsidR="00604BE2" w:rsidRPr="00030E25">
              <w:rPr>
                <w:lang w:val="es-ES"/>
              </w:rPr>
              <w:t>13</w:t>
            </w:r>
            <w:r w:rsidR="00401C20" w:rsidRPr="00030E25">
              <w:rPr>
                <w:lang w:val="es-ES"/>
              </w:rPr>
              <w:t>;</w:t>
            </w:r>
          </w:p>
          <w:p w:rsidR="00401C20" w:rsidRPr="00030E25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>Al Director de la Oficina de Desarrollo de las Telecomunicaciones;</w:t>
            </w:r>
          </w:p>
          <w:p w:rsidR="00401C20" w:rsidRPr="00030E25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30E25">
              <w:rPr>
                <w:lang w:val="es-ES"/>
              </w:rPr>
              <w:t>-</w:t>
            </w:r>
            <w:r w:rsidRPr="00030E25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401C20" w:rsidRPr="00030E25" w:rsidRDefault="00401C20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 w:rsidRPr="00030E25">
        <w:trPr>
          <w:cantSplit/>
        </w:trPr>
        <w:tc>
          <w:tcPr>
            <w:tcW w:w="822" w:type="dxa"/>
          </w:tcPr>
          <w:p w:rsidR="00401C20" w:rsidRPr="00030E25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30E25">
              <w:rPr>
                <w:sz w:val="22"/>
                <w:lang w:val="es-ES"/>
              </w:rPr>
              <w:t>Asunto:</w:t>
            </w:r>
          </w:p>
        </w:tc>
        <w:tc>
          <w:tcPr>
            <w:tcW w:w="7116" w:type="dxa"/>
          </w:tcPr>
          <w:p w:rsidR="00401C20" w:rsidRPr="00030E25" w:rsidRDefault="007D3227" w:rsidP="007D3227">
            <w:pPr>
              <w:tabs>
                <w:tab w:val="left" w:pos="4111"/>
              </w:tabs>
              <w:spacing w:before="0"/>
              <w:ind w:left="794" w:hanging="794"/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  <w:r w:rsidR="00401C20" w:rsidRPr="00030E25">
              <w:rPr>
                <w:b/>
                <w:lang w:val="es-ES"/>
              </w:rPr>
              <w:t xml:space="preserve">Reunión de la Comisión de Estudio </w:t>
            </w:r>
            <w:r w:rsidR="00604BE2" w:rsidRPr="00030E25">
              <w:rPr>
                <w:b/>
                <w:lang w:val="es-ES"/>
              </w:rPr>
              <w:t>13</w:t>
            </w:r>
            <w:r w:rsidR="00401C20" w:rsidRPr="00030E25">
              <w:rPr>
                <w:b/>
                <w:lang w:val="es-ES"/>
              </w:rPr>
              <w:t xml:space="preserve"> para la aprobación </w:t>
            </w:r>
            <w:r w:rsidR="00604BE2" w:rsidRPr="00030E25">
              <w:rPr>
                <w:b/>
                <w:lang w:val="es-ES"/>
              </w:rPr>
              <w:t>del</w:t>
            </w:r>
            <w:r w:rsidR="00401C20" w:rsidRPr="00030E25">
              <w:rPr>
                <w:b/>
                <w:lang w:val="es-ES"/>
              </w:rPr>
              <w:t xml:space="preserve"> proyecto</w:t>
            </w:r>
            <w:r w:rsidR="00335367" w:rsidRPr="00030E25">
              <w:rPr>
                <w:b/>
                <w:lang w:val="es-ES"/>
              </w:rPr>
              <w:t xml:space="preserve"> de Recomendación revisada </w:t>
            </w:r>
            <w:r w:rsidR="00604BE2" w:rsidRPr="00030E25">
              <w:rPr>
                <w:b/>
                <w:lang w:val="es-ES"/>
              </w:rPr>
              <w:t xml:space="preserve">UIT-T Y.2205 </w:t>
            </w:r>
            <w:r w:rsidR="00335367" w:rsidRPr="00030E25">
              <w:rPr>
                <w:b/>
                <w:lang w:val="es-ES"/>
              </w:rPr>
              <w:t>y</w:t>
            </w:r>
            <w:r w:rsidR="00401C20" w:rsidRPr="00030E25">
              <w:rPr>
                <w:b/>
                <w:lang w:val="es-ES"/>
              </w:rPr>
              <w:t xml:space="preserve"> </w:t>
            </w:r>
            <w:r w:rsidR="00604BE2" w:rsidRPr="00030E25">
              <w:rPr>
                <w:b/>
                <w:lang w:val="es-ES"/>
              </w:rPr>
              <w:t>de los proyectos</w:t>
            </w:r>
            <w:r w:rsidR="00401C20" w:rsidRPr="00030E25">
              <w:rPr>
                <w:b/>
                <w:lang w:val="es-ES"/>
              </w:rPr>
              <w:t xml:space="preserve"> de nueva Recomendación</w:t>
            </w:r>
            <w:r w:rsidR="00002529" w:rsidRPr="00030E25">
              <w:rPr>
                <w:b/>
                <w:lang w:val="es-ES"/>
              </w:rPr>
              <w:t xml:space="preserve"> UIT-T </w:t>
            </w:r>
            <w:r w:rsidR="00604BE2" w:rsidRPr="00030E25">
              <w:rPr>
                <w:b/>
                <w:lang w:val="es-ES"/>
              </w:rPr>
              <w:t>Y.2760 e Y.3001,</w:t>
            </w:r>
            <w:r w:rsidR="00335367" w:rsidRPr="00030E25">
              <w:rPr>
                <w:bCs/>
                <w:i/>
                <w:iCs/>
                <w:lang w:val="es-ES"/>
              </w:rPr>
              <w:t xml:space="preserve"> </w:t>
            </w:r>
            <w:r w:rsidR="00401C20" w:rsidRPr="00030E25">
              <w:rPr>
                <w:b/>
                <w:lang w:val="es-ES"/>
              </w:rPr>
              <w:t>de conformidad con las disposiciones de la Resolución 1, Sección 9, de la AMNT (</w:t>
            </w:r>
            <w:r w:rsidR="00B95F0A" w:rsidRPr="00030E25">
              <w:rPr>
                <w:b/>
                <w:lang w:val="es-ES"/>
              </w:rPr>
              <w:t>Johannesburgo, 2008</w:t>
            </w:r>
            <w:r w:rsidR="003D673B" w:rsidRPr="00030E25">
              <w:rPr>
                <w:b/>
                <w:lang w:val="es-ES"/>
              </w:rPr>
              <w:t>)</w:t>
            </w:r>
            <w:r w:rsidR="00401C20" w:rsidRPr="00030E25">
              <w:rPr>
                <w:b/>
                <w:lang w:val="es-ES"/>
              </w:rPr>
              <w:br/>
              <w:t xml:space="preserve">Ginebra, </w:t>
            </w:r>
            <w:r w:rsidR="00604BE2" w:rsidRPr="00030E25">
              <w:rPr>
                <w:b/>
                <w:lang w:val="es-ES"/>
              </w:rPr>
              <w:t>20 de mayo de 2011</w:t>
            </w:r>
          </w:p>
        </w:tc>
      </w:tr>
    </w:tbl>
    <w:p w:rsidR="00401C20" w:rsidRPr="00030E25" w:rsidRDefault="00401C20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Pr="00030E25" w:rsidRDefault="00B95F0A">
      <w:pPr>
        <w:rPr>
          <w:lang w:val="es-ES"/>
        </w:rPr>
      </w:pPr>
      <w:r w:rsidRPr="00030E25">
        <w:rPr>
          <w:lang w:val="es-ES"/>
        </w:rPr>
        <w:t>Muy Señora mía/Muy S</w:t>
      </w:r>
      <w:r w:rsidR="00401C20" w:rsidRPr="00030E25">
        <w:rPr>
          <w:lang w:val="es-ES"/>
        </w:rPr>
        <w:t>eñor mío:</w:t>
      </w:r>
    </w:p>
    <w:p w:rsidR="00401C20" w:rsidRPr="00030E25" w:rsidRDefault="00401C20" w:rsidP="00604BE2">
      <w:pPr>
        <w:pStyle w:val="Normalaftertitle"/>
        <w:rPr>
          <w:lang w:val="es-ES"/>
        </w:rPr>
      </w:pPr>
      <w:r w:rsidRPr="00030E25">
        <w:rPr>
          <w:bCs/>
          <w:lang w:val="es-ES"/>
        </w:rPr>
        <w:t>1</w:t>
      </w:r>
      <w:r w:rsidRPr="00030E25">
        <w:rPr>
          <w:lang w:val="es-ES"/>
        </w:rPr>
        <w:tab/>
        <w:t xml:space="preserve">A petición del Presidente de la Comisión de Estudio </w:t>
      </w:r>
      <w:r w:rsidR="00604BE2" w:rsidRPr="00030E25">
        <w:rPr>
          <w:lang w:val="es-ES"/>
        </w:rPr>
        <w:t>13</w:t>
      </w:r>
      <w:r w:rsidRPr="00030E25">
        <w:rPr>
          <w:lang w:val="es-ES"/>
        </w:rPr>
        <w:t xml:space="preserve">, </w:t>
      </w:r>
      <w:r w:rsidR="00604BE2" w:rsidRPr="00030E25">
        <w:rPr>
          <w:lang w:val="es-ES"/>
        </w:rPr>
        <w:t>Redes futuras incluidas las redes móviles y las de la próxima generación (NGN)</w:t>
      </w:r>
      <w:r w:rsidRPr="00030E25">
        <w:rPr>
          <w:lang w:val="es-ES"/>
        </w:rPr>
        <w:t xml:space="preserve">, tengo el honor de informarle que esta Comisión de Estudio, que se reunirá </w:t>
      </w:r>
      <w:r w:rsidR="00604BE2" w:rsidRPr="00030E25">
        <w:rPr>
          <w:lang w:val="es-ES"/>
        </w:rPr>
        <w:t>el 20 de mayo de 2011</w:t>
      </w:r>
      <w:r w:rsidRPr="00030E25">
        <w:rPr>
          <w:lang w:val="es-ES"/>
        </w:rPr>
        <w:t>, se propone aplicar el procedimiento descrito en la Resolución 1, Sección 9, de la AMNT (</w:t>
      </w:r>
      <w:r w:rsidR="00B95F0A" w:rsidRPr="00030E25">
        <w:rPr>
          <w:lang w:val="es-ES"/>
        </w:rPr>
        <w:t>Johannesburgo, 2008</w:t>
      </w:r>
      <w:r w:rsidRPr="00030E25">
        <w:rPr>
          <w:lang w:val="es-ES"/>
        </w:rPr>
        <w:t xml:space="preserve">) para la </w:t>
      </w:r>
      <w:r w:rsidR="00A54E47" w:rsidRPr="00030E25">
        <w:rPr>
          <w:lang w:val="es-ES"/>
        </w:rPr>
        <w:t>aprobación de los proyectos de</w:t>
      </w:r>
      <w:r w:rsidRPr="00030E25">
        <w:rPr>
          <w:lang w:val="es-ES"/>
        </w:rPr>
        <w:t xml:space="preserve"> Recomendación revisada y nuevas </w:t>
      </w:r>
      <w:r w:rsidR="00604BE2" w:rsidRPr="00030E25">
        <w:rPr>
          <w:lang w:val="es-ES"/>
        </w:rPr>
        <w:t>mencionado</w:t>
      </w:r>
      <w:r w:rsidR="00A54E47" w:rsidRPr="00030E25">
        <w:rPr>
          <w:lang w:val="es-ES"/>
        </w:rPr>
        <w:t>s arriba.</w:t>
      </w:r>
    </w:p>
    <w:p w:rsidR="00401C20" w:rsidRPr="00030E25" w:rsidRDefault="00401C20" w:rsidP="00CC0524">
      <w:pPr>
        <w:rPr>
          <w:lang w:val="es-ES"/>
        </w:rPr>
      </w:pPr>
      <w:r w:rsidRPr="00030E25">
        <w:rPr>
          <w:bCs/>
          <w:lang w:val="es-ES"/>
        </w:rPr>
        <w:t>2</w:t>
      </w:r>
      <w:r w:rsidRPr="00030E25">
        <w:rPr>
          <w:lang w:val="es-ES"/>
        </w:rPr>
        <w:tab/>
        <w:t xml:space="preserve">El </w:t>
      </w:r>
      <w:r w:rsidRPr="00030E25">
        <w:rPr>
          <w:b/>
          <w:lang w:val="es-ES"/>
        </w:rPr>
        <w:t>anexo 1</w:t>
      </w:r>
      <w:r w:rsidRPr="00030E25">
        <w:rPr>
          <w:lang w:val="es-ES"/>
        </w:rPr>
        <w:t xml:space="preserve"> contiene el</w:t>
      </w:r>
      <w:r w:rsidR="001A54CC" w:rsidRPr="00030E25">
        <w:rPr>
          <w:lang w:val="es-ES"/>
        </w:rPr>
        <w:t xml:space="preserve"> título</w:t>
      </w:r>
      <w:r w:rsidR="00A54E47" w:rsidRPr="00030E25">
        <w:rPr>
          <w:lang w:val="es-ES"/>
        </w:rPr>
        <w:t xml:space="preserve"> y el</w:t>
      </w:r>
      <w:r w:rsidRPr="00030E25">
        <w:rPr>
          <w:lang w:val="es-ES"/>
        </w:rPr>
        <w:t xml:space="preserve"> resumen del proyecto de Recomendación </w:t>
      </w:r>
      <w:r w:rsidR="00604BE2" w:rsidRPr="00030E25">
        <w:rPr>
          <w:lang w:val="es-ES"/>
        </w:rPr>
        <w:t xml:space="preserve">revisada </w:t>
      </w:r>
      <w:r w:rsidRPr="00030E25">
        <w:rPr>
          <w:lang w:val="es-ES"/>
        </w:rPr>
        <w:t xml:space="preserve">UIT-T y de </w:t>
      </w:r>
      <w:r w:rsidR="00604BE2" w:rsidRPr="00030E25">
        <w:rPr>
          <w:lang w:val="es-ES"/>
        </w:rPr>
        <w:t xml:space="preserve">los proyectos de </w:t>
      </w:r>
      <w:r w:rsidRPr="00030E25">
        <w:rPr>
          <w:lang w:val="es-ES"/>
        </w:rPr>
        <w:t>nueva</w:t>
      </w:r>
      <w:r w:rsidR="00CC0524">
        <w:rPr>
          <w:lang w:val="es-ES"/>
        </w:rPr>
        <w:t>s</w:t>
      </w:r>
      <w:r w:rsidRPr="00030E25">
        <w:rPr>
          <w:lang w:val="es-ES"/>
        </w:rPr>
        <w:t xml:space="preserve"> </w:t>
      </w:r>
      <w:r w:rsidR="00604BE2" w:rsidRPr="00030E25">
        <w:rPr>
          <w:lang w:val="es-ES"/>
        </w:rPr>
        <w:t>Recomendaci</w:t>
      </w:r>
      <w:r w:rsidR="00CC0524">
        <w:rPr>
          <w:lang w:val="es-ES"/>
        </w:rPr>
        <w:t>o</w:t>
      </w:r>
      <w:r w:rsidR="00604BE2" w:rsidRPr="00030E25">
        <w:rPr>
          <w:lang w:val="es-ES"/>
        </w:rPr>
        <w:t>n</w:t>
      </w:r>
      <w:r w:rsidR="00CC0524">
        <w:rPr>
          <w:lang w:val="es-ES"/>
        </w:rPr>
        <w:t>es</w:t>
      </w:r>
      <w:r w:rsidRPr="00030E25">
        <w:rPr>
          <w:lang w:val="es-ES"/>
        </w:rPr>
        <w:t xml:space="preserve"> </w:t>
      </w:r>
      <w:r w:rsidR="00CC0524">
        <w:rPr>
          <w:lang w:val="es-ES"/>
        </w:rPr>
        <w:t>para su aprobación</w:t>
      </w:r>
      <w:r w:rsidRPr="00030E25">
        <w:rPr>
          <w:lang w:val="es-ES"/>
        </w:rPr>
        <w:t>.</w:t>
      </w:r>
    </w:p>
    <w:p w:rsidR="00401C20" w:rsidRPr="00030E25" w:rsidRDefault="00401C20" w:rsidP="00604BE2">
      <w:pPr>
        <w:rPr>
          <w:lang w:val="es-ES"/>
        </w:rPr>
      </w:pPr>
      <w:r w:rsidRPr="00030E25">
        <w:rPr>
          <w:bCs/>
          <w:lang w:val="es-ES"/>
        </w:rPr>
        <w:t>3</w:t>
      </w:r>
      <w:r w:rsidRPr="00030E25">
        <w:rPr>
          <w:lang w:val="es-ES"/>
        </w:rPr>
        <w:tab/>
        <w:t xml:space="preserve">Todo Estado Miembro, Miembro de Sector o Asociado de la UIT consciente de la titularidad de una patente propia o ajena que pueda cubrir total o parcialmente los elementos de los proyectos de Recomendación propuestos para aprobación debe poner esa información en conocimiento de la TSB, de conformidad con </w:t>
      </w:r>
      <w:r w:rsidR="00B43F77" w:rsidRPr="00030E25">
        <w:rPr>
          <w:lang w:val="es-ES"/>
        </w:rPr>
        <w:t>la política sobre patentes del UIT-T/UIT-R/ISO/CEI</w:t>
      </w:r>
      <w:r w:rsidRPr="00030E25">
        <w:rPr>
          <w:lang w:val="es-ES"/>
        </w:rPr>
        <w:t>.</w:t>
      </w:r>
    </w:p>
    <w:p w:rsidR="00401C20" w:rsidRPr="00030E25" w:rsidRDefault="00401C20" w:rsidP="00CC0524">
      <w:pPr>
        <w:rPr>
          <w:lang w:val="es-ES"/>
        </w:rPr>
      </w:pPr>
      <w:r w:rsidRPr="00030E25">
        <w:rPr>
          <w:lang w:val="es-ES"/>
        </w:rPr>
        <w:t xml:space="preserve">Puede accederse en línea a la información disponible sobre patentes a través del sitio </w:t>
      </w:r>
      <w:r w:rsidR="00CC0524">
        <w:rPr>
          <w:lang w:val="es-ES"/>
        </w:rPr>
        <w:t>w</w:t>
      </w:r>
      <w:r w:rsidRPr="00030E25">
        <w:rPr>
          <w:lang w:val="es-ES"/>
        </w:rPr>
        <w:t>eb del UIT</w:t>
      </w:r>
      <w:r w:rsidRPr="00030E25">
        <w:rPr>
          <w:lang w:val="es-ES"/>
        </w:rPr>
        <w:noBreakHyphen/>
        <w:t>T</w:t>
      </w:r>
      <w:r w:rsidR="00B43F77" w:rsidRPr="00030E25">
        <w:rPr>
          <w:lang w:val="es-ES"/>
        </w:rPr>
        <w:t xml:space="preserve"> (</w:t>
      </w:r>
      <w:hyperlink r:id="rId8" w:history="1">
        <w:r w:rsidR="00B43F77" w:rsidRPr="00030E25">
          <w:rPr>
            <w:rStyle w:val="Hyperlink"/>
            <w:lang w:val="es-ES"/>
          </w:rPr>
          <w:t>www.itu.int/ITU-T/ipr/</w:t>
        </w:r>
      </w:hyperlink>
      <w:r w:rsidR="00B43F77" w:rsidRPr="00030E25">
        <w:rPr>
          <w:lang w:val="es-ES"/>
        </w:rPr>
        <w:t>)</w:t>
      </w:r>
      <w:r w:rsidRPr="00030E25">
        <w:rPr>
          <w:lang w:val="es-ES"/>
        </w:rPr>
        <w:t>.</w:t>
      </w:r>
    </w:p>
    <w:p w:rsidR="00401C20" w:rsidRPr="00030E25" w:rsidRDefault="00401C20" w:rsidP="00604BE2">
      <w:pPr>
        <w:rPr>
          <w:lang w:val="es-ES"/>
        </w:rPr>
      </w:pPr>
      <w:r w:rsidRPr="00030E25">
        <w:rPr>
          <w:bCs/>
          <w:lang w:val="es-ES"/>
        </w:rPr>
        <w:br w:type="page"/>
      </w:r>
      <w:r w:rsidRPr="00030E25">
        <w:rPr>
          <w:bCs/>
          <w:lang w:val="es-ES"/>
        </w:rPr>
        <w:lastRenderedPageBreak/>
        <w:t>4</w:t>
      </w:r>
      <w:r w:rsidRPr="00030E25">
        <w:rPr>
          <w:lang w:val="es-ES"/>
        </w:rPr>
        <w:tab/>
        <w:t xml:space="preserve">Teniendo en cuenta las disposiciones de la Resolución 1, Sección 9, le agradecería que me comunicase </w:t>
      </w:r>
      <w:r w:rsidRPr="00030E25">
        <w:rPr>
          <w:b/>
          <w:lang w:val="es-ES"/>
        </w:rPr>
        <w:t>antes</w:t>
      </w:r>
      <w:r w:rsidRPr="00030E25">
        <w:rPr>
          <w:lang w:val="es-ES"/>
        </w:rPr>
        <w:t xml:space="preserve"> de las 24.00 horas UTC </w:t>
      </w:r>
      <w:r w:rsidRPr="00030E25">
        <w:rPr>
          <w:b/>
          <w:lang w:val="es-ES"/>
        </w:rPr>
        <w:t xml:space="preserve">del </w:t>
      </w:r>
      <w:r w:rsidR="00604BE2" w:rsidRPr="00030E25">
        <w:rPr>
          <w:b/>
          <w:lang w:val="es-ES"/>
        </w:rPr>
        <w:t xml:space="preserve">10 de mayo de 2011 </w:t>
      </w:r>
      <w:r w:rsidRPr="00030E25">
        <w:rPr>
          <w:lang w:val="es-ES"/>
        </w:rPr>
        <w:t xml:space="preserve">si su Administración otorga a la Comisión de Estudio </w:t>
      </w:r>
      <w:r w:rsidR="00604BE2" w:rsidRPr="00030E25">
        <w:rPr>
          <w:lang w:val="es-ES"/>
        </w:rPr>
        <w:t xml:space="preserve">13 </w:t>
      </w:r>
      <w:r w:rsidRPr="00030E25">
        <w:rPr>
          <w:lang w:val="es-ES"/>
        </w:rPr>
        <w:t xml:space="preserve">la autoridad necesaria para que durante su reunión puedan considerar la aprobación de </w:t>
      </w:r>
      <w:r w:rsidR="00604BE2" w:rsidRPr="00030E25">
        <w:rPr>
          <w:lang w:val="es-ES"/>
        </w:rPr>
        <w:t>los citados</w:t>
      </w:r>
      <w:r w:rsidRPr="00030E25">
        <w:rPr>
          <w:lang w:val="es-ES"/>
        </w:rPr>
        <w:t xml:space="preserve"> proyectos de Recomendación.</w:t>
      </w:r>
    </w:p>
    <w:p w:rsidR="00401C20" w:rsidRPr="00030E25" w:rsidRDefault="00401C20" w:rsidP="00604BE2">
      <w:pPr>
        <w:rPr>
          <w:lang w:val="es-ES"/>
        </w:rPr>
      </w:pPr>
      <w:r w:rsidRPr="00030E25">
        <w:rPr>
          <w:lang w:val="es-ES"/>
        </w:rPr>
        <w:t>Si algunos Estados Miembros opinan que no puede procederse a considerar la aprobación, deben indicar sus razones de desaprobación así como los posibles cambios que facilitarían el nuevo examen y la aprobación del proyecto de Recomendación revisada</w:t>
      </w:r>
      <w:r w:rsidR="00604BE2" w:rsidRPr="00030E25">
        <w:rPr>
          <w:lang w:val="es-ES"/>
        </w:rPr>
        <w:t xml:space="preserve"> y de los proyectos de nueva </w:t>
      </w:r>
      <w:r w:rsidR="00BF0F31" w:rsidRPr="00030E25">
        <w:rPr>
          <w:lang w:val="es-ES"/>
        </w:rPr>
        <w:t>Recomendación.</w:t>
      </w:r>
    </w:p>
    <w:p w:rsidR="00401C20" w:rsidRPr="00030E25" w:rsidRDefault="00401C20" w:rsidP="00BF0F31">
      <w:pPr>
        <w:rPr>
          <w:lang w:val="es-ES"/>
        </w:rPr>
      </w:pPr>
      <w:r w:rsidRPr="00030E25">
        <w:rPr>
          <w:bCs/>
          <w:lang w:val="es-ES"/>
        </w:rPr>
        <w:t>5</w:t>
      </w:r>
      <w:r w:rsidRPr="00030E25">
        <w:rPr>
          <w:lang w:val="es-ES"/>
        </w:rPr>
        <w:tab/>
        <w:t xml:space="preserve">Si el 70% como mínimo de las respuestas de los Estados Miembros están a favor de que se considere la aprobación de este (estos) proyecto(s) de Recomendación(es) revisada(s) o nueva(s) en la reunión de la Comisión de Estudio, </w:t>
      </w:r>
      <w:r w:rsidRPr="00030E25">
        <w:rPr>
          <w:b/>
          <w:lang w:val="es-ES"/>
        </w:rPr>
        <w:t xml:space="preserve">el </w:t>
      </w:r>
      <w:r w:rsidR="00BF0F31" w:rsidRPr="00030E25">
        <w:rPr>
          <w:b/>
          <w:lang w:val="es-ES"/>
        </w:rPr>
        <w:t>20 de mayo de 2011</w:t>
      </w:r>
      <w:r w:rsidRPr="00030E25">
        <w:rPr>
          <w:b/>
          <w:lang w:val="es-ES"/>
        </w:rPr>
        <w:t xml:space="preserve"> </w:t>
      </w:r>
      <w:r w:rsidRPr="00030E25">
        <w:rPr>
          <w:lang w:val="es-ES"/>
        </w:rPr>
        <w:t>se dedicará una sesión plenaria a la aplicación del procedimiento de aprobación.</w:t>
      </w:r>
    </w:p>
    <w:p w:rsidR="00401C20" w:rsidRPr="00030E25" w:rsidRDefault="00401C20">
      <w:pPr>
        <w:rPr>
          <w:lang w:val="es-ES"/>
        </w:rPr>
      </w:pPr>
      <w:r w:rsidRPr="00030E25">
        <w:rPr>
          <w:lang w:val="es-ES"/>
        </w:rPr>
        <w:t xml:space="preserve">Invito pues a su Administración a que envíe un representante a dicha reunión. Se invita a las </w:t>
      </w:r>
      <w:r w:rsidRPr="00030E25">
        <w:rPr>
          <w:b/>
          <w:lang w:val="es-ES"/>
        </w:rPr>
        <w:t>Administraciones de los Estados Miembros de la Unión</w:t>
      </w:r>
      <w:r w:rsidRPr="00030E25">
        <w:rPr>
          <w:lang w:val="es-ES"/>
        </w:rP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CC0524" w:rsidRPr="00030E25">
        <w:rPr>
          <w:lang w:val="es-ES"/>
        </w:rPr>
        <w:t>A</w:t>
      </w:r>
      <w:r w:rsidRPr="00030E25">
        <w:rPr>
          <w:lang w:val="es-ES"/>
        </w:rPr>
        <w:t>rtículo 19, número 239, del Convenio de la UIT.</w:t>
      </w:r>
    </w:p>
    <w:p w:rsidR="00401C20" w:rsidRPr="00030E25" w:rsidRDefault="00401C20" w:rsidP="00BF0F31">
      <w:pPr>
        <w:rPr>
          <w:lang w:val="es-ES"/>
        </w:rPr>
      </w:pPr>
      <w:r w:rsidRPr="00030E25">
        <w:rPr>
          <w:bCs/>
          <w:lang w:val="es-ES"/>
        </w:rPr>
        <w:t>6</w:t>
      </w:r>
      <w:r w:rsidRPr="00030E25">
        <w:rPr>
          <w:lang w:val="es-ES"/>
        </w:rPr>
        <w:tab/>
        <w:t>El orden del día</w:t>
      </w:r>
      <w:r w:rsidR="00850C78" w:rsidRPr="00030E25">
        <w:rPr>
          <w:lang w:val="es-ES"/>
        </w:rPr>
        <w:t xml:space="preserve"> </w:t>
      </w:r>
      <w:r w:rsidRPr="00030E25">
        <w:rPr>
          <w:lang w:val="es-ES"/>
        </w:rPr>
        <w:t>y toda la información pertinente sobre la reunión de la Comisión de Estudio</w:t>
      </w:r>
      <w:r w:rsidR="00BF0F31" w:rsidRPr="00030E25">
        <w:rPr>
          <w:lang w:val="es-ES"/>
        </w:rPr>
        <w:t xml:space="preserve"> 13 </w:t>
      </w:r>
      <w:r w:rsidRPr="00030E25">
        <w:rPr>
          <w:lang w:val="es-ES"/>
        </w:rPr>
        <w:t xml:space="preserve">figuran en la Carta colectiva </w:t>
      </w:r>
      <w:r w:rsidR="00BF0F31" w:rsidRPr="00030E25">
        <w:rPr>
          <w:lang w:val="es-ES"/>
        </w:rPr>
        <w:t>8</w:t>
      </w:r>
      <w:r w:rsidRPr="00030E25">
        <w:rPr>
          <w:lang w:val="es-ES"/>
        </w:rPr>
        <w:t>/</w:t>
      </w:r>
      <w:r w:rsidR="00BF0F31" w:rsidRPr="00030E25">
        <w:rPr>
          <w:lang w:val="es-ES"/>
        </w:rPr>
        <w:t>13.</w:t>
      </w:r>
    </w:p>
    <w:p w:rsidR="00401C20" w:rsidRPr="00030E25" w:rsidRDefault="00401C20" w:rsidP="00BF0F31">
      <w:pPr>
        <w:rPr>
          <w:lang w:val="es-ES"/>
        </w:rPr>
      </w:pPr>
      <w:r w:rsidRPr="00030E25">
        <w:rPr>
          <w:bCs/>
          <w:lang w:val="es-ES"/>
        </w:rPr>
        <w:t>7</w:t>
      </w:r>
      <w:r w:rsidRPr="00030E25">
        <w:rPr>
          <w:lang w:val="es-ES"/>
        </w:rPr>
        <w:tab/>
        <w:t>Después de la reunión, el Director de la TSB notificará por circular la decisión tomada sobre estas</w:t>
      </w:r>
      <w:r w:rsidR="00B96180" w:rsidRPr="00030E25">
        <w:rPr>
          <w:lang w:val="es-ES"/>
        </w:rPr>
        <w:t xml:space="preserve"> </w:t>
      </w:r>
      <w:r w:rsidR="00BF0F31" w:rsidRPr="00030E25">
        <w:rPr>
          <w:lang w:val="es-ES"/>
        </w:rPr>
        <w:t>Recomendaciones</w:t>
      </w:r>
      <w:r w:rsidRPr="00030E25">
        <w:rPr>
          <w:lang w:val="es-ES"/>
        </w:rPr>
        <w:t>. Esta información se publicará también en el Boletín de Explotación de la UIT.</w:t>
      </w:r>
    </w:p>
    <w:p w:rsidR="00401C20" w:rsidRPr="00030E25" w:rsidRDefault="00401C20">
      <w:pPr>
        <w:ind w:right="92"/>
        <w:rPr>
          <w:lang w:val="es-ES"/>
        </w:rPr>
      </w:pPr>
      <w:r w:rsidRPr="00030E25">
        <w:rPr>
          <w:lang w:val="es-ES"/>
        </w:rPr>
        <w:t>Le saluda muy atentamente,</w:t>
      </w:r>
    </w:p>
    <w:p w:rsidR="00401C20" w:rsidRPr="00030E25" w:rsidRDefault="00B422BC">
      <w:pPr>
        <w:spacing w:before="1701"/>
        <w:ind w:right="91"/>
        <w:rPr>
          <w:lang w:val="es-ES"/>
        </w:rPr>
      </w:pPr>
      <w:r w:rsidRPr="00030E25">
        <w:rPr>
          <w:lang w:val="es-ES"/>
        </w:rPr>
        <w:t>Malcolm Johnson</w:t>
      </w:r>
      <w:r w:rsidR="00401C20" w:rsidRPr="00030E25">
        <w:rPr>
          <w:lang w:val="es-ES"/>
        </w:rPr>
        <w:br/>
        <w:t>Director de la Oficina de</w:t>
      </w:r>
      <w:r w:rsidR="00401C20" w:rsidRPr="00030E25">
        <w:rPr>
          <w:lang w:val="es-ES"/>
        </w:rPr>
        <w:br/>
        <w:t>Normalización de las Telecomunicaciones</w:t>
      </w:r>
    </w:p>
    <w:p w:rsidR="00401C20" w:rsidRPr="00030E25" w:rsidRDefault="00401C20">
      <w:pPr>
        <w:spacing w:before="400"/>
        <w:ind w:right="91"/>
        <w:rPr>
          <w:lang w:val="es-ES"/>
        </w:rPr>
      </w:pPr>
    </w:p>
    <w:p w:rsidR="00401C20" w:rsidRPr="007D3227" w:rsidRDefault="00401C20">
      <w:pPr>
        <w:rPr>
          <w:bCs/>
          <w:lang w:val="es-ES"/>
        </w:rPr>
      </w:pPr>
      <w:r w:rsidRPr="00030E25">
        <w:rPr>
          <w:b/>
          <w:lang w:val="es-ES"/>
        </w:rPr>
        <w:t>Anexo:</w:t>
      </w:r>
      <w:r w:rsidR="008505BD" w:rsidRPr="00030E25">
        <w:rPr>
          <w:b/>
          <w:lang w:val="es-ES"/>
        </w:rPr>
        <w:t xml:space="preserve"> </w:t>
      </w:r>
      <w:r w:rsidR="00BF0F31" w:rsidRPr="007D3227">
        <w:rPr>
          <w:bCs/>
          <w:lang w:val="es-ES"/>
        </w:rPr>
        <w:t>1</w:t>
      </w:r>
    </w:p>
    <w:p w:rsidR="00BF0F31" w:rsidRPr="00030E25" w:rsidRDefault="00BF0F31" w:rsidP="00BF0F31">
      <w:pPr>
        <w:pStyle w:val="AppendixRef"/>
        <w:rPr>
          <w:lang w:val="es-ES"/>
        </w:rPr>
      </w:pPr>
      <w:r w:rsidRPr="00030E25">
        <w:rPr>
          <w:b/>
          <w:lang w:val="es-ES"/>
        </w:rPr>
        <w:br w:type="page"/>
      </w:r>
      <w:r w:rsidRPr="00030E25">
        <w:rPr>
          <w:lang w:val="es-ES"/>
        </w:rPr>
        <w:t>ANEXO 1</w:t>
      </w:r>
      <w:r w:rsidRPr="00030E25">
        <w:rPr>
          <w:lang w:val="es-ES"/>
        </w:rPr>
        <w:br/>
        <w:t>(a la Circular TSB 165)</w:t>
      </w:r>
    </w:p>
    <w:p w:rsidR="00BF0F31" w:rsidRPr="00030E25" w:rsidRDefault="00BF0F31" w:rsidP="00BF0F31">
      <w:pPr>
        <w:spacing w:before="240"/>
        <w:jc w:val="center"/>
        <w:rPr>
          <w:szCs w:val="24"/>
          <w:lang w:val="es-ES"/>
        </w:rPr>
      </w:pPr>
      <w:r w:rsidRPr="00030E25">
        <w:rPr>
          <w:b/>
          <w:bCs/>
          <w:sz w:val="28"/>
          <w:szCs w:val="28"/>
          <w:lang w:val="es-ES"/>
        </w:rPr>
        <w:t>Resumen y ubicación de los textos</w:t>
      </w:r>
    </w:p>
    <w:p w:rsidR="00BF0F31" w:rsidRPr="00030E25" w:rsidRDefault="00BF0F31" w:rsidP="00BF0F31">
      <w:pPr>
        <w:spacing w:before="480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>Proyecto de Recomendación revisada UIT-T Y.2205</w:t>
      </w:r>
      <w:r w:rsidRPr="00030E25">
        <w:rPr>
          <w:b/>
          <w:bCs/>
          <w:sz w:val="28"/>
          <w:szCs w:val="28"/>
          <w:lang w:val="es-ES"/>
        </w:rPr>
        <w:br/>
        <w:t xml:space="preserve">(COM 13-R 26) </w:t>
      </w:r>
      <w:r w:rsidRPr="00030E25">
        <w:rPr>
          <w:i/>
          <w:iCs/>
          <w:szCs w:val="24"/>
          <w:lang w:val="es-ES"/>
        </w:rPr>
        <w:t>(disponible en breve en la web)</w:t>
      </w:r>
    </w:p>
    <w:p w:rsidR="00BF0F31" w:rsidRPr="00030E25" w:rsidRDefault="00BF0F31" w:rsidP="00BF0F31">
      <w:pPr>
        <w:spacing w:before="240"/>
        <w:jc w:val="center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 xml:space="preserve">Redes de la próxima generación – Telecomunicaciones de emergencia - </w:t>
      </w:r>
      <w:r w:rsidRPr="00030E25">
        <w:rPr>
          <w:b/>
          <w:bCs/>
          <w:sz w:val="28"/>
          <w:szCs w:val="28"/>
          <w:lang w:val="es-ES"/>
        </w:rPr>
        <w:br/>
        <w:t>Consideraciones técnicas</w:t>
      </w:r>
    </w:p>
    <w:p w:rsidR="00BF0F31" w:rsidRPr="00030E25" w:rsidRDefault="00BF0F31" w:rsidP="00BF0F31">
      <w:pPr>
        <w:pStyle w:val="Headingb0"/>
        <w:rPr>
          <w:lang w:val="es-ES"/>
        </w:rPr>
      </w:pPr>
      <w:r w:rsidRPr="00030E25">
        <w:rPr>
          <w:lang w:val="es-ES"/>
        </w:rPr>
        <w:t>Resumen</w:t>
      </w:r>
    </w:p>
    <w:p w:rsidR="00BF0F31" w:rsidRPr="00030E25" w:rsidRDefault="00BF0F31" w:rsidP="00236C22">
      <w:pPr>
        <w:pStyle w:val="kgknormal"/>
        <w:spacing w:before="120"/>
        <w:jc w:val="left"/>
        <w:rPr>
          <w:lang w:val="es-ES"/>
        </w:rPr>
      </w:pPr>
      <w:r w:rsidRPr="00030E25">
        <w:rPr>
          <w:lang w:val="es-ES"/>
        </w:rPr>
        <w:t xml:space="preserve">En esta </w:t>
      </w:r>
      <w:r w:rsidR="00CC0524" w:rsidRPr="00030E25">
        <w:rPr>
          <w:lang w:val="es-ES"/>
        </w:rPr>
        <w:t>R</w:t>
      </w:r>
      <w:r w:rsidRPr="00030E25">
        <w:rPr>
          <w:lang w:val="es-ES"/>
        </w:rPr>
        <w:t xml:space="preserve">ecomendación se especifican las consideraciones técnicas que pueden aplicarse opcionalmente en las redes de la próxima generación (NGN) para habilitar las </w:t>
      </w:r>
      <w:r w:rsidR="00236C22" w:rsidRPr="00030E25">
        <w:rPr>
          <w:lang w:val="es-ES"/>
        </w:rPr>
        <w:t xml:space="preserve">telecomunicaciones </w:t>
      </w:r>
      <w:r w:rsidRPr="00030E25">
        <w:rPr>
          <w:lang w:val="es-ES"/>
        </w:rPr>
        <w:t xml:space="preserve">de emergencia. Además, en la Recomendación también se describen los </w:t>
      </w:r>
      <w:r w:rsidR="00236C22" w:rsidRPr="00030E25">
        <w:rPr>
          <w:lang w:val="es-ES"/>
        </w:rPr>
        <w:t xml:space="preserve">principios </w:t>
      </w:r>
      <w:r w:rsidRPr="00030E25">
        <w:rPr>
          <w:lang w:val="es-ES"/>
        </w:rPr>
        <w:t xml:space="preserve">técnicos subyacentes implicados en el soporte de las telecomunicaciones de emergencia. </w:t>
      </w:r>
    </w:p>
    <w:p w:rsidR="00BF0F31" w:rsidRPr="00030E25" w:rsidRDefault="00BF0F31" w:rsidP="00BF0F31">
      <w:pPr>
        <w:spacing w:before="840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>Proyecto de nueva Recomendación UIT -T Y.2760</w:t>
      </w:r>
      <w:r w:rsidRPr="00030E25">
        <w:rPr>
          <w:b/>
          <w:bCs/>
          <w:sz w:val="28"/>
          <w:szCs w:val="28"/>
          <w:lang w:val="es-ES"/>
        </w:rPr>
        <w:br/>
        <w:t xml:space="preserve">(COM 13-R 27) </w:t>
      </w:r>
      <w:r w:rsidRPr="00030E25">
        <w:rPr>
          <w:i/>
          <w:iCs/>
          <w:szCs w:val="24"/>
          <w:lang w:val="es-ES"/>
        </w:rPr>
        <w:t>(disponible en breve en la web)</w:t>
      </w:r>
    </w:p>
    <w:p w:rsidR="00BF0F31" w:rsidRPr="00030E25" w:rsidRDefault="00236C22" w:rsidP="00BF0F31">
      <w:pPr>
        <w:spacing w:before="240"/>
        <w:jc w:val="center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>Marco de seguridad de movilidad de las NGN</w:t>
      </w:r>
    </w:p>
    <w:p w:rsidR="00BF0F31" w:rsidRPr="00030E25" w:rsidRDefault="00BF0F31" w:rsidP="00BF0F31">
      <w:pPr>
        <w:pStyle w:val="Headingb0"/>
        <w:rPr>
          <w:lang w:val="es-ES"/>
        </w:rPr>
      </w:pPr>
      <w:r w:rsidRPr="00030E25">
        <w:rPr>
          <w:lang w:val="es-ES"/>
        </w:rPr>
        <w:t>Resumen</w:t>
      </w:r>
    </w:p>
    <w:p w:rsidR="00BF0F31" w:rsidRPr="00030E25" w:rsidRDefault="00236C22" w:rsidP="00CC0524">
      <w:pPr>
        <w:suppressAutoHyphens/>
        <w:autoSpaceDN/>
        <w:adjustRightInd/>
        <w:rPr>
          <w:lang w:val="es-ES" w:eastAsia="zh-CN"/>
        </w:rPr>
      </w:pPr>
      <w:r w:rsidRPr="00030E25">
        <w:rPr>
          <w:lang w:val="es-ES" w:eastAsia="ar-SA"/>
        </w:rPr>
        <w:t xml:space="preserve">En esta Recomendación se define el </w:t>
      </w:r>
      <w:r w:rsidR="00CC0524">
        <w:rPr>
          <w:lang w:val="es-ES" w:eastAsia="ar-SA"/>
        </w:rPr>
        <w:t>m</w:t>
      </w:r>
      <w:bookmarkStart w:id="5" w:name="_GoBack"/>
      <w:bookmarkEnd w:id="5"/>
      <w:r w:rsidRPr="00030E25">
        <w:rPr>
          <w:lang w:val="es-ES" w:eastAsia="ar-SA"/>
        </w:rPr>
        <w:t xml:space="preserve">arco de seguridad de movilidad en la capa de transporte de las NGN. Se abordan los requisitos de seguridad, los mecanismos de seguridad y los procedimientos para la gestión y el control de la movilidad en las NGN.  </w:t>
      </w:r>
    </w:p>
    <w:p w:rsidR="00BF0F31" w:rsidRPr="00030E25" w:rsidRDefault="00BF0F31" w:rsidP="00BF0F31">
      <w:pPr>
        <w:spacing w:before="840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>Proyecto de nueva Recomendación UIT -T Y.3001</w:t>
      </w:r>
      <w:r w:rsidRPr="00030E25">
        <w:rPr>
          <w:b/>
          <w:bCs/>
          <w:sz w:val="28"/>
          <w:szCs w:val="28"/>
          <w:lang w:val="es-ES"/>
        </w:rPr>
        <w:br/>
        <w:t xml:space="preserve">(COM 13-R 28) </w:t>
      </w:r>
      <w:r w:rsidRPr="00030E25">
        <w:rPr>
          <w:i/>
          <w:iCs/>
          <w:szCs w:val="24"/>
          <w:lang w:val="es-ES"/>
        </w:rPr>
        <w:t>(disponible en breve en la web)</w:t>
      </w:r>
    </w:p>
    <w:p w:rsidR="00BF0F31" w:rsidRPr="00030E25" w:rsidRDefault="00236C22" w:rsidP="00236C22">
      <w:pPr>
        <w:spacing w:before="240"/>
        <w:jc w:val="center"/>
        <w:rPr>
          <w:b/>
          <w:bCs/>
          <w:sz w:val="28"/>
          <w:szCs w:val="28"/>
          <w:lang w:val="es-ES"/>
        </w:rPr>
      </w:pPr>
      <w:r w:rsidRPr="00030E25">
        <w:rPr>
          <w:b/>
          <w:bCs/>
          <w:sz w:val="28"/>
          <w:szCs w:val="28"/>
          <w:lang w:val="es-ES"/>
        </w:rPr>
        <w:t>Redes futuras: Finalidades y objetivos de diseño</w:t>
      </w:r>
    </w:p>
    <w:p w:rsidR="00BF0F31" w:rsidRPr="00030E25" w:rsidRDefault="00BF0F31" w:rsidP="00BF0F31">
      <w:pPr>
        <w:keepNext/>
        <w:spacing w:before="160"/>
        <w:rPr>
          <w:b/>
          <w:szCs w:val="24"/>
          <w:lang w:val="es-ES" w:eastAsia="ja-JP"/>
        </w:rPr>
      </w:pPr>
      <w:r w:rsidRPr="00030E25">
        <w:rPr>
          <w:rFonts w:eastAsia="Malgun Gothic"/>
          <w:b/>
          <w:szCs w:val="24"/>
          <w:lang w:val="es-ES"/>
        </w:rPr>
        <w:t>Resumen</w:t>
      </w:r>
    </w:p>
    <w:p w:rsidR="00BF0F31" w:rsidRPr="00030E25" w:rsidRDefault="00236C22" w:rsidP="00030E25">
      <w:pPr>
        <w:rPr>
          <w:szCs w:val="24"/>
          <w:lang w:val="es-ES" w:eastAsia="ja-JP"/>
        </w:rPr>
      </w:pPr>
      <w:r w:rsidRPr="00030E25">
        <w:rPr>
          <w:rFonts w:eastAsia="Malgun Gothic"/>
          <w:szCs w:val="24"/>
          <w:lang w:val="es-ES" w:eastAsia="ko-KR"/>
        </w:rPr>
        <w:t xml:space="preserve">En esta Recomendación se describen las finalidades y los objetivos de diseño </w:t>
      </w:r>
      <w:r w:rsidR="002B1440" w:rsidRPr="00030E25">
        <w:rPr>
          <w:rFonts w:eastAsia="Malgun Gothic"/>
          <w:szCs w:val="24"/>
          <w:lang w:val="es-ES" w:eastAsia="ko-KR"/>
        </w:rPr>
        <w:t xml:space="preserve">de las redes futuras. Se definieron cuatro finalidades que diferenciarán a las redes futuras de las redes existentes, las consideraciones del servicio, de los datos y del medioambiente, y la conciencia económica y social. Con el fin de lograr las finalidades, se definieron doce objetivos de diseño que son: diversidad del servicio, la flexibilidad funcional, la </w:t>
      </w:r>
      <w:proofErr w:type="spellStart"/>
      <w:r w:rsidR="002B1440" w:rsidRPr="00030E25">
        <w:rPr>
          <w:rFonts w:eastAsia="Malgun Gothic"/>
          <w:szCs w:val="24"/>
          <w:lang w:val="es-ES" w:eastAsia="ko-KR"/>
        </w:rPr>
        <w:t>virtualización</w:t>
      </w:r>
      <w:proofErr w:type="spellEnd"/>
      <w:r w:rsidR="002B1440" w:rsidRPr="00030E25">
        <w:rPr>
          <w:rFonts w:eastAsia="Malgun Gothic"/>
          <w:szCs w:val="24"/>
          <w:lang w:val="es-ES" w:eastAsia="ko-KR"/>
        </w:rPr>
        <w:t xml:space="preserve"> de los recursos, el acceso a los datos, el consumo de energía, la universalización del servicio, los incentivos económicos, la gestión de la red, la movilidad, </w:t>
      </w:r>
      <w:r w:rsidR="00030E25" w:rsidRPr="00030E25">
        <w:rPr>
          <w:rFonts w:eastAsia="Malgun Gothic"/>
          <w:szCs w:val="24"/>
          <w:lang w:val="es-ES" w:eastAsia="ko-KR"/>
        </w:rPr>
        <w:t xml:space="preserve">y la optimización, identificación, fiabilidad y seguridad de la red. Se parte de la hipótesis de que la fecha de aparición de las redes futuras se sitúa aproximadamente entre 2015 y 2020. En el apéndice de la Recomendación se describen las tecnologías desarrolladas en recientes labores de investigación que es probable se utilicen como tecnología habilitadora de cada uno de los objetivos de diseño. </w:t>
      </w:r>
    </w:p>
    <w:p w:rsidR="00401C20" w:rsidRPr="00030E25" w:rsidRDefault="00BF0F31" w:rsidP="00030E25">
      <w:pPr>
        <w:jc w:val="center"/>
        <w:rPr>
          <w:lang w:val="es-ES"/>
        </w:rPr>
      </w:pPr>
      <w:r w:rsidRPr="00030E25">
        <w:rPr>
          <w:szCs w:val="24"/>
          <w:lang w:val="es-ES" w:eastAsia="ja-JP"/>
        </w:rPr>
        <w:t>__________________</w:t>
      </w:r>
    </w:p>
    <w:sectPr w:rsidR="00401C20" w:rsidRPr="00030E25" w:rsidSect="009F1F91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27E" w:rsidRDefault="0056427E">
      <w:r>
        <w:separator/>
      </w:r>
    </w:p>
  </w:endnote>
  <w:endnote w:type="continuationSeparator" w:id="0">
    <w:p w:rsidR="0056427E" w:rsidRDefault="0056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Dotum"/>
    <w:charset w:val="81"/>
    <w:family w:val="modern"/>
    <w:pitch w:val="variable"/>
    <w:sig w:usb0="00000000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40" w:rsidRPr="004B7EA9" w:rsidRDefault="00474F4C" w:rsidP="003602FA">
    <w:pPr>
      <w:pStyle w:val="Footer"/>
      <w:tabs>
        <w:tab w:val="left" w:pos="5812"/>
      </w:tabs>
      <w:spacing w:line="280" w:lineRule="exact"/>
      <w:rPr>
        <w:lang w:val="fr-CH"/>
      </w:rPr>
    </w:pPr>
    <w:r>
      <w:rPr>
        <w:sz w:val="16"/>
        <w:szCs w:val="16"/>
        <w:lang w:val="fr-CH"/>
      </w:rPr>
      <w:t>ITU-T\BUREAU\CIRC\100\165</w:t>
    </w:r>
    <w:r w:rsidR="003602FA">
      <w:rPr>
        <w:sz w:val="16"/>
        <w:szCs w:val="16"/>
        <w:lang w:val="fr-CH"/>
      </w:rPr>
      <w:t>S</w:t>
    </w:r>
    <w:r>
      <w:rPr>
        <w:sz w:val="16"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2B1440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B1440" w:rsidRDefault="002B144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B1440" w:rsidRDefault="002B1440" w:rsidP="00CD7CF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B1440" w:rsidRDefault="002B144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B1440" w:rsidRDefault="002B1440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B1440">
      <w:tc>
        <w:tcPr>
          <w:tcW w:w="1985" w:type="dxa"/>
        </w:tcPr>
        <w:p w:rsidR="002B1440" w:rsidRDefault="002B144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B1440" w:rsidRDefault="002B144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B1440" w:rsidRDefault="002B144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B1440" w:rsidRDefault="002B1440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="00550AA8" w:rsidRPr="002B744C">
              <w:rPr>
                <w:rStyle w:val="Hyperlink"/>
                <w:rFonts w:ascii="Futura Lt BT" w:hAnsi="Futura Lt BT"/>
              </w:rPr>
              <w:t>www.itu.int</w:t>
            </w:r>
          </w:hyperlink>
          <w:r w:rsidR="00550AA8">
            <w:rPr>
              <w:rFonts w:ascii="Futura Lt BT" w:hAnsi="Futura Lt BT"/>
            </w:rPr>
            <w:t xml:space="preserve"> </w:t>
          </w:r>
        </w:p>
      </w:tc>
    </w:tr>
    <w:tr w:rsidR="002B1440">
      <w:tc>
        <w:tcPr>
          <w:tcW w:w="1985" w:type="dxa"/>
        </w:tcPr>
        <w:p w:rsidR="002B1440" w:rsidRDefault="002B144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B1440" w:rsidRDefault="002B144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B1440" w:rsidRDefault="002B1440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2B1440" w:rsidRDefault="002B1440">
          <w:pPr>
            <w:pStyle w:val="FirstFooter"/>
            <w:rPr>
              <w:rFonts w:ascii="Futura Lt BT" w:hAnsi="Futura Lt BT"/>
            </w:rPr>
          </w:pPr>
        </w:p>
      </w:tc>
    </w:tr>
  </w:tbl>
  <w:p w:rsidR="002B1440" w:rsidRDefault="002B1440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27E" w:rsidRDefault="0056427E">
      <w:r>
        <w:t>____________________</w:t>
      </w:r>
    </w:p>
  </w:footnote>
  <w:footnote w:type="continuationSeparator" w:id="0">
    <w:p w:rsidR="0056427E" w:rsidRDefault="00564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40" w:rsidRDefault="002B1440">
    <w:pPr>
      <w:pStyle w:val="Header"/>
    </w:pPr>
    <w:r>
      <w:t xml:space="preserve">- </w:t>
    </w:r>
    <w:r w:rsidR="00424CA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24CA3">
      <w:rPr>
        <w:rStyle w:val="PageNumber"/>
      </w:rPr>
      <w:fldChar w:fldCharType="separate"/>
    </w:r>
    <w:r w:rsidR="004B7EA9">
      <w:rPr>
        <w:rStyle w:val="PageNumber"/>
        <w:noProof/>
      </w:rPr>
      <w:t>3</w:t>
    </w:r>
    <w:r w:rsidR="00424CA3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6427E"/>
    <w:rsid w:val="00002529"/>
    <w:rsid w:val="00030E25"/>
    <w:rsid w:val="00080ACF"/>
    <w:rsid w:val="00082DFA"/>
    <w:rsid w:val="000C382F"/>
    <w:rsid w:val="001A54CC"/>
    <w:rsid w:val="00236C22"/>
    <w:rsid w:val="00257FB4"/>
    <w:rsid w:val="002B1440"/>
    <w:rsid w:val="00335367"/>
    <w:rsid w:val="003602FA"/>
    <w:rsid w:val="003A2EE6"/>
    <w:rsid w:val="003D1E8D"/>
    <w:rsid w:val="003D673B"/>
    <w:rsid w:val="003E00DF"/>
    <w:rsid w:val="00401C20"/>
    <w:rsid w:val="00424CA3"/>
    <w:rsid w:val="00461857"/>
    <w:rsid w:val="00474F4C"/>
    <w:rsid w:val="004B7EA9"/>
    <w:rsid w:val="004C4144"/>
    <w:rsid w:val="00550AA8"/>
    <w:rsid w:val="0056427E"/>
    <w:rsid w:val="00604BE2"/>
    <w:rsid w:val="007D3227"/>
    <w:rsid w:val="008258C2"/>
    <w:rsid w:val="008505BD"/>
    <w:rsid w:val="00850C78"/>
    <w:rsid w:val="008C17AD"/>
    <w:rsid w:val="008D02CD"/>
    <w:rsid w:val="008D6D3F"/>
    <w:rsid w:val="0095172A"/>
    <w:rsid w:val="009F1F91"/>
    <w:rsid w:val="00A54E47"/>
    <w:rsid w:val="00AE7093"/>
    <w:rsid w:val="00AF4B13"/>
    <w:rsid w:val="00B422BC"/>
    <w:rsid w:val="00B43F77"/>
    <w:rsid w:val="00B86B00"/>
    <w:rsid w:val="00B95F0A"/>
    <w:rsid w:val="00B96180"/>
    <w:rsid w:val="00BF0F31"/>
    <w:rsid w:val="00CC0524"/>
    <w:rsid w:val="00CD7CF4"/>
    <w:rsid w:val="00DD77C9"/>
    <w:rsid w:val="00E92C09"/>
    <w:rsid w:val="00F6461F"/>
    <w:rsid w:val="00FD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F1F9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F1F9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F1F9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F1F9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F1F9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F1F9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F1F9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F1F9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F1F9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9F1F91"/>
    <w:rPr>
      <w:vertAlign w:val="superscript"/>
    </w:rPr>
  </w:style>
  <w:style w:type="paragraph" w:styleId="TOC8">
    <w:name w:val="toc 8"/>
    <w:basedOn w:val="TOC3"/>
    <w:semiHidden/>
    <w:rsid w:val="009F1F91"/>
  </w:style>
  <w:style w:type="paragraph" w:styleId="TOC7">
    <w:name w:val="toc 7"/>
    <w:basedOn w:val="TOC3"/>
    <w:semiHidden/>
    <w:rsid w:val="009F1F91"/>
  </w:style>
  <w:style w:type="paragraph" w:styleId="TOC6">
    <w:name w:val="toc 6"/>
    <w:basedOn w:val="TOC3"/>
    <w:semiHidden/>
    <w:rsid w:val="009F1F91"/>
  </w:style>
  <w:style w:type="paragraph" w:styleId="TOC5">
    <w:name w:val="toc 5"/>
    <w:basedOn w:val="TOC3"/>
    <w:semiHidden/>
    <w:rsid w:val="009F1F91"/>
  </w:style>
  <w:style w:type="paragraph" w:styleId="TOC4">
    <w:name w:val="toc 4"/>
    <w:basedOn w:val="TOC3"/>
    <w:semiHidden/>
    <w:rsid w:val="009F1F91"/>
  </w:style>
  <w:style w:type="paragraph" w:styleId="TOC3">
    <w:name w:val="toc 3"/>
    <w:basedOn w:val="TOC2"/>
    <w:semiHidden/>
    <w:rsid w:val="009F1F91"/>
    <w:pPr>
      <w:spacing w:before="80"/>
    </w:pPr>
  </w:style>
  <w:style w:type="paragraph" w:styleId="TOC2">
    <w:name w:val="toc 2"/>
    <w:basedOn w:val="TOC1"/>
    <w:semiHidden/>
    <w:rsid w:val="009F1F91"/>
    <w:pPr>
      <w:spacing w:before="120"/>
    </w:pPr>
  </w:style>
  <w:style w:type="paragraph" w:styleId="TOC1">
    <w:name w:val="toc 1"/>
    <w:basedOn w:val="Normal"/>
    <w:semiHidden/>
    <w:rsid w:val="009F1F9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F1F91"/>
    <w:pPr>
      <w:ind w:left="1698"/>
    </w:pPr>
  </w:style>
  <w:style w:type="paragraph" w:styleId="Index6">
    <w:name w:val="index 6"/>
    <w:basedOn w:val="Normal"/>
    <w:next w:val="Normal"/>
    <w:semiHidden/>
    <w:rsid w:val="009F1F91"/>
    <w:pPr>
      <w:ind w:left="1415"/>
    </w:pPr>
  </w:style>
  <w:style w:type="paragraph" w:styleId="Index5">
    <w:name w:val="index 5"/>
    <w:basedOn w:val="Normal"/>
    <w:next w:val="Normal"/>
    <w:semiHidden/>
    <w:rsid w:val="009F1F91"/>
    <w:pPr>
      <w:ind w:left="1132"/>
    </w:pPr>
  </w:style>
  <w:style w:type="paragraph" w:styleId="Index4">
    <w:name w:val="index 4"/>
    <w:basedOn w:val="Normal"/>
    <w:next w:val="Normal"/>
    <w:semiHidden/>
    <w:rsid w:val="009F1F91"/>
    <w:pPr>
      <w:ind w:left="849"/>
    </w:pPr>
  </w:style>
  <w:style w:type="paragraph" w:styleId="Index3">
    <w:name w:val="index 3"/>
    <w:basedOn w:val="Normal"/>
    <w:next w:val="Normal"/>
    <w:semiHidden/>
    <w:rsid w:val="009F1F91"/>
    <w:pPr>
      <w:ind w:left="566"/>
    </w:pPr>
  </w:style>
  <w:style w:type="paragraph" w:styleId="Index2">
    <w:name w:val="index 2"/>
    <w:basedOn w:val="Normal"/>
    <w:next w:val="Normal"/>
    <w:semiHidden/>
    <w:rsid w:val="009F1F91"/>
    <w:pPr>
      <w:ind w:left="283"/>
    </w:pPr>
  </w:style>
  <w:style w:type="paragraph" w:styleId="Index1">
    <w:name w:val="index 1"/>
    <w:basedOn w:val="Normal"/>
    <w:next w:val="Normal"/>
    <w:semiHidden/>
    <w:rsid w:val="009F1F91"/>
  </w:style>
  <w:style w:type="character" w:styleId="LineNumber">
    <w:name w:val="line number"/>
    <w:basedOn w:val="DefaultParagraphFont"/>
    <w:rsid w:val="009F1F91"/>
  </w:style>
  <w:style w:type="paragraph" w:styleId="IndexHeading">
    <w:name w:val="index heading"/>
    <w:basedOn w:val="Normal"/>
    <w:next w:val="Index1"/>
    <w:semiHidden/>
    <w:rsid w:val="009F1F91"/>
  </w:style>
  <w:style w:type="paragraph" w:styleId="Footer">
    <w:name w:val="footer"/>
    <w:basedOn w:val="Normal"/>
    <w:link w:val="FooterChar"/>
    <w:rsid w:val="009F1F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9F1F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F1F91"/>
    <w:rPr>
      <w:position w:val="6"/>
      <w:sz w:val="16"/>
    </w:rPr>
  </w:style>
  <w:style w:type="paragraph" w:styleId="FootnoteText">
    <w:name w:val="footnote text"/>
    <w:basedOn w:val="Normal"/>
    <w:semiHidden/>
    <w:rsid w:val="009F1F9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F1F91"/>
    <w:pPr>
      <w:ind w:left="794"/>
    </w:pPr>
  </w:style>
  <w:style w:type="paragraph" w:customStyle="1" w:styleId="TableLegend">
    <w:name w:val="Table_Legend"/>
    <w:basedOn w:val="TableText"/>
    <w:rsid w:val="009F1F91"/>
    <w:pPr>
      <w:spacing w:before="120"/>
    </w:pPr>
  </w:style>
  <w:style w:type="paragraph" w:customStyle="1" w:styleId="TableText">
    <w:name w:val="Table_Text"/>
    <w:basedOn w:val="Normal"/>
    <w:rsid w:val="009F1F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F1F9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F1F9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F1F91"/>
    <w:pPr>
      <w:spacing w:before="80"/>
      <w:ind w:left="794" w:hanging="794"/>
    </w:pPr>
  </w:style>
  <w:style w:type="paragraph" w:customStyle="1" w:styleId="enumlev2">
    <w:name w:val="enumlev2"/>
    <w:basedOn w:val="enumlev1"/>
    <w:rsid w:val="009F1F91"/>
    <w:pPr>
      <w:ind w:left="1191" w:hanging="397"/>
    </w:pPr>
  </w:style>
  <w:style w:type="paragraph" w:customStyle="1" w:styleId="enumlev3">
    <w:name w:val="enumlev3"/>
    <w:basedOn w:val="enumlev2"/>
    <w:rsid w:val="009F1F91"/>
    <w:pPr>
      <w:ind w:left="1588"/>
    </w:pPr>
  </w:style>
  <w:style w:type="paragraph" w:customStyle="1" w:styleId="TableHead">
    <w:name w:val="Table_Head"/>
    <w:basedOn w:val="TableText"/>
    <w:rsid w:val="009F1F9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F1F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F1F91"/>
    <w:pPr>
      <w:spacing w:before="480"/>
    </w:pPr>
  </w:style>
  <w:style w:type="paragraph" w:customStyle="1" w:styleId="FigureTitle">
    <w:name w:val="Figure_Title"/>
    <w:basedOn w:val="TableTitle"/>
    <w:next w:val="Normal"/>
    <w:rsid w:val="009F1F9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F1F9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F1F9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F1F9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F1F91"/>
  </w:style>
  <w:style w:type="paragraph" w:customStyle="1" w:styleId="AppendixRef">
    <w:name w:val="Appendix_Ref"/>
    <w:basedOn w:val="AnnexRef"/>
    <w:next w:val="AppendixTitle"/>
    <w:rsid w:val="009F1F91"/>
  </w:style>
  <w:style w:type="paragraph" w:customStyle="1" w:styleId="AppendixTitle">
    <w:name w:val="Appendix_Title"/>
    <w:basedOn w:val="AnnexTitle"/>
    <w:next w:val="Normal"/>
    <w:rsid w:val="009F1F91"/>
  </w:style>
  <w:style w:type="paragraph" w:customStyle="1" w:styleId="RefTitle">
    <w:name w:val="Ref_Title"/>
    <w:basedOn w:val="Normal"/>
    <w:next w:val="RefText"/>
    <w:rsid w:val="009F1F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F1F91"/>
    <w:pPr>
      <w:ind w:left="794" w:hanging="794"/>
    </w:pPr>
  </w:style>
  <w:style w:type="paragraph" w:customStyle="1" w:styleId="Equation">
    <w:name w:val="Equation"/>
    <w:basedOn w:val="Normal"/>
    <w:rsid w:val="009F1F9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F1F9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F1F91"/>
    <w:pPr>
      <w:spacing w:before="320"/>
    </w:pPr>
  </w:style>
  <w:style w:type="paragraph" w:customStyle="1" w:styleId="call">
    <w:name w:val="call"/>
    <w:basedOn w:val="Normal"/>
    <w:next w:val="Normal"/>
    <w:rsid w:val="009F1F9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F1F9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F1F9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F1F9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F1F9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F1F9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9F1F9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F1F9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9F1F91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9F1F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9F1F9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9F1F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9F1F9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9F1F91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9F1F91"/>
  </w:style>
  <w:style w:type="paragraph" w:customStyle="1" w:styleId="listitem">
    <w:name w:val="listitem"/>
    <w:basedOn w:val="Normal"/>
    <w:rsid w:val="009F1F9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9F1F91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9F1F9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F1F91"/>
    <w:pPr>
      <w:tabs>
        <w:tab w:val="left" w:pos="397"/>
      </w:tabs>
    </w:pPr>
  </w:style>
  <w:style w:type="paragraph" w:customStyle="1" w:styleId="FirstFooter">
    <w:name w:val="FirstFooter"/>
    <w:basedOn w:val="Footer"/>
    <w:rsid w:val="009F1F9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F1F91"/>
  </w:style>
  <w:style w:type="character" w:styleId="Hyperlink">
    <w:name w:val="Hyperlink"/>
    <w:rsid w:val="00B43F77"/>
    <w:rPr>
      <w:color w:val="0000FF"/>
      <w:u w:val="single"/>
    </w:rPr>
  </w:style>
  <w:style w:type="character" w:styleId="FollowedHyperlink">
    <w:name w:val="FollowedHyperlink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BF0F31"/>
    <w:pPr>
      <w:keepNext/>
      <w:spacing w:before="160"/>
    </w:pPr>
    <w:rPr>
      <w:b/>
      <w:lang w:val="en-GB"/>
    </w:rPr>
  </w:style>
  <w:style w:type="paragraph" w:customStyle="1" w:styleId="kgknormal">
    <w:name w:val="kgknormal"/>
    <w:basedOn w:val="Normal"/>
    <w:rsid w:val="00BF0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4F4C"/>
    <w:rPr>
      <w:rFonts w:ascii="Times New Roman" w:hAnsi="Times New Roman"/>
      <w:caps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rsid w:val="00B43F77"/>
    <w:rPr>
      <w:color w:val="0000FF"/>
      <w:u w:val="single"/>
    </w:rPr>
  </w:style>
  <w:style w:type="character" w:styleId="FollowedHyperlink">
    <w:name w:val="FollowedHyperlink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BF0F31"/>
    <w:pPr>
      <w:keepNext/>
      <w:spacing w:before="160"/>
    </w:pPr>
    <w:rPr>
      <w:b/>
      <w:lang w:val="en-GB"/>
    </w:rPr>
  </w:style>
  <w:style w:type="paragraph" w:customStyle="1" w:styleId="kgknormal">
    <w:name w:val="kgknormal"/>
    <w:basedOn w:val="Normal"/>
    <w:rsid w:val="00BF0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65%20(302791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 (302791) LIN S</Template>
  <TotalTime>5</TotalTime>
  <Pages>3</Pages>
  <Words>972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6136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catalano</dc:creator>
  <cp:keywords/>
  <dc:description/>
  <cp:lastModifiedBy>bettini</cp:lastModifiedBy>
  <cp:revision>4</cp:revision>
  <cp:lastPrinted>2011-03-07T14:20:00Z</cp:lastPrinted>
  <dcterms:created xsi:type="dcterms:W3CDTF">2011-03-07T14:14:00Z</dcterms:created>
  <dcterms:modified xsi:type="dcterms:W3CDTF">2011-03-07T14:24:00Z</dcterms:modified>
</cp:coreProperties>
</file>