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585F1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585F1B" w:rsidP="00585F1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585F1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585F1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585F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585F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4D60D1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4D60D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4D60D1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日，日内瓦</w:t>
      </w:r>
    </w:p>
    <w:p w:rsidR="00EE59AB" w:rsidRDefault="00EE59AB" w:rsidP="00585F1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4544"/>
        <w:gridCol w:w="4536"/>
      </w:tblGrid>
      <w:tr w:rsidR="00EE59AB" w:rsidTr="003E1BCA">
        <w:trPr>
          <w:cantSplit/>
          <w:trHeight w:val="340"/>
        </w:trPr>
        <w:tc>
          <w:tcPr>
            <w:tcW w:w="1126" w:type="dxa"/>
          </w:tcPr>
          <w:p w:rsidR="00EE59AB" w:rsidRDefault="00EE59AB" w:rsidP="00585F1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544" w:type="dxa"/>
          </w:tcPr>
          <w:p w:rsidR="00EE59AB" w:rsidRDefault="00EE59AB" w:rsidP="00585F1B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4D60D1">
              <w:rPr>
                <w:rFonts w:hint="eastAsia"/>
                <w:b/>
                <w:lang w:eastAsia="zh-CN"/>
              </w:rPr>
              <w:t>164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Pr="00585F1B" w:rsidRDefault="00EE59AB" w:rsidP="00585F1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585F1B">
              <w:rPr>
                <w:bCs/>
                <w:iCs/>
                <w:lang w:eastAsia="zh-CN"/>
              </w:rPr>
              <w:t xml:space="preserve">COM </w:t>
            </w:r>
            <w:r w:rsidR="004D60D1" w:rsidRPr="00585F1B">
              <w:rPr>
                <w:bCs/>
                <w:iCs/>
                <w:lang w:eastAsia="zh-CN"/>
              </w:rPr>
              <w:t>13</w:t>
            </w:r>
            <w:r w:rsidRPr="00585F1B">
              <w:rPr>
                <w:bCs/>
                <w:iCs/>
                <w:lang w:eastAsia="zh-CN"/>
              </w:rPr>
              <w:t>/</w:t>
            </w:r>
            <w:r w:rsidR="004D60D1" w:rsidRPr="00585F1B">
              <w:rPr>
                <w:bCs/>
                <w:iCs/>
                <w:lang w:eastAsia="zh-CN"/>
              </w:rPr>
              <w:t>TK</w:t>
            </w:r>
          </w:p>
          <w:p w:rsidR="00EE59AB" w:rsidRDefault="00EE59AB" w:rsidP="00585F1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585F1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3E1BC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会员国主管部门；</w:t>
            </w:r>
          </w:p>
          <w:p w:rsidR="00EE59AB" w:rsidRDefault="00EE59AB" w:rsidP="00585F1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 w:rsidTr="003E1BCA">
        <w:trPr>
          <w:cantSplit/>
        </w:trPr>
        <w:tc>
          <w:tcPr>
            <w:tcW w:w="1126" w:type="dxa"/>
          </w:tcPr>
          <w:p w:rsidR="00EE59AB" w:rsidRDefault="00EE59AB" w:rsidP="003E1BCA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  <w:r w:rsidR="003E1BCA">
              <w:rPr>
                <w:rFonts w:hint="eastAsia"/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电子邮件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544" w:type="dxa"/>
          </w:tcPr>
          <w:p w:rsidR="00EE59AB" w:rsidRDefault="00EE59AB" w:rsidP="003E1BCA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4D60D1">
              <w:rPr>
                <w:rFonts w:hint="eastAsia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  <w:r w:rsidR="003E1BCA">
              <w:rPr>
                <w:lang w:eastAsia="zh-CN"/>
              </w:rPr>
              <w:br/>
            </w:r>
            <w:hyperlink r:id="rId8" w:history="1">
              <w:r w:rsidR="004D60D1" w:rsidRPr="00CE1AB4">
                <w:rPr>
                  <w:rStyle w:val="Hyperlink"/>
                  <w:lang w:val="en-US"/>
                </w:rPr>
                <w:t>tsbsg13@itu.int</w:t>
              </w:r>
            </w:hyperlink>
          </w:p>
        </w:tc>
        <w:tc>
          <w:tcPr>
            <w:tcW w:w="4536" w:type="dxa"/>
          </w:tcPr>
          <w:p w:rsidR="00EE59AB" w:rsidRDefault="00EE59AB" w:rsidP="00585F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585F1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3E1BC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585F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3E1BC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 xml:space="preserve">ITU-T 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585F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3E1BC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第</w:t>
            </w:r>
            <w:r w:rsidR="004D60D1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585F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3E1BC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585F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3E1BC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585F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585F1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5670"/>
      </w:tblGrid>
      <w:tr w:rsidR="00EE59AB" w:rsidTr="003E1BCA">
        <w:trPr>
          <w:cantSplit/>
          <w:trHeight w:val="680"/>
        </w:trPr>
        <w:tc>
          <w:tcPr>
            <w:tcW w:w="1126" w:type="dxa"/>
          </w:tcPr>
          <w:p w:rsidR="00EE59AB" w:rsidRDefault="00EE59AB" w:rsidP="00585F1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5670" w:type="dxa"/>
          </w:tcPr>
          <w:p w:rsidR="00EE59AB" w:rsidRDefault="00EE59AB" w:rsidP="00585F1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 xml:space="preserve"> ITU-T</w:t>
            </w:r>
            <w:r w:rsidR="004D60D1">
              <w:rPr>
                <w:rFonts w:hint="eastAsia"/>
                <w:b/>
                <w:lang w:eastAsia="zh-CN"/>
              </w:rPr>
              <w:t xml:space="preserve"> </w:t>
            </w:r>
            <w:r w:rsidR="004D60D1">
              <w:rPr>
                <w:b/>
              </w:rPr>
              <w:t>Y.2722</w:t>
            </w:r>
            <w:r w:rsidR="004D60D1">
              <w:rPr>
                <w:b/>
              </w:rPr>
              <w:t>、</w:t>
            </w:r>
            <w:r w:rsidR="004D60D1">
              <w:rPr>
                <w:b/>
              </w:rPr>
              <w:t xml:space="preserve">Y.2740 </w:t>
            </w:r>
            <w:r w:rsidR="004D60D1">
              <w:rPr>
                <w:rFonts w:hint="eastAsia"/>
                <w:b/>
                <w:lang w:eastAsia="zh-CN"/>
              </w:rPr>
              <w:t>和</w:t>
            </w:r>
            <w:r w:rsidR="004D60D1">
              <w:rPr>
                <w:b/>
              </w:rPr>
              <w:t xml:space="preserve"> Y.2741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EE59AB" w:rsidRDefault="00EE59AB" w:rsidP="00585F1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 w:rsidP="00585F1B">
      <w:pPr>
        <w:spacing w:before="100" w:after="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E59AB" w:rsidRDefault="00EE59AB" w:rsidP="00C878D4">
      <w:pPr>
        <w:spacing w:before="100" w:after="20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585F1B">
        <w:rPr>
          <w:rFonts w:hint="eastAsia"/>
          <w:lang w:eastAsia="zh-CN"/>
        </w:rPr>
        <w:t>继</w:t>
      </w:r>
      <w:r w:rsidR="004D60D1">
        <w:rPr>
          <w:rFonts w:hint="eastAsia"/>
          <w:lang w:eastAsia="zh-CN"/>
        </w:rPr>
        <w:t>2010</w:t>
      </w:r>
      <w:r w:rsidR="004D60D1">
        <w:rPr>
          <w:rFonts w:hint="eastAsia"/>
          <w:lang w:eastAsia="zh-CN"/>
        </w:rPr>
        <w:t>年</w:t>
      </w:r>
      <w:r w:rsidR="004D60D1">
        <w:rPr>
          <w:rFonts w:hint="eastAsia"/>
          <w:lang w:eastAsia="zh-CN"/>
        </w:rPr>
        <w:t>10</w:t>
      </w:r>
      <w:r w:rsidR="004D60D1">
        <w:rPr>
          <w:rFonts w:hint="eastAsia"/>
          <w:lang w:eastAsia="zh-CN"/>
        </w:rPr>
        <w:t>月</w:t>
      </w:r>
      <w:r w:rsidR="004D60D1">
        <w:rPr>
          <w:rFonts w:hint="eastAsia"/>
          <w:lang w:eastAsia="zh-CN"/>
        </w:rPr>
        <w:t>7</w:t>
      </w:r>
      <w:r w:rsidR="004D60D1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4D60D1">
        <w:rPr>
          <w:rFonts w:hint="eastAsia"/>
          <w:lang w:eastAsia="zh-CN"/>
        </w:rPr>
        <w:t>140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</w:t>
      </w:r>
      <w:r w:rsidR="00585F1B">
        <w:rPr>
          <w:rFonts w:hint="eastAsia"/>
          <w:lang w:eastAsia="zh-CN"/>
        </w:rPr>
        <w:t>之后</w:t>
      </w:r>
      <w:r w:rsidR="00BC24E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4D60D1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E42FEE">
        <w:rPr>
          <w:rFonts w:hint="eastAsia"/>
          <w:lang w:eastAsia="zh-CN"/>
        </w:rPr>
        <w:t>24</w:t>
      </w:r>
      <w:r w:rsidR="00E42FEE">
        <w:rPr>
          <w:rFonts w:hint="eastAsia"/>
          <w:lang w:eastAsia="zh-CN"/>
        </w:rPr>
        <w:t>个</w:t>
      </w:r>
      <w:r w:rsidR="00585F1B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4D60D1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4D60D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4D60D1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4D60D1" w:rsidRDefault="00EE59AB" w:rsidP="00585F1B">
      <w:pPr>
        <w:spacing w:before="100" w:after="2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</w:t>
      </w:r>
      <w:r w:rsidR="00585F1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 w:rsidR="00585F1B">
        <w:rPr>
          <w:rFonts w:hint="eastAsia"/>
          <w:lang w:eastAsia="zh-CN"/>
        </w:rPr>
        <w:t>为</w:t>
      </w:r>
      <w:r w:rsidR="00E42FEE">
        <w:rPr>
          <w:rFonts w:hint="eastAsia"/>
          <w:lang w:eastAsia="zh-CN"/>
        </w:rPr>
        <w:t>：</w:t>
      </w:r>
    </w:p>
    <w:p w:rsidR="004D60D1" w:rsidRPr="00AF0AE1" w:rsidRDefault="004D60D1" w:rsidP="00585F1B">
      <w:pPr>
        <w:rPr>
          <w:i/>
          <w:iCs/>
          <w:szCs w:val="24"/>
          <w:lang w:eastAsia="zh-CN"/>
        </w:rPr>
      </w:pPr>
      <w:r>
        <w:rPr>
          <w:lang w:eastAsia="zh-CN"/>
        </w:rPr>
        <w:t>Y.2722 –</w:t>
      </w:r>
      <w:r w:rsidRPr="00AF0AE1">
        <w:rPr>
          <w:i/>
          <w:iCs/>
          <w:szCs w:val="24"/>
          <w:lang w:eastAsia="zh-CN"/>
        </w:rPr>
        <w:t xml:space="preserve"> </w:t>
      </w:r>
      <w:r w:rsidR="00585F1B" w:rsidRPr="00585F1B">
        <w:rPr>
          <w:rFonts w:ascii="STKaiti" w:eastAsia="STKaiti" w:hAnsi="STKaiti" w:hint="eastAsia"/>
          <w:szCs w:val="24"/>
          <w:lang w:eastAsia="zh-CN"/>
        </w:rPr>
        <w:t>下一代网络</w:t>
      </w:r>
      <w:r w:rsidR="00585F1B" w:rsidRPr="004D60D1">
        <w:rPr>
          <w:rFonts w:ascii="STKaiti" w:eastAsia="STKaiti" w:hAnsi="STKaiti" w:hint="eastAsia"/>
          <w:szCs w:val="24"/>
          <w:lang w:val="en-US" w:eastAsia="zh-CN"/>
        </w:rPr>
        <w:t>（</w:t>
      </w:r>
      <w:r w:rsidRPr="004D60D1">
        <w:rPr>
          <w:rFonts w:ascii="STKaiti" w:eastAsia="STKaiti" w:hAnsi="STKaiti" w:hint="eastAsia"/>
          <w:szCs w:val="24"/>
          <w:lang w:val="en-US" w:eastAsia="zh-CN"/>
        </w:rPr>
        <w:t>NGN</w:t>
      </w:r>
      <w:r w:rsidR="00585F1B">
        <w:rPr>
          <w:rFonts w:ascii="STKaiti" w:eastAsia="STKaiti" w:hAnsi="STKaiti" w:hint="eastAsia"/>
          <w:szCs w:val="24"/>
          <w:lang w:val="en-US" w:eastAsia="zh-CN"/>
        </w:rPr>
        <w:t>）</w:t>
      </w:r>
      <w:r w:rsidRPr="004D60D1">
        <w:rPr>
          <w:rFonts w:ascii="STKaiti" w:eastAsia="STKaiti" w:hAnsi="STKaiti" w:hint="eastAsia"/>
          <w:szCs w:val="24"/>
          <w:lang w:val="en-US" w:eastAsia="zh-CN"/>
        </w:rPr>
        <w:t>的身份管理机制</w:t>
      </w:r>
    </w:p>
    <w:p w:rsidR="004D60D1" w:rsidRPr="00AF0AE1" w:rsidRDefault="004D60D1" w:rsidP="00585F1B">
      <w:pPr>
        <w:spacing w:before="80"/>
        <w:ind w:left="1191" w:hanging="1191"/>
        <w:rPr>
          <w:i/>
          <w:iCs/>
          <w:szCs w:val="24"/>
          <w:lang w:eastAsia="zh-CN"/>
        </w:rPr>
      </w:pPr>
      <w:r>
        <w:rPr>
          <w:lang w:eastAsia="zh-CN"/>
        </w:rPr>
        <w:t>Y.2740 –</w:t>
      </w:r>
      <w:r>
        <w:rPr>
          <w:rFonts w:hint="eastAsia"/>
          <w:lang w:eastAsia="zh-CN"/>
        </w:rPr>
        <w:t xml:space="preserve"> </w:t>
      </w:r>
      <w:r w:rsidRPr="004D60D1">
        <w:rPr>
          <w:rFonts w:ascii="STKaiti" w:eastAsia="STKaiti" w:hAnsi="STKaiti" w:hint="eastAsia"/>
          <w:szCs w:val="24"/>
          <w:lang w:val="en-US" w:eastAsia="zh-CN"/>
        </w:rPr>
        <w:t>下一代网络（NGN）中移动远程金融交易的安全性要求</w:t>
      </w:r>
    </w:p>
    <w:p w:rsidR="004D60D1" w:rsidRDefault="004D60D1" w:rsidP="00585F1B">
      <w:pPr>
        <w:spacing w:before="80"/>
        <w:ind w:left="1191" w:hanging="1191"/>
        <w:rPr>
          <w:lang w:eastAsia="zh-CN"/>
        </w:rPr>
      </w:pPr>
      <w:r>
        <w:rPr>
          <w:lang w:eastAsia="zh-CN"/>
        </w:rPr>
        <w:t>Y.2741 –</w:t>
      </w:r>
      <w:r>
        <w:rPr>
          <w:rFonts w:hint="eastAsia"/>
          <w:lang w:eastAsia="zh-CN"/>
        </w:rPr>
        <w:t xml:space="preserve"> </w:t>
      </w:r>
      <w:r w:rsidRPr="004D60D1">
        <w:rPr>
          <w:rFonts w:ascii="STKaiti" w:eastAsia="STKaiti" w:hAnsi="STKaiti" w:hint="eastAsia"/>
          <w:szCs w:val="24"/>
          <w:lang w:val="en-US" w:eastAsia="zh-CN"/>
        </w:rPr>
        <w:t>下一代网络（NGN）中安全移动金融交易的架构</w:t>
      </w:r>
    </w:p>
    <w:p w:rsidR="00EE59AB" w:rsidRDefault="00EE59AB" w:rsidP="00585F1B">
      <w:pPr>
        <w:spacing w:before="100" w:after="20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EE59AB" w:rsidRDefault="00EE59AB" w:rsidP="00585F1B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585F1B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建议书。</w:t>
      </w:r>
    </w:p>
    <w:p w:rsidR="00C878D4" w:rsidRDefault="00C878D4" w:rsidP="00585F1B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val="en-US" w:eastAsia="zh-CN"/>
        </w:rPr>
      </w:pPr>
    </w:p>
    <w:p w:rsidR="00EE59AB" w:rsidRDefault="00EE59AB" w:rsidP="00585F1B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EE59AB" w:rsidRDefault="00EE59AB" w:rsidP="00585F1B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E59AB" w:rsidRDefault="00EE59AB" w:rsidP="00585F1B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C878D4" w:rsidRDefault="00C878D4" w:rsidP="00585F1B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50E4F" w:rsidRPr="00C32E78" w:rsidRDefault="003E1BCA" w:rsidP="00B77F2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br/>
      </w:r>
      <w:r w:rsidR="00C62F0D">
        <w:rPr>
          <w:rFonts w:hint="eastAsia"/>
          <w:lang w:eastAsia="zh-CN"/>
        </w:rPr>
        <w:t>马尔科姆</w:t>
      </w:r>
      <w:r w:rsidR="00C62F0D" w:rsidRPr="00B54FD5">
        <w:rPr>
          <w:sz w:val="20"/>
          <w:lang w:eastAsia="zh-CN"/>
        </w:rPr>
        <w:t>•</w:t>
      </w:r>
      <w:r w:rsidR="00C62F0D">
        <w:rPr>
          <w:rFonts w:hint="eastAsia"/>
          <w:lang w:eastAsia="zh-CN"/>
        </w:rPr>
        <w:t>琼森</w:t>
      </w:r>
      <w:bookmarkStart w:id="5" w:name="_GoBack"/>
      <w:bookmarkEnd w:id="5"/>
    </w:p>
    <w:sectPr w:rsidR="00B50E4F" w:rsidRPr="00C32E78" w:rsidSect="00923785">
      <w:headerReference w:type="even" r:id="rId9"/>
      <w:footerReference w:type="even" r:id="rId10"/>
      <w:footerReference w:type="default" r:id="rId11"/>
      <w:footerReference w:type="first" r:id="rId12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F3" w:rsidRDefault="006632F3">
      <w:r>
        <w:separator/>
      </w:r>
    </w:p>
  </w:endnote>
  <w:endnote w:type="continuationSeparator" w:id="0">
    <w:p w:rsidR="006632F3" w:rsidRDefault="0066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AC" w:rsidRDefault="00923785">
    <w:pPr>
      <w:pStyle w:val="Footer"/>
    </w:pPr>
    <w:fldSimple w:instr=" FILENAME \p  \* MERGEFORMAT ">
      <w:r w:rsidR="00AC4734">
        <w:t>P:\CHI\ITU-T\BUREAU\CIRC\100\164C.docx</w:t>
      </w:r>
    </w:fldSimple>
    <w:r w:rsidR="008B68AC">
      <w:tab/>
    </w:r>
    <w:r>
      <w:fldChar w:fldCharType="begin"/>
    </w:r>
    <w:r w:rsidR="008B68AC">
      <w:instrText xml:space="preserve"> SAVEDATE \@ DD.MM.YY </w:instrText>
    </w:r>
    <w:r>
      <w:fldChar w:fldCharType="separate"/>
    </w:r>
    <w:r w:rsidR="00571BBC">
      <w:t>11.02.11</w:t>
    </w:r>
    <w:r>
      <w:fldChar w:fldCharType="end"/>
    </w:r>
    <w:r w:rsidR="008B68AC">
      <w:tab/>
    </w:r>
    <w:r>
      <w:fldChar w:fldCharType="begin"/>
    </w:r>
    <w:r w:rsidR="008B68AC">
      <w:instrText xml:space="preserve"> PRINTDATE \@ DD.MM.YY </w:instrText>
    </w:r>
    <w:r>
      <w:fldChar w:fldCharType="separate"/>
    </w:r>
    <w:r w:rsidR="00AC4734">
      <w:t>11.02.11</w:t>
    </w:r>
    <w:r>
      <w:fldChar w:fldCharType="end"/>
    </w:r>
  </w:p>
  <w:p w:rsidR="004D60D1" w:rsidRDefault="004D60D1" w:rsidP="008B68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4D60D1">
      <w:tc>
        <w:tcPr>
          <w:tcW w:w="10149" w:type="dxa"/>
        </w:tcPr>
        <w:p w:rsidR="004D60D1" w:rsidRDefault="004D60D1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4D60D1" w:rsidRDefault="004D60D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4D60D1" w:rsidRDefault="004D60D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4D60D1" w:rsidRDefault="004D60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D1" w:rsidRDefault="00923785">
    <w:pPr>
      <w:pStyle w:val="Footer"/>
    </w:pPr>
    <w:fldSimple w:instr=" FILENAME \p \* MERGEFORMAT ">
      <w:r w:rsidR="00AC4734">
        <w:t>P:\CHI\ITU-T\BUREAU\CIRC\100\164C.docx</w:t>
      </w:r>
    </w:fldSimple>
    <w:r w:rsidR="004D60D1">
      <w:tab/>
    </w:r>
    <w:r>
      <w:fldChar w:fldCharType="begin"/>
    </w:r>
    <w:r w:rsidR="004D60D1">
      <w:instrText xml:space="preserve"> savedate \@ dd.MM.yy </w:instrText>
    </w:r>
    <w:r>
      <w:fldChar w:fldCharType="separate"/>
    </w:r>
    <w:r w:rsidR="00571BBC">
      <w:t>11.02.11</w:t>
    </w:r>
    <w:r>
      <w:fldChar w:fldCharType="end"/>
    </w:r>
    <w:r w:rsidR="004D60D1">
      <w:tab/>
    </w:r>
    <w:r>
      <w:fldChar w:fldCharType="begin"/>
    </w:r>
    <w:r w:rsidR="004D60D1">
      <w:instrText xml:space="preserve"> printdate \@ dd.MM.yy </w:instrText>
    </w:r>
    <w:r>
      <w:fldChar w:fldCharType="separate"/>
    </w:r>
    <w:r w:rsidR="00AC4734">
      <w:t>11.02.11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F3" w:rsidRDefault="006632F3">
      <w:r>
        <w:t>____________________</w:t>
      </w:r>
    </w:p>
  </w:footnote>
  <w:footnote w:type="continuationSeparator" w:id="0">
    <w:p w:rsidR="006632F3" w:rsidRDefault="00663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AC" w:rsidRDefault="008B68AC">
    <w:pPr>
      <w:pStyle w:val="Header"/>
      <w:rPr>
        <w:lang w:eastAsia="zh-CN"/>
      </w:rPr>
    </w:pPr>
    <w:r>
      <w:rPr>
        <w:rFonts w:hint="eastAsia"/>
        <w:lang w:eastAsia="zh-CN"/>
      </w:rPr>
      <w:t>-</w:t>
    </w:r>
    <w:r w:rsidR="00C24A56">
      <w:rPr>
        <w:rFonts w:hint="eastAsia"/>
        <w:lang w:eastAsia="zh-CN"/>
      </w:rPr>
      <w:t xml:space="preserve"> </w:t>
    </w:r>
    <w:r w:rsidR="00923785">
      <w:fldChar w:fldCharType="begin"/>
    </w:r>
    <w:r>
      <w:instrText xml:space="preserve"> PAGE   \* MERGEFORMAT </w:instrText>
    </w:r>
    <w:r w:rsidR="00923785">
      <w:fldChar w:fldCharType="separate"/>
    </w:r>
    <w:r w:rsidR="00AC4734">
      <w:rPr>
        <w:noProof/>
      </w:rPr>
      <w:t>1</w:t>
    </w:r>
    <w:r w:rsidR="00923785">
      <w:rPr>
        <w:noProof/>
      </w:rPr>
      <w:fldChar w:fldCharType="end"/>
    </w:r>
    <w:r w:rsidR="00C24A56">
      <w:rPr>
        <w:rFonts w:hint="eastAsia"/>
        <w:noProof/>
        <w:lang w:eastAsia="zh-CN"/>
      </w:rPr>
      <w:t xml:space="preserve"> </w:t>
    </w:r>
    <w:r>
      <w:rPr>
        <w:rFonts w:hint="eastAsia"/>
        <w:noProof/>
        <w:lang w:eastAsia="zh-CN"/>
      </w:rPr>
      <w:t>-</w:t>
    </w:r>
  </w:p>
  <w:p w:rsidR="004D60D1" w:rsidRDefault="004D60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F71BB"/>
    <w:rsid w:val="001C21C8"/>
    <w:rsid w:val="001C7B49"/>
    <w:rsid w:val="003207F4"/>
    <w:rsid w:val="003D5773"/>
    <w:rsid w:val="003E1BCA"/>
    <w:rsid w:val="004D60D1"/>
    <w:rsid w:val="004E6BDA"/>
    <w:rsid w:val="005365E4"/>
    <w:rsid w:val="00571BBC"/>
    <w:rsid w:val="00585F1B"/>
    <w:rsid w:val="0059425B"/>
    <w:rsid w:val="00624CB1"/>
    <w:rsid w:val="006632F3"/>
    <w:rsid w:val="007626DE"/>
    <w:rsid w:val="00762E1B"/>
    <w:rsid w:val="008847B5"/>
    <w:rsid w:val="008B68AC"/>
    <w:rsid w:val="008E75C0"/>
    <w:rsid w:val="00923785"/>
    <w:rsid w:val="0098410B"/>
    <w:rsid w:val="009963D1"/>
    <w:rsid w:val="00A23824"/>
    <w:rsid w:val="00A6232A"/>
    <w:rsid w:val="00AC4734"/>
    <w:rsid w:val="00B50E4F"/>
    <w:rsid w:val="00B67063"/>
    <w:rsid w:val="00B67F39"/>
    <w:rsid w:val="00B77F29"/>
    <w:rsid w:val="00BB7187"/>
    <w:rsid w:val="00BC24E4"/>
    <w:rsid w:val="00C115D3"/>
    <w:rsid w:val="00C24A56"/>
    <w:rsid w:val="00C32E78"/>
    <w:rsid w:val="00C62F0D"/>
    <w:rsid w:val="00C878D4"/>
    <w:rsid w:val="00D534EC"/>
    <w:rsid w:val="00DD7502"/>
    <w:rsid w:val="00E049DE"/>
    <w:rsid w:val="00E42FEE"/>
    <w:rsid w:val="00E669B0"/>
    <w:rsid w:val="00E73313"/>
    <w:rsid w:val="00EE2A77"/>
    <w:rsid w:val="00EE59AB"/>
    <w:rsid w:val="00F218C8"/>
    <w:rsid w:val="00F36299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78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2378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378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2378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2378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2378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2378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2378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2378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2378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923785"/>
  </w:style>
  <w:style w:type="paragraph" w:styleId="TOC7">
    <w:name w:val="toc 7"/>
    <w:basedOn w:val="TOC3"/>
    <w:next w:val="Normal"/>
    <w:semiHidden/>
    <w:rsid w:val="00923785"/>
  </w:style>
  <w:style w:type="paragraph" w:styleId="TOC6">
    <w:name w:val="toc 6"/>
    <w:basedOn w:val="TOC3"/>
    <w:next w:val="Normal"/>
    <w:semiHidden/>
    <w:rsid w:val="00923785"/>
  </w:style>
  <w:style w:type="paragraph" w:styleId="TOC5">
    <w:name w:val="toc 5"/>
    <w:basedOn w:val="TOC3"/>
    <w:next w:val="Normal"/>
    <w:semiHidden/>
    <w:rsid w:val="00923785"/>
  </w:style>
  <w:style w:type="paragraph" w:styleId="TOC4">
    <w:name w:val="toc 4"/>
    <w:basedOn w:val="TOC3"/>
    <w:next w:val="Normal"/>
    <w:semiHidden/>
    <w:rsid w:val="00923785"/>
  </w:style>
  <w:style w:type="paragraph" w:styleId="TOC3">
    <w:name w:val="toc 3"/>
    <w:basedOn w:val="TOC2"/>
    <w:next w:val="Normal"/>
    <w:semiHidden/>
    <w:rsid w:val="00923785"/>
    <w:pPr>
      <w:spacing w:before="80"/>
    </w:pPr>
  </w:style>
  <w:style w:type="paragraph" w:styleId="TOC2">
    <w:name w:val="toc 2"/>
    <w:basedOn w:val="TOC1"/>
    <w:next w:val="Normal"/>
    <w:semiHidden/>
    <w:rsid w:val="00923785"/>
    <w:pPr>
      <w:spacing w:before="120"/>
    </w:pPr>
  </w:style>
  <w:style w:type="paragraph" w:styleId="TOC1">
    <w:name w:val="toc 1"/>
    <w:basedOn w:val="Normal"/>
    <w:semiHidden/>
    <w:rsid w:val="0092378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23785"/>
    <w:pPr>
      <w:ind w:left="1698"/>
    </w:pPr>
  </w:style>
  <w:style w:type="paragraph" w:styleId="Index6">
    <w:name w:val="index 6"/>
    <w:basedOn w:val="Normal"/>
    <w:next w:val="Normal"/>
    <w:semiHidden/>
    <w:rsid w:val="00923785"/>
    <w:pPr>
      <w:ind w:left="1415"/>
    </w:pPr>
  </w:style>
  <w:style w:type="paragraph" w:styleId="Index5">
    <w:name w:val="index 5"/>
    <w:basedOn w:val="Normal"/>
    <w:next w:val="Normal"/>
    <w:semiHidden/>
    <w:rsid w:val="00923785"/>
    <w:pPr>
      <w:ind w:left="1132"/>
    </w:pPr>
  </w:style>
  <w:style w:type="paragraph" w:styleId="Index4">
    <w:name w:val="index 4"/>
    <w:basedOn w:val="Normal"/>
    <w:next w:val="Normal"/>
    <w:semiHidden/>
    <w:rsid w:val="00923785"/>
    <w:pPr>
      <w:ind w:left="851"/>
    </w:pPr>
  </w:style>
  <w:style w:type="paragraph" w:styleId="Index3">
    <w:name w:val="index 3"/>
    <w:basedOn w:val="Normal"/>
    <w:next w:val="Normal"/>
    <w:semiHidden/>
    <w:rsid w:val="00923785"/>
    <w:pPr>
      <w:ind w:left="567"/>
    </w:pPr>
  </w:style>
  <w:style w:type="paragraph" w:styleId="Index2">
    <w:name w:val="index 2"/>
    <w:basedOn w:val="Normal"/>
    <w:next w:val="Normal"/>
    <w:semiHidden/>
    <w:rsid w:val="00923785"/>
    <w:pPr>
      <w:ind w:left="284"/>
    </w:pPr>
  </w:style>
  <w:style w:type="paragraph" w:styleId="Index1">
    <w:name w:val="index 1"/>
    <w:basedOn w:val="Normal"/>
    <w:next w:val="Normal"/>
    <w:semiHidden/>
    <w:rsid w:val="00923785"/>
  </w:style>
  <w:style w:type="character" w:styleId="LineNumber">
    <w:name w:val="line number"/>
    <w:basedOn w:val="DefaultParagraphFont"/>
    <w:rsid w:val="00923785"/>
  </w:style>
  <w:style w:type="paragraph" w:styleId="IndexHeading">
    <w:name w:val="index heading"/>
    <w:basedOn w:val="Normal"/>
    <w:next w:val="Normal"/>
    <w:semiHidden/>
    <w:rsid w:val="00923785"/>
  </w:style>
  <w:style w:type="paragraph" w:styleId="Footer">
    <w:name w:val="footer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92378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923785"/>
    <w:rPr>
      <w:position w:val="6"/>
      <w:sz w:val="16"/>
    </w:rPr>
  </w:style>
  <w:style w:type="paragraph" w:styleId="FootnoteText">
    <w:name w:val="footnote text"/>
    <w:basedOn w:val="Normal"/>
    <w:semiHidden/>
    <w:rsid w:val="0092378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23785"/>
    <w:pPr>
      <w:ind w:left="794"/>
    </w:pPr>
  </w:style>
  <w:style w:type="paragraph" w:customStyle="1" w:styleId="TableLegend">
    <w:name w:val="Table_Legend"/>
    <w:basedOn w:val="TableText"/>
    <w:rsid w:val="00923785"/>
    <w:pPr>
      <w:spacing w:before="120"/>
    </w:pPr>
  </w:style>
  <w:style w:type="paragraph" w:customStyle="1" w:styleId="TableText">
    <w:name w:val="Table_Text"/>
    <w:basedOn w:val="Normal"/>
    <w:rsid w:val="009237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2378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2378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23785"/>
    <w:pPr>
      <w:spacing w:before="80"/>
      <w:ind w:left="794" w:hanging="794"/>
    </w:pPr>
  </w:style>
  <w:style w:type="paragraph" w:customStyle="1" w:styleId="enumlev2">
    <w:name w:val="enumlev2"/>
    <w:basedOn w:val="enumlev1"/>
    <w:rsid w:val="00923785"/>
    <w:pPr>
      <w:ind w:left="1191" w:hanging="397"/>
    </w:pPr>
  </w:style>
  <w:style w:type="paragraph" w:customStyle="1" w:styleId="enumlev3">
    <w:name w:val="enumlev3"/>
    <w:basedOn w:val="enumlev2"/>
    <w:rsid w:val="00923785"/>
    <w:pPr>
      <w:ind w:left="1588"/>
    </w:pPr>
  </w:style>
  <w:style w:type="paragraph" w:customStyle="1" w:styleId="TableHead">
    <w:name w:val="Table_Head"/>
    <w:basedOn w:val="TableText"/>
    <w:rsid w:val="0092378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237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23785"/>
    <w:pPr>
      <w:spacing w:before="480"/>
    </w:pPr>
  </w:style>
  <w:style w:type="paragraph" w:customStyle="1" w:styleId="FigureTitle">
    <w:name w:val="Figure_Title"/>
    <w:basedOn w:val="TableTitle"/>
    <w:next w:val="Normal"/>
    <w:rsid w:val="0092378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2378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2378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92378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23785"/>
  </w:style>
  <w:style w:type="paragraph" w:customStyle="1" w:styleId="AppendixRef">
    <w:name w:val="Appendix_Ref"/>
    <w:basedOn w:val="AnnexRef"/>
    <w:next w:val="AppendixTitle"/>
    <w:rsid w:val="00923785"/>
  </w:style>
  <w:style w:type="paragraph" w:customStyle="1" w:styleId="AppendixTitle">
    <w:name w:val="Appendix_Title"/>
    <w:basedOn w:val="AnnexTitle"/>
    <w:next w:val="Normalaftertitle"/>
    <w:rsid w:val="00923785"/>
  </w:style>
  <w:style w:type="paragraph" w:customStyle="1" w:styleId="RefTitle">
    <w:name w:val="Ref_Title"/>
    <w:basedOn w:val="Normal"/>
    <w:next w:val="RefText"/>
    <w:rsid w:val="0092378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23785"/>
    <w:pPr>
      <w:ind w:left="794" w:hanging="794"/>
    </w:pPr>
  </w:style>
  <w:style w:type="paragraph" w:customStyle="1" w:styleId="Equation">
    <w:name w:val="Equation"/>
    <w:basedOn w:val="Normal"/>
    <w:rsid w:val="0092378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2378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23785"/>
    <w:pPr>
      <w:spacing w:before="320"/>
    </w:pPr>
  </w:style>
  <w:style w:type="paragraph" w:customStyle="1" w:styleId="call">
    <w:name w:val="call"/>
    <w:basedOn w:val="Normal"/>
    <w:next w:val="Normal"/>
    <w:rsid w:val="0092378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2378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2378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2378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2378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2378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2378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2378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23785"/>
  </w:style>
  <w:style w:type="paragraph" w:customStyle="1" w:styleId="ITUbureau">
    <w:name w:val="ITU_bureau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2378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2378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237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92378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2378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923785"/>
    <w:rPr>
      <w:color w:val="0000FF"/>
      <w:u w:val="single"/>
    </w:rPr>
  </w:style>
  <w:style w:type="paragraph" w:customStyle="1" w:styleId="Qlist">
    <w:name w:val="Qlist"/>
    <w:basedOn w:val="Normal"/>
    <w:rsid w:val="0092378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23785"/>
    <w:pPr>
      <w:tabs>
        <w:tab w:val="left" w:pos="397"/>
      </w:tabs>
    </w:pPr>
  </w:style>
  <w:style w:type="paragraph" w:customStyle="1" w:styleId="FirstFooter">
    <w:name w:val="FirstFooter"/>
    <w:basedOn w:val="Footer"/>
    <w:rsid w:val="009237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923785"/>
  </w:style>
  <w:style w:type="paragraph" w:styleId="BodyText0">
    <w:name w:val="Body Text"/>
    <w:basedOn w:val="Normal"/>
    <w:rsid w:val="0092378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923785"/>
  </w:style>
  <w:style w:type="paragraph" w:customStyle="1" w:styleId="AnnexNo">
    <w:name w:val="Annex_No"/>
    <w:basedOn w:val="Normal"/>
    <w:next w:val="Normal"/>
    <w:rsid w:val="0092378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923785"/>
    <w:rPr>
      <w:color w:val="800080"/>
      <w:u w:val="single"/>
    </w:rPr>
  </w:style>
  <w:style w:type="paragraph" w:styleId="BodyTextIndent">
    <w:name w:val="Body Text Indent"/>
    <w:basedOn w:val="Normal"/>
    <w:rsid w:val="00923785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92378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68AC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68AC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71D5-A7BC-470C-874E-02E77D0D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0</TotalTime>
  <Pages>1</Pages>
  <Words>368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616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2011-02-11T15:43:00Z</cp:lastPrinted>
  <dcterms:created xsi:type="dcterms:W3CDTF">2011-02-16T07:51:00Z</dcterms:created>
  <dcterms:modified xsi:type="dcterms:W3CDTF">2011-02-16T07:51:00Z</dcterms:modified>
</cp:coreProperties>
</file>