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E24F26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D87802">
        <w:t>7 de enero de 2011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Default="00AC5FED" w:rsidP="00D8780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D87802">
              <w:rPr>
                <w:b/>
              </w:rPr>
              <w:t>159</w:t>
            </w:r>
          </w:p>
          <w:p w:rsidR="00AC5FED" w:rsidRDefault="00AC5FED" w:rsidP="00D87802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D87802">
              <w:t>17</w:t>
            </w:r>
            <w:r>
              <w:t>/</w:t>
            </w:r>
            <w:r w:rsidR="00D87802">
              <w:t>MEU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 w:rsidP="00A125D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125D2">
              <w:t xml:space="preserve"> 5866</w:t>
            </w:r>
            <w:r>
              <w:br/>
              <w:t>+41 22 730 5853</w:t>
            </w:r>
            <w:r>
              <w:br/>
            </w:r>
            <w:hyperlink r:id="rId7" w:history="1">
              <w:r w:rsidR="00A125D2" w:rsidRPr="005629E6">
                <w:rPr>
                  <w:rStyle w:val="Hyperlink"/>
                </w:rPr>
                <w:t>tsbsg17@itu.int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A125D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A125D2">
              <w:t>17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58"/>
      </w:tblGrid>
      <w:tr w:rsidR="00AC5FED" w:rsidTr="00F8323C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58" w:type="dxa"/>
          </w:tcPr>
          <w:p w:rsidR="00D87802" w:rsidRDefault="00AC5FED" w:rsidP="00D8780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Aprobación de </w:t>
            </w:r>
            <w:r w:rsidR="003B714D">
              <w:rPr>
                <w:b/>
              </w:rPr>
              <w:t>las</w:t>
            </w:r>
            <w:r w:rsidR="00D87802">
              <w:rPr>
                <w:b/>
              </w:rPr>
              <w:t xml:space="preserve"> nuevas</w:t>
            </w:r>
            <w:r>
              <w:rPr>
                <w:b/>
              </w:rPr>
              <w:t xml:space="preserve"> Recomenda</w:t>
            </w:r>
            <w:r w:rsidR="003B714D">
              <w:rPr>
                <w:b/>
              </w:rPr>
              <w:t>ci</w:t>
            </w:r>
            <w:r w:rsidR="00F8323C">
              <w:rPr>
                <w:b/>
              </w:rPr>
              <w:t>ones UIT</w:t>
            </w:r>
            <w:r w:rsidR="00F8323C">
              <w:rPr>
                <w:b/>
              </w:rPr>
              <w:noBreakHyphen/>
              <w:t>T </w:t>
            </w:r>
            <w:r w:rsidR="00D87802">
              <w:rPr>
                <w:b/>
              </w:rPr>
              <w:t>X.1032, X.1209, X.1243 y X.1245</w:t>
            </w:r>
          </w:p>
          <w:p w:rsidR="00AC5FED" w:rsidRDefault="00D87802" w:rsidP="00D87802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 aprobación del proy</w:t>
            </w:r>
            <w:r w:rsidR="00F8323C">
              <w:rPr>
                <w:b/>
              </w:rPr>
              <w:t>ecto de nueva Recomendación UIT</w:t>
            </w:r>
            <w:r w:rsidR="00F8323C">
              <w:rPr>
                <w:b/>
              </w:rPr>
              <w:noBreakHyphen/>
            </w:r>
            <w:r>
              <w:rPr>
                <w:b/>
              </w:rPr>
              <w:t>T X.673</w:t>
            </w:r>
          </w:p>
        </w:tc>
      </w:tr>
    </w:tbl>
    <w:p w:rsidR="00AC5FED" w:rsidRDefault="00AC5FED"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D87802" w:rsidRDefault="00AC5FED" w:rsidP="00D87802">
      <w:pPr>
        <w:ind w:right="-143"/>
      </w:pPr>
      <w:r>
        <w:rPr>
          <w:bCs/>
        </w:rPr>
        <w:t>1</w:t>
      </w:r>
      <w:r w:rsidR="00F8323C">
        <w:tab/>
        <w:t>Tras la Circular TSB </w:t>
      </w:r>
      <w:r w:rsidR="00D87802">
        <w:t>105</w:t>
      </w:r>
      <w:r>
        <w:t xml:space="preserve"> de </w:t>
      </w:r>
      <w:r w:rsidR="00D87802">
        <w:t>fecha 1 de junio de 2010</w:t>
      </w:r>
      <w:r>
        <w:t xml:space="preserve">, tengo el honor de comunicarle que </w:t>
      </w:r>
      <w:r w:rsidR="00D87802">
        <w:t>25</w:t>
      </w:r>
      <w:r w:rsidR="00F8323C">
        <w:t> </w:t>
      </w:r>
      <w:r>
        <w:t xml:space="preserve">Estados Miembros participantes en la </w:t>
      </w:r>
      <w:r w:rsidR="00F8323C">
        <w:t>Sesión P</w:t>
      </w:r>
      <w:r w:rsidR="00D87802">
        <w:t xml:space="preserve">lenaria de la </w:t>
      </w:r>
      <w:r>
        <w:t>última re</w:t>
      </w:r>
      <w:r w:rsidR="00F8323C">
        <w:t>unión de la Comisión de Estudio </w:t>
      </w:r>
      <w:r w:rsidR="00D87802">
        <w:t>17,</w:t>
      </w:r>
      <w:r w:rsidR="00D87802" w:rsidRPr="00D87802">
        <w:t xml:space="preserve"> </w:t>
      </w:r>
      <w:r w:rsidR="00F8323C">
        <w:t>celebrada el 17 de diciembre de </w:t>
      </w:r>
      <w:r w:rsidR="00D87802">
        <w:t>2010:</w:t>
      </w:r>
    </w:p>
    <w:p w:rsidR="00D87802" w:rsidRDefault="00D87802" w:rsidP="00D87802">
      <w:pPr>
        <w:ind w:right="-143"/>
      </w:pPr>
      <w:r>
        <w:t>1.1</w:t>
      </w:r>
      <w:r>
        <w:tab/>
      </w:r>
      <w:r w:rsidR="00F8323C" w:rsidRPr="00F8323C">
        <w:rPr>
          <w:b/>
          <w:bCs/>
        </w:rPr>
        <w:t>a</w:t>
      </w:r>
      <w:r w:rsidR="00AC5FED">
        <w:rPr>
          <w:b/>
        </w:rPr>
        <w:t>probaron</w:t>
      </w:r>
      <w:r w:rsidR="00AC5FED">
        <w:t xml:space="preserve"> el texto de </w:t>
      </w:r>
      <w:r>
        <w:t>cuatro</w:t>
      </w:r>
      <w:r w:rsidR="00AC5FED">
        <w:t xml:space="preserve"> </w:t>
      </w:r>
      <w:r>
        <w:t>nuevas</w:t>
      </w:r>
      <w:r w:rsidR="00AC5FED">
        <w:t xml:space="preserve"> Recomendaciones UIT-T</w:t>
      </w:r>
      <w:r>
        <w:t>.</w:t>
      </w:r>
    </w:p>
    <w:p w:rsidR="00D87802" w:rsidRDefault="00D87802" w:rsidP="00D87802">
      <w:pPr>
        <w:ind w:right="-143"/>
      </w:pPr>
      <w:r>
        <w:t>Los títulos de las nuevas Recomendaciones UIT-T que s</w:t>
      </w:r>
      <w:r w:rsidR="00F8323C">
        <w:t>e aprobaron son los siguientes:</w:t>
      </w:r>
    </w:p>
    <w:p w:rsidR="002E3A38" w:rsidRDefault="00D87802" w:rsidP="00860BD9">
      <w:pPr>
        <w:tabs>
          <w:tab w:val="clear" w:pos="794"/>
        </w:tabs>
        <w:ind w:left="1191" w:hanging="1191"/>
        <w:rPr>
          <w:b/>
          <w:bCs/>
        </w:rPr>
      </w:pPr>
      <w:r w:rsidRPr="00D87802">
        <w:rPr>
          <w:b/>
          <w:bCs/>
        </w:rPr>
        <w:t>X.1032</w:t>
      </w:r>
      <w:r w:rsidR="00860BD9">
        <w:rPr>
          <w:b/>
          <w:bCs/>
        </w:rPr>
        <w:tab/>
      </w:r>
      <w:r w:rsidRPr="00D87802">
        <w:rPr>
          <w:b/>
          <w:bCs/>
        </w:rPr>
        <w:t>Arquitectura de interrelaciones externas para un sistema de seguridad en las redes de telecomunicaciones</w:t>
      </w:r>
    </w:p>
    <w:p w:rsidR="00D87802" w:rsidRDefault="00D87802" w:rsidP="00860BD9">
      <w:pPr>
        <w:tabs>
          <w:tab w:val="clear" w:pos="794"/>
        </w:tabs>
        <w:ind w:left="1191" w:hanging="1191"/>
        <w:rPr>
          <w:b/>
          <w:bCs/>
        </w:rPr>
      </w:pPr>
      <w:r w:rsidRPr="00D87802">
        <w:rPr>
          <w:b/>
          <w:bCs/>
        </w:rPr>
        <w:t>X.1209</w:t>
      </w:r>
      <w:r w:rsidR="00F8323C">
        <w:rPr>
          <w:b/>
          <w:bCs/>
        </w:rPr>
        <w:tab/>
      </w:r>
      <w:r w:rsidRPr="00D87802">
        <w:rPr>
          <w:b/>
          <w:bCs/>
        </w:rPr>
        <w:t xml:space="preserve">Capacidades y tipos de contexto para compartir e intercambiar información sobre </w:t>
      </w:r>
      <w:proofErr w:type="spellStart"/>
      <w:r w:rsidRPr="00D87802">
        <w:rPr>
          <w:b/>
          <w:bCs/>
        </w:rPr>
        <w:t>ciberseguridad</w:t>
      </w:r>
      <w:proofErr w:type="spellEnd"/>
    </w:p>
    <w:p w:rsidR="00D87802" w:rsidRDefault="00D87802" w:rsidP="00860BD9">
      <w:pPr>
        <w:tabs>
          <w:tab w:val="clear" w:pos="794"/>
        </w:tabs>
        <w:ind w:left="1191" w:hanging="1191"/>
        <w:rPr>
          <w:b/>
          <w:bCs/>
        </w:rPr>
      </w:pPr>
      <w:r w:rsidRPr="00D87802">
        <w:rPr>
          <w:b/>
          <w:bCs/>
        </w:rPr>
        <w:t>X.1243</w:t>
      </w:r>
      <w:r>
        <w:rPr>
          <w:b/>
          <w:bCs/>
        </w:rPr>
        <w:tab/>
      </w:r>
      <w:r w:rsidR="00D87E54" w:rsidRPr="00D87E54">
        <w:rPr>
          <w:b/>
          <w:bCs/>
        </w:rPr>
        <w:t>Sistema de pasarela interactiva para luchar contra el correo basura</w:t>
      </w:r>
    </w:p>
    <w:p w:rsidR="00D87802" w:rsidRPr="002E3A38" w:rsidRDefault="00D87802" w:rsidP="00860BD9">
      <w:pPr>
        <w:tabs>
          <w:tab w:val="clear" w:pos="794"/>
        </w:tabs>
        <w:ind w:left="1191" w:hanging="1191"/>
        <w:rPr>
          <w:b/>
          <w:bCs/>
        </w:rPr>
      </w:pPr>
      <w:r w:rsidRPr="00D87802">
        <w:rPr>
          <w:b/>
          <w:bCs/>
        </w:rPr>
        <w:t>X.1245</w:t>
      </w:r>
      <w:r w:rsidR="00D87E54">
        <w:rPr>
          <w:b/>
          <w:bCs/>
        </w:rPr>
        <w:tab/>
      </w:r>
      <w:r w:rsidR="00D87E54" w:rsidRPr="00D87E54">
        <w:rPr>
          <w:b/>
          <w:bCs/>
        </w:rPr>
        <w:t>Marco para luchar contra el correo basura en aplicaciones multimedios IP</w:t>
      </w:r>
    </w:p>
    <w:p w:rsidR="00D87E54" w:rsidRDefault="00D87E54">
      <w:pPr>
        <w:rPr>
          <w:bCs/>
        </w:rPr>
      </w:pPr>
      <w:r>
        <w:rPr>
          <w:bCs/>
        </w:rPr>
        <w:t>1.2</w:t>
      </w:r>
      <w:r>
        <w:rPr>
          <w:bCs/>
        </w:rPr>
        <w:tab/>
      </w:r>
      <w:r w:rsidRPr="00053380">
        <w:rPr>
          <w:b/>
        </w:rPr>
        <w:t>no aprobaron</w:t>
      </w:r>
      <w:r>
        <w:rPr>
          <w:bCs/>
        </w:rPr>
        <w:t xml:space="preserve"> el texto del </w:t>
      </w:r>
      <w:r w:rsidRPr="00D87E54">
        <w:rPr>
          <w:bCs/>
        </w:rPr>
        <w:t>proyecto de nueva Recomendación UIT-T X.673</w:t>
      </w:r>
      <w:r>
        <w:rPr>
          <w:bCs/>
        </w:rPr>
        <w:t>.</w:t>
      </w:r>
    </w:p>
    <w:p w:rsidR="00D87E54" w:rsidRDefault="00D87E54">
      <w:pPr>
        <w:rPr>
          <w:bCs/>
        </w:rPr>
      </w:pPr>
      <w:r>
        <w:rPr>
          <w:bCs/>
        </w:rPr>
        <w:t>El título del proyecto de nueva Recomendación del UIT-T que no fue aprobado es:</w:t>
      </w:r>
    </w:p>
    <w:p w:rsidR="00D87E54" w:rsidRDefault="00D87E54" w:rsidP="00860BD9">
      <w:pPr>
        <w:tabs>
          <w:tab w:val="clear" w:pos="794"/>
        </w:tabs>
        <w:ind w:left="1191" w:hanging="1191"/>
        <w:rPr>
          <w:b/>
          <w:bCs/>
        </w:rPr>
      </w:pPr>
      <w:r w:rsidRPr="00D87802">
        <w:rPr>
          <w:b/>
          <w:bCs/>
        </w:rPr>
        <w:t>X.</w:t>
      </w:r>
      <w:r>
        <w:rPr>
          <w:b/>
          <w:bCs/>
        </w:rPr>
        <w:t>673</w:t>
      </w:r>
      <w:r>
        <w:rPr>
          <w:b/>
          <w:bCs/>
        </w:rPr>
        <w:tab/>
      </w:r>
      <w:r w:rsidRPr="00D87E54">
        <w:rPr>
          <w:b/>
          <w:bCs/>
        </w:rPr>
        <w:t>Tecnología de la información –</w:t>
      </w:r>
      <w:r>
        <w:rPr>
          <w:b/>
          <w:bCs/>
        </w:rPr>
        <w:t xml:space="preserve"> </w:t>
      </w:r>
      <w:r w:rsidRPr="00D87E54">
        <w:rPr>
          <w:b/>
          <w:bCs/>
        </w:rPr>
        <w:t>Interconexión de sistemas</w:t>
      </w:r>
      <w:r>
        <w:rPr>
          <w:b/>
          <w:bCs/>
        </w:rPr>
        <w:t xml:space="preserve"> </w:t>
      </w:r>
      <w:r w:rsidRPr="00D87E54">
        <w:rPr>
          <w:b/>
          <w:bCs/>
        </w:rPr>
        <w:t xml:space="preserve">abiertos </w:t>
      </w:r>
      <w:r>
        <w:rPr>
          <w:b/>
          <w:bCs/>
        </w:rPr>
        <w:t xml:space="preserve">– </w:t>
      </w:r>
      <w:r w:rsidRPr="00D87E54">
        <w:rPr>
          <w:b/>
          <w:bCs/>
        </w:rPr>
        <w:t>Procedimientos para el organismo encargado del sistema de resolución de identificadores de objeto</w:t>
      </w:r>
    </w:p>
    <w:p w:rsidR="00A125D2" w:rsidRPr="00093314" w:rsidRDefault="00A125D2" w:rsidP="00735C89">
      <w:pPr>
        <w:pStyle w:val="Note"/>
      </w:pPr>
      <w:r w:rsidRPr="00093314">
        <w:t>N</w:t>
      </w:r>
      <w:r w:rsidR="00F8323C">
        <w:t xml:space="preserve">OTA </w:t>
      </w:r>
      <w:r w:rsidR="00F8323C" w:rsidRPr="00F8323C">
        <w:t>–</w:t>
      </w:r>
      <w:r w:rsidRPr="00093314">
        <w:t xml:space="preserve"> </w:t>
      </w:r>
      <w:r>
        <w:t>Se dan por finalizados los trabajos sob</w:t>
      </w:r>
      <w:r w:rsidR="00F8323C">
        <w:t>re el proyecto de Recomendación UIT</w:t>
      </w:r>
      <w:r w:rsidR="00F8323C">
        <w:noBreakHyphen/>
      </w:r>
      <w:r>
        <w:t xml:space="preserve">T </w:t>
      </w:r>
      <w:r w:rsidRPr="00093314">
        <w:t>X.673.</w:t>
      </w:r>
      <w:r w:rsidR="00735C89">
        <w:t xml:space="preserve"> </w:t>
      </w:r>
      <w:r w:rsidR="00F8323C">
        <w:t>ISO/IEC JTC 1/SC </w:t>
      </w:r>
      <w:r w:rsidRPr="00093314">
        <w:t xml:space="preserve">6 </w:t>
      </w:r>
      <w:r>
        <w:t xml:space="preserve">seguirá con la labor encaminada a una norma internacional </w:t>
      </w:r>
      <w:r w:rsidRPr="00093314">
        <w:t>ISO/IEC 29168-2.</w:t>
      </w:r>
    </w:p>
    <w:p w:rsidR="00F8323C" w:rsidRDefault="00F832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5FED" w:rsidRDefault="00D87E54">
      <w:r>
        <w:lastRenderedPageBreak/>
        <w:t>2</w:t>
      </w:r>
      <w:r w:rsidR="00AC5FED">
        <w:tab/>
        <w:t>Puede accederse en línea a la información disponible sobre patentes a través del sitio web del UIT</w:t>
      </w:r>
      <w:r w:rsidR="00AC5FED">
        <w:noBreakHyphen/>
        <w:t>T.</w:t>
      </w:r>
    </w:p>
    <w:p w:rsidR="00AC5FED" w:rsidRDefault="00F8323C" w:rsidP="00D87E54">
      <w:r>
        <w:t>3</w:t>
      </w:r>
      <w:r w:rsidR="00AC5FED">
        <w:tab/>
      </w:r>
      <w:r w:rsidR="00D87E54">
        <w:t>L</w:t>
      </w:r>
      <w:r w:rsidR="00AC5FED">
        <w:t>os textos de las</w:t>
      </w:r>
      <w:r w:rsidR="002E3A38">
        <w:t xml:space="preserve"> </w:t>
      </w:r>
      <w:r w:rsidR="00D87E54">
        <w:t>Recomendaciones</w:t>
      </w:r>
      <w:r w:rsidR="00AC5FED">
        <w:t xml:space="preserve"> </w:t>
      </w:r>
      <w:proofErr w:type="spellStart"/>
      <w:r w:rsidR="00AC5FED">
        <w:t>prepublicadas</w:t>
      </w:r>
      <w:proofErr w:type="spellEnd"/>
      <w:r w:rsidR="00AC5FED">
        <w:t xml:space="preserve"> pronto estarán disponibles en el sitio web del UIT-T.</w:t>
      </w:r>
    </w:p>
    <w:p w:rsidR="00AC5FED" w:rsidRDefault="00F8323C" w:rsidP="00A125D2">
      <w:r>
        <w:t>4</w:t>
      </w:r>
      <w:r w:rsidR="00AC5FED">
        <w:tab/>
        <w:t xml:space="preserve">La UIT publicará lo antes posible los textos de estas </w:t>
      </w:r>
      <w:r w:rsidR="00A125D2">
        <w:t>Recomendaciones</w:t>
      </w:r>
      <w:r w:rsidR="00AC5FED">
        <w:t>.</w:t>
      </w:r>
    </w:p>
    <w:p w:rsidR="00536427" w:rsidRDefault="00AC5FED" w:rsidP="00536427">
      <w:r>
        <w:t>Le saluda muy atentamente,</w:t>
      </w:r>
    </w:p>
    <w:p w:rsidR="00536427" w:rsidRDefault="00536427" w:rsidP="00536427"/>
    <w:p w:rsidR="00536427" w:rsidRDefault="00536427" w:rsidP="00536427"/>
    <w:p w:rsidR="00536427" w:rsidRDefault="00536427" w:rsidP="00536427"/>
    <w:p w:rsidR="00AC5FED" w:rsidRDefault="00CA080F" w:rsidP="00F8323C"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</w:p>
    <w:sectPr w:rsidR="00AC5FED" w:rsidSect="00076FD0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26" w:rsidRDefault="003D4026">
      <w:r>
        <w:separator/>
      </w:r>
    </w:p>
  </w:endnote>
  <w:endnote w:type="continuationSeparator" w:id="0">
    <w:p w:rsidR="003D4026" w:rsidRDefault="003D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26" w:rsidRPr="002C1B4B" w:rsidRDefault="002C1B4B" w:rsidP="002C1B4B">
    <w:pPr>
      <w:pStyle w:val="Footer"/>
      <w:rPr>
        <w:sz w:val="16"/>
        <w:lang w:val="fr-CH"/>
      </w:rPr>
    </w:pPr>
    <w:r>
      <w:rPr>
        <w:sz w:val="16"/>
        <w:lang w:val="fr-CH"/>
      </w:rPr>
      <w:t>ITU-T\BUREAU\CIRC\159S.DOC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3D4026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4026" w:rsidRDefault="003D4026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4026" w:rsidRDefault="003D402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4026" w:rsidRDefault="003D4026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4026" w:rsidRDefault="003D4026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3D4026">
      <w:tc>
        <w:tcPr>
          <w:tcW w:w="1985" w:type="dxa"/>
        </w:tcPr>
        <w:p w:rsidR="003D4026" w:rsidRDefault="003D402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3D4026" w:rsidRDefault="003D402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3D4026" w:rsidRDefault="003D402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3D4026" w:rsidRDefault="003D4026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3D4026">
      <w:tc>
        <w:tcPr>
          <w:tcW w:w="1985" w:type="dxa"/>
        </w:tcPr>
        <w:p w:rsidR="003D4026" w:rsidRDefault="003D402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3D4026" w:rsidRDefault="003D402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3D4026" w:rsidRDefault="003D4026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3D4026" w:rsidRDefault="003D4026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3D4026" w:rsidRDefault="003D4026" w:rsidP="001A33E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26" w:rsidRDefault="003D4026">
      <w:r>
        <w:t>____________________</w:t>
      </w:r>
    </w:p>
  </w:footnote>
  <w:footnote w:type="continuationSeparator" w:id="0">
    <w:p w:rsidR="003D4026" w:rsidRDefault="003D4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026" w:rsidRPr="001A33ED" w:rsidRDefault="003D4026">
    <w:pPr>
      <w:pStyle w:val="Header"/>
      <w:rPr>
        <w:sz w:val="18"/>
        <w:szCs w:val="18"/>
      </w:rPr>
    </w:pPr>
    <w:r w:rsidRPr="001A33ED">
      <w:rPr>
        <w:sz w:val="18"/>
        <w:szCs w:val="18"/>
      </w:rPr>
      <w:t xml:space="preserve">- </w:t>
    </w:r>
    <w:r w:rsidR="00043580" w:rsidRPr="001A33ED">
      <w:rPr>
        <w:sz w:val="18"/>
        <w:szCs w:val="18"/>
      </w:rPr>
      <w:fldChar w:fldCharType="begin"/>
    </w:r>
    <w:r w:rsidRPr="001A33ED">
      <w:rPr>
        <w:sz w:val="18"/>
        <w:szCs w:val="18"/>
      </w:rPr>
      <w:instrText>PAGE</w:instrText>
    </w:r>
    <w:r w:rsidR="00043580" w:rsidRPr="001A33ED">
      <w:rPr>
        <w:sz w:val="18"/>
        <w:szCs w:val="18"/>
      </w:rPr>
      <w:fldChar w:fldCharType="separate"/>
    </w:r>
    <w:r w:rsidR="007A2A47">
      <w:rPr>
        <w:noProof/>
        <w:sz w:val="18"/>
        <w:szCs w:val="18"/>
      </w:rPr>
      <w:t>2</w:t>
    </w:r>
    <w:r w:rsidR="00043580" w:rsidRPr="001A33ED">
      <w:rPr>
        <w:sz w:val="18"/>
        <w:szCs w:val="18"/>
      </w:rPr>
      <w:fldChar w:fldCharType="end"/>
    </w:r>
    <w:r w:rsidRPr="001A33ED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gnword-docGUID" w:val="{0390E34F-6E39-4288-BDF1-3B20FAC44E46}"/>
    <w:docVar w:name="dgnword-eventsink" w:val="90929976"/>
  </w:docVars>
  <w:rsids>
    <w:rsidRoot w:val="001A33ED"/>
    <w:rsid w:val="00022CAF"/>
    <w:rsid w:val="00043580"/>
    <w:rsid w:val="00053380"/>
    <w:rsid w:val="00076FD0"/>
    <w:rsid w:val="001A33ED"/>
    <w:rsid w:val="00211275"/>
    <w:rsid w:val="00234758"/>
    <w:rsid w:val="002C1B4B"/>
    <w:rsid w:val="002E3749"/>
    <w:rsid w:val="002E3A38"/>
    <w:rsid w:val="00334B9C"/>
    <w:rsid w:val="00365F48"/>
    <w:rsid w:val="00383065"/>
    <w:rsid w:val="003B714D"/>
    <w:rsid w:val="003D4026"/>
    <w:rsid w:val="004D7316"/>
    <w:rsid w:val="00536427"/>
    <w:rsid w:val="00634CA5"/>
    <w:rsid w:val="00655CBF"/>
    <w:rsid w:val="0068172F"/>
    <w:rsid w:val="00735C89"/>
    <w:rsid w:val="007A2A47"/>
    <w:rsid w:val="007F5964"/>
    <w:rsid w:val="0084625C"/>
    <w:rsid w:val="00860BD9"/>
    <w:rsid w:val="008E4CA3"/>
    <w:rsid w:val="009A1787"/>
    <w:rsid w:val="00A125D2"/>
    <w:rsid w:val="00A71673"/>
    <w:rsid w:val="00A81665"/>
    <w:rsid w:val="00AC5FED"/>
    <w:rsid w:val="00BE577D"/>
    <w:rsid w:val="00CA080F"/>
    <w:rsid w:val="00CF1B22"/>
    <w:rsid w:val="00D440C7"/>
    <w:rsid w:val="00D87802"/>
    <w:rsid w:val="00D87E54"/>
    <w:rsid w:val="00D932E9"/>
    <w:rsid w:val="00E24F26"/>
    <w:rsid w:val="00F8323C"/>
    <w:rsid w:val="00FB3085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C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655CB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55CB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55CB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55CB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55CB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55CB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55CB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55CB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55CB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55CBF"/>
  </w:style>
  <w:style w:type="paragraph" w:styleId="TOC7">
    <w:name w:val="toc 7"/>
    <w:basedOn w:val="TOC3"/>
    <w:semiHidden/>
    <w:rsid w:val="00655CBF"/>
  </w:style>
  <w:style w:type="paragraph" w:styleId="TOC6">
    <w:name w:val="toc 6"/>
    <w:basedOn w:val="TOC3"/>
    <w:semiHidden/>
    <w:rsid w:val="00655CBF"/>
  </w:style>
  <w:style w:type="paragraph" w:styleId="TOC5">
    <w:name w:val="toc 5"/>
    <w:basedOn w:val="TOC3"/>
    <w:semiHidden/>
    <w:rsid w:val="00655CBF"/>
  </w:style>
  <w:style w:type="paragraph" w:styleId="TOC4">
    <w:name w:val="toc 4"/>
    <w:basedOn w:val="TOC3"/>
    <w:semiHidden/>
    <w:rsid w:val="00655CBF"/>
  </w:style>
  <w:style w:type="paragraph" w:styleId="TOC3">
    <w:name w:val="toc 3"/>
    <w:basedOn w:val="TOC2"/>
    <w:semiHidden/>
    <w:rsid w:val="00655CBF"/>
    <w:pPr>
      <w:spacing w:before="80"/>
    </w:pPr>
  </w:style>
  <w:style w:type="paragraph" w:styleId="TOC2">
    <w:name w:val="toc 2"/>
    <w:basedOn w:val="TOC1"/>
    <w:semiHidden/>
    <w:rsid w:val="00655CBF"/>
    <w:pPr>
      <w:spacing w:before="120"/>
    </w:pPr>
  </w:style>
  <w:style w:type="paragraph" w:styleId="TOC1">
    <w:name w:val="toc 1"/>
    <w:basedOn w:val="Normal"/>
    <w:semiHidden/>
    <w:rsid w:val="00655CB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55CBF"/>
    <w:pPr>
      <w:ind w:left="1698"/>
    </w:pPr>
  </w:style>
  <w:style w:type="paragraph" w:styleId="Index6">
    <w:name w:val="index 6"/>
    <w:basedOn w:val="Normal"/>
    <w:next w:val="Normal"/>
    <w:semiHidden/>
    <w:rsid w:val="00655CBF"/>
    <w:pPr>
      <w:ind w:left="1415"/>
    </w:pPr>
  </w:style>
  <w:style w:type="paragraph" w:styleId="Index5">
    <w:name w:val="index 5"/>
    <w:basedOn w:val="Normal"/>
    <w:next w:val="Normal"/>
    <w:semiHidden/>
    <w:rsid w:val="00655CBF"/>
    <w:pPr>
      <w:ind w:left="1132"/>
    </w:pPr>
  </w:style>
  <w:style w:type="paragraph" w:styleId="Index4">
    <w:name w:val="index 4"/>
    <w:basedOn w:val="Normal"/>
    <w:next w:val="Normal"/>
    <w:semiHidden/>
    <w:rsid w:val="00655CBF"/>
    <w:pPr>
      <w:ind w:left="849"/>
    </w:pPr>
  </w:style>
  <w:style w:type="paragraph" w:styleId="Index3">
    <w:name w:val="index 3"/>
    <w:basedOn w:val="Normal"/>
    <w:next w:val="Normal"/>
    <w:semiHidden/>
    <w:rsid w:val="00655CBF"/>
    <w:pPr>
      <w:ind w:left="566"/>
    </w:pPr>
  </w:style>
  <w:style w:type="paragraph" w:styleId="Index2">
    <w:name w:val="index 2"/>
    <w:basedOn w:val="Normal"/>
    <w:next w:val="Normal"/>
    <w:semiHidden/>
    <w:rsid w:val="00655CBF"/>
    <w:pPr>
      <w:ind w:left="283"/>
    </w:pPr>
  </w:style>
  <w:style w:type="paragraph" w:styleId="Index1">
    <w:name w:val="index 1"/>
    <w:basedOn w:val="Normal"/>
    <w:next w:val="Normal"/>
    <w:semiHidden/>
    <w:rsid w:val="00655CBF"/>
  </w:style>
  <w:style w:type="character" w:styleId="LineNumber">
    <w:name w:val="line number"/>
    <w:basedOn w:val="DefaultParagraphFont"/>
    <w:rsid w:val="00655CBF"/>
  </w:style>
  <w:style w:type="paragraph" w:styleId="IndexHeading">
    <w:name w:val="index heading"/>
    <w:basedOn w:val="Normal"/>
    <w:next w:val="Index1"/>
    <w:semiHidden/>
    <w:rsid w:val="00655CBF"/>
  </w:style>
  <w:style w:type="paragraph" w:styleId="Footer">
    <w:name w:val="footer"/>
    <w:basedOn w:val="Normal"/>
    <w:link w:val="FooterChar"/>
    <w:rsid w:val="00655CB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55C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55CBF"/>
    <w:rPr>
      <w:position w:val="6"/>
      <w:sz w:val="16"/>
    </w:rPr>
  </w:style>
  <w:style w:type="paragraph" w:styleId="FootnoteText">
    <w:name w:val="footnote text"/>
    <w:basedOn w:val="Normal"/>
    <w:semiHidden/>
    <w:rsid w:val="00655CB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55CBF"/>
    <w:pPr>
      <w:ind w:left="794"/>
    </w:pPr>
  </w:style>
  <w:style w:type="paragraph" w:customStyle="1" w:styleId="TableLegend">
    <w:name w:val="Table_Legend"/>
    <w:basedOn w:val="TableText"/>
    <w:rsid w:val="00655CBF"/>
    <w:pPr>
      <w:spacing w:before="120"/>
    </w:pPr>
  </w:style>
  <w:style w:type="paragraph" w:customStyle="1" w:styleId="TableText">
    <w:name w:val="Table_Text"/>
    <w:basedOn w:val="Normal"/>
    <w:rsid w:val="00655C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55CB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55CB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55CBF"/>
    <w:pPr>
      <w:spacing w:before="80"/>
      <w:ind w:left="794" w:hanging="794"/>
    </w:pPr>
  </w:style>
  <w:style w:type="paragraph" w:customStyle="1" w:styleId="enumlev2">
    <w:name w:val="enumlev2"/>
    <w:basedOn w:val="enumlev1"/>
    <w:rsid w:val="00655CBF"/>
    <w:pPr>
      <w:ind w:left="1191" w:hanging="397"/>
    </w:pPr>
  </w:style>
  <w:style w:type="paragraph" w:customStyle="1" w:styleId="enumlev3">
    <w:name w:val="enumlev3"/>
    <w:basedOn w:val="enumlev2"/>
    <w:rsid w:val="00655CBF"/>
    <w:pPr>
      <w:ind w:left="1588"/>
    </w:pPr>
  </w:style>
  <w:style w:type="paragraph" w:customStyle="1" w:styleId="TableHead">
    <w:name w:val="Table_Head"/>
    <w:basedOn w:val="TableText"/>
    <w:rsid w:val="00655CB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55CB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55CBF"/>
    <w:pPr>
      <w:spacing w:before="480"/>
    </w:pPr>
  </w:style>
  <w:style w:type="paragraph" w:customStyle="1" w:styleId="FigureTitle">
    <w:name w:val="Figure_Title"/>
    <w:basedOn w:val="TableTitle"/>
    <w:next w:val="Normal"/>
    <w:rsid w:val="00655CB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55CB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55CB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55CB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55CBF"/>
  </w:style>
  <w:style w:type="paragraph" w:customStyle="1" w:styleId="AppendixRef">
    <w:name w:val="Appendix_Ref"/>
    <w:basedOn w:val="AnnexRef"/>
    <w:next w:val="AppendixTitle"/>
    <w:rsid w:val="00655CBF"/>
  </w:style>
  <w:style w:type="paragraph" w:customStyle="1" w:styleId="AppendixTitle">
    <w:name w:val="Appendix_Title"/>
    <w:basedOn w:val="AnnexTitle"/>
    <w:next w:val="Normal"/>
    <w:rsid w:val="00655CBF"/>
  </w:style>
  <w:style w:type="paragraph" w:customStyle="1" w:styleId="RefTitle">
    <w:name w:val="Ref_Title"/>
    <w:basedOn w:val="Normal"/>
    <w:next w:val="RefText"/>
    <w:rsid w:val="00655CB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55CBF"/>
    <w:pPr>
      <w:ind w:left="794" w:hanging="794"/>
    </w:pPr>
  </w:style>
  <w:style w:type="paragraph" w:customStyle="1" w:styleId="Equation">
    <w:name w:val="Equation"/>
    <w:basedOn w:val="Normal"/>
    <w:rsid w:val="00655CB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55CB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55CBF"/>
    <w:pPr>
      <w:spacing w:before="320"/>
    </w:pPr>
  </w:style>
  <w:style w:type="paragraph" w:customStyle="1" w:styleId="call">
    <w:name w:val="call"/>
    <w:basedOn w:val="Normal"/>
    <w:next w:val="Normal"/>
    <w:rsid w:val="00655CB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55CB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55CB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655CBF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55CBF"/>
    <w:pPr>
      <w:spacing w:after="120"/>
    </w:pPr>
  </w:style>
  <w:style w:type="paragraph" w:customStyle="1" w:styleId="EquationLegend">
    <w:name w:val="Equation_Legend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55CBF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55CBF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55CBF"/>
    <w:pPr>
      <w:tabs>
        <w:tab w:val="left" w:pos="397"/>
      </w:tabs>
    </w:pPr>
  </w:style>
  <w:style w:type="paragraph" w:styleId="TOC9">
    <w:name w:val="toc 9"/>
    <w:basedOn w:val="TOC3"/>
    <w:semiHidden/>
    <w:rsid w:val="00655CBF"/>
  </w:style>
  <w:style w:type="paragraph" w:customStyle="1" w:styleId="headingb">
    <w:name w:val="heading_b"/>
    <w:basedOn w:val="Heading3"/>
    <w:next w:val="Normal"/>
    <w:rsid w:val="00655CB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55CBF"/>
    <w:pPr>
      <w:spacing w:before="160"/>
      <w:ind w:left="0" w:firstLine="0"/>
      <w:outlineLvl w:val="9"/>
    </w:pPr>
    <w:rPr>
      <w:b w:val="0"/>
      <w:i/>
    </w:rPr>
  </w:style>
  <w:style w:type="character" w:customStyle="1" w:styleId="FooterChar">
    <w:name w:val="Footer Char"/>
    <w:basedOn w:val="DefaultParagraphFont"/>
    <w:link w:val="Footer"/>
    <w:rsid w:val="002C1B4B"/>
    <w:rPr>
      <w:rFonts w:ascii="Times New Roman" w:hAnsi="Times New Roman"/>
      <w:caps/>
      <w:sz w:val="18"/>
      <w:lang w:val="es-ES" w:eastAsia="en-US"/>
    </w:rPr>
  </w:style>
  <w:style w:type="character" w:styleId="FollowedHyperlink">
    <w:name w:val="FollowedHyperlink"/>
    <w:basedOn w:val="DefaultParagraphFont"/>
    <w:rsid w:val="007A2A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RAD\S\ITU-T\BUREAU\CIRC\100\159%20(300635)%20LIN%20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 (300635) LIN S</Template>
  <TotalTime>0</TotalTime>
  <Pages>2</Pages>
  <Words>369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2393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cuevas</dc:creator>
  <cp:keywords/>
  <dc:description/>
  <cp:lastModifiedBy>bettini</cp:lastModifiedBy>
  <cp:revision>2</cp:revision>
  <cp:lastPrinted>2011-01-10T13:31:00Z</cp:lastPrinted>
  <dcterms:created xsi:type="dcterms:W3CDTF">2011-01-17T10:20:00Z</dcterms:created>
  <dcterms:modified xsi:type="dcterms:W3CDTF">2011-01-17T10:20:00Z</dcterms:modified>
</cp:coreProperties>
</file>