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526"/>
        <w:bidiVisual/>
        <w:tblW w:w="9639" w:type="dxa"/>
        <w:jc w:val="right"/>
        <w:tblInd w:w="69" w:type="dxa"/>
        <w:tblLayout w:type="fixed"/>
        <w:tblLook w:val="0000"/>
      </w:tblPr>
      <w:tblGrid>
        <w:gridCol w:w="6309"/>
        <w:gridCol w:w="3330"/>
      </w:tblGrid>
      <w:tr w:rsidR="00C925F9" w:rsidRPr="00C56944" w:rsidTr="002C7C46">
        <w:trPr>
          <w:cantSplit/>
          <w:jc w:val="right"/>
        </w:trPr>
        <w:tc>
          <w:tcPr>
            <w:tcW w:w="6309" w:type="dxa"/>
            <w:vAlign w:val="center"/>
          </w:tcPr>
          <w:p w:rsidR="00C925F9" w:rsidRPr="00BB168F" w:rsidRDefault="00C925F9" w:rsidP="002C7C46">
            <w:pPr>
              <w:spacing w:before="0" w:line="240" w:lineRule="atLeast"/>
              <w:jc w:val="left"/>
              <w:rPr>
                <w:rFonts w:ascii="Times" w:hAnsi="Times"/>
                <w:lang w:bidi="ar-EG"/>
              </w:rPr>
            </w:pPr>
            <w:r w:rsidRPr="00C56944">
              <w:rPr>
                <w:rFonts w:hint="cs"/>
                <w:b/>
                <w:bCs/>
                <w:sz w:val="44"/>
                <w:szCs w:val="44"/>
                <w:rtl/>
              </w:rPr>
              <w:t>مكتب تقييس الاتصالات</w:t>
            </w:r>
          </w:p>
        </w:tc>
        <w:tc>
          <w:tcPr>
            <w:tcW w:w="3330" w:type="dxa"/>
            <w:vAlign w:val="center"/>
          </w:tcPr>
          <w:p w:rsidR="00C925F9" w:rsidRPr="00C56944" w:rsidRDefault="00C925F9" w:rsidP="002C7C46">
            <w:pPr>
              <w:jc w:val="right"/>
              <w:rPr>
                <w:b/>
                <w:bCs/>
                <w:sz w:val="44"/>
                <w:szCs w:val="44"/>
                <w:rtl/>
              </w:rPr>
            </w:pPr>
            <w:r w:rsidRPr="00D1782D">
              <w:rPr>
                <w:b/>
                <w:bCs/>
                <w:noProof/>
                <w:sz w:val="44"/>
                <w:szCs w:val="44"/>
                <w:rtl/>
                <w:lang w:eastAsia="zh-CN"/>
              </w:rPr>
              <w:drawing>
                <wp:inline distT="0" distB="0" distL="0" distR="0">
                  <wp:extent cx="1818000" cy="710030"/>
                  <wp:effectExtent l="19050" t="0" r="0" b="0"/>
                  <wp:docPr id="2" name="Picture 1"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7" cstate="print"/>
                          <a:srcRect/>
                          <a:stretch>
                            <a:fillRect/>
                          </a:stretch>
                        </pic:blipFill>
                        <pic:spPr bwMode="auto">
                          <a:xfrm>
                            <a:off x="0" y="0"/>
                            <a:ext cx="1818000" cy="710030"/>
                          </a:xfrm>
                          <a:prstGeom prst="rect">
                            <a:avLst/>
                          </a:prstGeom>
                          <a:noFill/>
                          <a:ln w="9525">
                            <a:noFill/>
                            <a:miter lim="800000"/>
                            <a:headEnd/>
                            <a:tailEnd/>
                          </a:ln>
                        </pic:spPr>
                      </pic:pic>
                    </a:graphicData>
                  </a:graphic>
                </wp:inline>
              </w:drawing>
            </w:r>
          </w:p>
        </w:tc>
      </w:tr>
      <w:tr w:rsidR="00C925F9" w:rsidRPr="00617BE4" w:rsidTr="002C7C46">
        <w:trPr>
          <w:cantSplit/>
          <w:jc w:val="right"/>
        </w:trPr>
        <w:tc>
          <w:tcPr>
            <w:tcW w:w="6309" w:type="dxa"/>
          </w:tcPr>
          <w:p w:rsidR="00C925F9" w:rsidRPr="00617BE4" w:rsidRDefault="00C925F9" w:rsidP="002C7C46">
            <w:pPr>
              <w:spacing w:before="0" w:after="48" w:line="240" w:lineRule="atLeast"/>
              <w:rPr>
                <w:b/>
                <w:smallCaps/>
                <w:szCs w:val="24"/>
                <w:lang w:bidi="ar-EG"/>
              </w:rPr>
            </w:pPr>
          </w:p>
        </w:tc>
        <w:tc>
          <w:tcPr>
            <w:tcW w:w="3330" w:type="dxa"/>
          </w:tcPr>
          <w:p w:rsidR="00C925F9" w:rsidRPr="00617BE4" w:rsidRDefault="00C925F9" w:rsidP="002C7C46">
            <w:pPr>
              <w:spacing w:before="0" w:line="240" w:lineRule="atLeast"/>
              <w:rPr>
                <w:rFonts w:ascii="Verdana" w:hAnsi="Verdana"/>
                <w:szCs w:val="24"/>
              </w:rPr>
            </w:pPr>
          </w:p>
        </w:tc>
      </w:tr>
    </w:tbl>
    <w:p w:rsidR="000C3471" w:rsidRDefault="000C3471"/>
    <w:tbl>
      <w:tblPr>
        <w:bidiVisual/>
        <w:tblW w:w="9647" w:type="dxa"/>
        <w:tblInd w:w="-6" w:type="dxa"/>
        <w:tblLayout w:type="fixed"/>
        <w:tblCellMar>
          <w:left w:w="0" w:type="dxa"/>
          <w:right w:w="0" w:type="dxa"/>
        </w:tblCellMar>
        <w:tblLook w:val="0000"/>
      </w:tblPr>
      <w:tblGrid>
        <w:gridCol w:w="1547"/>
        <w:gridCol w:w="3340"/>
        <w:gridCol w:w="4760"/>
      </w:tblGrid>
      <w:tr w:rsidR="009F4B09" w:rsidRPr="000622C7" w:rsidTr="002C7C46">
        <w:trPr>
          <w:cantSplit/>
          <w:trHeight w:val="340"/>
        </w:trPr>
        <w:tc>
          <w:tcPr>
            <w:tcW w:w="1547" w:type="dxa"/>
          </w:tcPr>
          <w:p w:rsidR="009F4B09" w:rsidRPr="000622C7" w:rsidRDefault="009F4B09" w:rsidP="0033273E">
            <w:pPr>
              <w:tabs>
                <w:tab w:val="left" w:pos="4111"/>
              </w:tabs>
              <w:spacing w:before="20" w:line="300" w:lineRule="exact"/>
              <w:ind w:left="57"/>
            </w:pPr>
          </w:p>
        </w:tc>
        <w:tc>
          <w:tcPr>
            <w:tcW w:w="3340" w:type="dxa"/>
          </w:tcPr>
          <w:p w:rsidR="009F4B09" w:rsidRPr="000622C7" w:rsidRDefault="009F4B09" w:rsidP="0033273E">
            <w:pPr>
              <w:tabs>
                <w:tab w:val="left" w:pos="4111"/>
              </w:tabs>
              <w:spacing w:before="20" w:line="300" w:lineRule="exact"/>
              <w:ind w:left="57"/>
              <w:rPr>
                <w:b/>
              </w:rPr>
            </w:pPr>
          </w:p>
        </w:tc>
        <w:tc>
          <w:tcPr>
            <w:tcW w:w="4760" w:type="dxa"/>
          </w:tcPr>
          <w:p w:rsidR="009F4B09" w:rsidRPr="000622C7" w:rsidRDefault="00064EC5" w:rsidP="0033273E">
            <w:pPr>
              <w:tabs>
                <w:tab w:val="left" w:pos="4111"/>
              </w:tabs>
              <w:spacing w:line="300" w:lineRule="exact"/>
              <w:ind w:left="57"/>
              <w:rPr>
                <w:lang w:bidi="ar-EG"/>
              </w:rPr>
            </w:pPr>
            <w:r w:rsidRPr="000622C7">
              <w:rPr>
                <w:rFonts w:hint="cs"/>
                <w:rtl/>
              </w:rPr>
              <w:t>جنيف،</w:t>
            </w:r>
            <w:r w:rsidR="00D6070A" w:rsidRPr="000622C7">
              <w:rPr>
                <w:rFonts w:hint="cs"/>
                <w:rtl/>
                <w:lang w:bidi="ar-EG"/>
              </w:rPr>
              <w:t xml:space="preserve"> </w:t>
            </w:r>
            <w:r w:rsidR="00D6070A" w:rsidRPr="000622C7">
              <w:rPr>
                <w:lang w:bidi="ar-EG"/>
              </w:rPr>
              <w:t>25</w:t>
            </w:r>
            <w:r w:rsidR="00D6070A" w:rsidRPr="000622C7">
              <w:rPr>
                <w:rFonts w:hint="cs"/>
                <w:rtl/>
                <w:lang w:bidi="ar-EG"/>
              </w:rPr>
              <w:t xml:space="preserve"> نوفمبر </w:t>
            </w:r>
            <w:r w:rsidR="00D6070A" w:rsidRPr="000622C7">
              <w:rPr>
                <w:lang w:bidi="ar-EG"/>
              </w:rPr>
              <w:t>2010</w:t>
            </w:r>
          </w:p>
          <w:p w:rsidR="009F4B09" w:rsidRPr="000622C7" w:rsidRDefault="009F4B09" w:rsidP="0033273E">
            <w:pPr>
              <w:tabs>
                <w:tab w:val="left" w:pos="4111"/>
              </w:tabs>
              <w:spacing w:before="0" w:line="300" w:lineRule="exact"/>
              <w:ind w:left="57"/>
              <w:rPr>
                <w:lang w:bidi="ar-EG"/>
              </w:rPr>
            </w:pPr>
          </w:p>
        </w:tc>
      </w:tr>
      <w:tr w:rsidR="009F4B09" w:rsidRPr="000622C7" w:rsidTr="002C7C46">
        <w:trPr>
          <w:cantSplit/>
          <w:trHeight w:val="340"/>
        </w:trPr>
        <w:tc>
          <w:tcPr>
            <w:tcW w:w="1547" w:type="dxa"/>
          </w:tcPr>
          <w:p w:rsidR="009F4B09" w:rsidRPr="000622C7" w:rsidRDefault="009F4B09">
            <w:pPr>
              <w:tabs>
                <w:tab w:val="left" w:pos="4111"/>
              </w:tabs>
              <w:spacing w:before="20" w:after="60" w:line="300" w:lineRule="exact"/>
              <w:ind w:left="57"/>
              <w:rPr>
                <w:rtl/>
                <w:lang w:bidi="ar-EG"/>
              </w:rPr>
            </w:pPr>
            <w:r w:rsidRPr="000622C7">
              <w:rPr>
                <w:rFonts w:hint="cs"/>
                <w:rtl/>
              </w:rPr>
              <w:t>المرجع:</w:t>
            </w:r>
          </w:p>
        </w:tc>
        <w:tc>
          <w:tcPr>
            <w:tcW w:w="3340" w:type="dxa"/>
          </w:tcPr>
          <w:p w:rsidR="009F4B09" w:rsidRPr="000622C7" w:rsidRDefault="009F4B09" w:rsidP="007A162A">
            <w:pPr>
              <w:tabs>
                <w:tab w:val="left" w:pos="4111"/>
              </w:tabs>
              <w:spacing w:before="20" w:line="300" w:lineRule="exact"/>
              <w:ind w:left="57"/>
              <w:rPr>
                <w:b/>
                <w:rtl/>
                <w:lang w:bidi="ar-EG"/>
              </w:rPr>
            </w:pPr>
            <w:r w:rsidRPr="000622C7">
              <w:rPr>
                <w:b/>
              </w:rPr>
              <w:t>TSB Circular</w:t>
            </w:r>
            <w:r w:rsidR="007A162A">
              <w:rPr>
                <w:b/>
              </w:rPr>
              <w:t> </w:t>
            </w:r>
            <w:r w:rsidR="00D6070A" w:rsidRPr="000622C7">
              <w:rPr>
                <w:b/>
              </w:rPr>
              <w:t>152</w:t>
            </w:r>
          </w:p>
          <w:p w:rsidR="009F4B09" w:rsidRDefault="009F4B09" w:rsidP="00140002">
            <w:pPr>
              <w:tabs>
                <w:tab w:val="right" w:pos="1113"/>
                <w:tab w:val="left" w:pos="4111"/>
              </w:tabs>
              <w:spacing w:before="0" w:after="60" w:line="300" w:lineRule="exact"/>
              <w:ind w:left="57"/>
              <w:rPr>
                <w:bCs/>
                <w:rtl/>
              </w:rPr>
            </w:pPr>
            <w:r w:rsidRPr="000622C7">
              <w:rPr>
                <w:bCs/>
              </w:rPr>
              <w:t>COM</w:t>
            </w:r>
            <w:r w:rsidR="00140002" w:rsidRPr="000622C7">
              <w:rPr>
                <w:bCs/>
              </w:rPr>
              <w:t xml:space="preserve"> </w:t>
            </w:r>
            <w:r w:rsidR="00D6070A" w:rsidRPr="000622C7">
              <w:rPr>
                <w:bCs/>
              </w:rPr>
              <w:t>2</w:t>
            </w:r>
            <w:r w:rsidRPr="000622C7">
              <w:rPr>
                <w:bCs/>
              </w:rPr>
              <w:t>/</w:t>
            </w:r>
            <w:r w:rsidR="00D6070A" w:rsidRPr="000622C7">
              <w:rPr>
                <w:bCs/>
              </w:rPr>
              <w:t>RH</w:t>
            </w:r>
          </w:p>
          <w:p w:rsidR="005A4B2B" w:rsidRPr="000622C7" w:rsidRDefault="005A4B2B" w:rsidP="00140002">
            <w:pPr>
              <w:tabs>
                <w:tab w:val="right" w:pos="1113"/>
                <w:tab w:val="left" w:pos="4111"/>
              </w:tabs>
              <w:spacing w:before="0" w:after="60" w:line="300" w:lineRule="exact"/>
              <w:ind w:left="57"/>
              <w:rPr>
                <w:bCs/>
              </w:rPr>
            </w:pPr>
          </w:p>
        </w:tc>
        <w:tc>
          <w:tcPr>
            <w:tcW w:w="4760" w:type="dxa"/>
          </w:tcPr>
          <w:p w:rsidR="009F4B09" w:rsidRPr="000622C7" w:rsidRDefault="009F4B09">
            <w:pPr>
              <w:tabs>
                <w:tab w:val="left" w:pos="284"/>
                <w:tab w:val="left" w:pos="4111"/>
              </w:tabs>
              <w:spacing w:before="20" w:line="300" w:lineRule="exact"/>
              <w:ind w:left="284" w:hanging="227"/>
              <w:rPr>
                <w:rtl/>
              </w:rPr>
            </w:pPr>
            <w:r w:rsidRPr="000622C7">
              <w:rPr>
                <w:rFonts w:hint="cs"/>
                <w:rtl/>
              </w:rPr>
              <w:t>-</w:t>
            </w:r>
            <w:r w:rsidRPr="000622C7">
              <w:rPr>
                <w:rtl/>
              </w:rPr>
              <w:tab/>
            </w:r>
            <w:r w:rsidRPr="000622C7">
              <w:rPr>
                <w:rFonts w:hint="cs"/>
                <w:rtl/>
              </w:rPr>
              <w:t>إلى إدارات الدول الأعضاء في الاتحاد</w:t>
            </w:r>
          </w:p>
          <w:p w:rsidR="009F4B09" w:rsidRPr="000622C7" w:rsidRDefault="009F4B09">
            <w:pPr>
              <w:tabs>
                <w:tab w:val="left" w:pos="284"/>
                <w:tab w:val="left" w:pos="4111"/>
              </w:tabs>
              <w:spacing w:before="0" w:after="120" w:line="300" w:lineRule="exact"/>
              <w:ind w:left="284" w:hanging="227"/>
            </w:pPr>
          </w:p>
        </w:tc>
      </w:tr>
      <w:tr w:rsidR="009F4B09" w:rsidRPr="000622C7" w:rsidTr="002C7C46">
        <w:trPr>
          <w:cantSplit/>
        </w:trPr>
        <w:tc>
          <w:tcPr>
            <w:tcW w:w="1547" w:type="dxa"/>
          </w:tcPr>
          <w:p w:rsidR="009F4B09" w:rsidRPr="000622C7" w:rsidRDefault="009F4B09" w:rsidP="006343B4">
            <w:pPr>
              <w:spacing w:before="20" w:after="60" w:line="300" w:lineRule="exact"/>
              <w:ind w:left="57"/>
            </w:pPr>
            <w:r w:rsidRPr="000622C7">
              <w:rPr>
                <w:rFonts w:hint="cs"/>
                <w:rtl/>
                <w:lang w:bidi="ar-SY"/>
              </w:rPr>
              <w:t>الهاتف</w:t>
            </w:r>
            <w:r w:rsidRPr="000622C7">
              <w:rPr>
                <w:rFonts w:hint="cs"/>
                <w:rtl/>
              </w:rPr>
              <w:t>:</w:t>
            </w:r>
            <w:r w:rsidR="006343B4">
              <w:rPr>
                <w:rFonts w:hint="cs"/>
                <w:rtl/>
              </w:rPr>
              <w:br/>
            </w:r>
            <w:r w:rsidRPr="000622C7">
              <w:rPr>
                <w:rFonts w:hint="cs"/>
                <w:rtl/>
              </w:rPr>
              <w:t>الفاكس:</w:t>
            </w:r>
            <w:r w:rsidR="006343B4">
              <w:rPr>
                <w:rFonts w:hint="cs"/>
                <w:rtl/>
              </w:rPr>
              <w:br/>
            </w:r>
            <w:r w:rsidRPr="000622C7">
              <w:rPr>
                <w:rFonts w:hint="cs"/>
                <w:rtl/>
              </w:rPr>
              <w:t>البريد الإلكتروني:</w:t>
            </w:r>
          </w:p>
        </w:tc>
        <w:tc>
          <w:tcPr>
            <w:tcW w:w="3340" w:type="dxa"/>
          </w:tcPr>
          <w:p w:rsidR="009F4B09" w:rsidRPr="000622C7" w:rsidRDefault="00D6070A" w:rsidP="006343B4">
            <w:pPr>
              <w:tabs>
                <w:tab w:val="left" w:pos="4111"/>
              </w:tabs>
              <w:spacing w:before="20" w:after="60" w:line="300" w:lineRule="exact"/>
              <w:ind w:left="57"/>
              <w:jc w:val="left"/>
              <w:rPr>
                <w:rtl/>
                <w:lang w:bidi="ar-EG"/>
              </w:rPr>
            </w:pPr>
            <w:r w:rsidRPr="000622C7">
              <w:rPr>
                <w:lang w:bidi="ar-EG"/>
              </w:rPr>
              <w:t>5887</w:t>
            </w:r>
            <w:r w:rsidR="00064EC5" w:rsidRPr="000622C7">
              <w:rPr>
                <w:rFonts w:hint="cs"/>
                <w:rtl/>
                <w:lang w:bidi="ar-EG"/>
              </w:rPr>
              <w:t xml:space="preserve"> </w:t>
            </w:r>
            <w:r w:rsidR="009F4B09" w:rsidRPr="000622C7">
              <w:t>+41 22 730</w:t>
            </w:r>
            <w:r w:rsidR="006343B4">
              <w:rPr>
                <w:rFonts w:hint="cs"/>
                <w:rtl/>
                <w:lang w:bidi="ar-EG"/>
              </w:rPr>
              <w:br/>
            </w:r>
            <w:r w:rsidR="009F4B09" w:rsidRPr="000622C7">
              <w:t>+41 22 730 5853</w:t>
            </w:r>
            <w:r w:rsidR="006343B4">
              <w:rPr>
                <w:rFonts w:hint="cs"/>
                <w:rtl/>
              </w:rPr>
              <w:br/>
            </w:r>
            <w:hyperlink r:id="rId8" w:history="1">
              <w:r w:rsidR="009F4B09" w:rsidRPr="000622C7">
                <w:rPr>
                  <w:rStyle w:val="Hyperlink"/>
                </w:rPr>
                <w:t>tsbsg</w:t>
              </w:r>
              <w:r w:rsidRPr="000622C7">
                <w:rPr>
                  <w:rStyle w:val="Hyperlink"/>
                </w:rPr>
                <w:t>2</w:t>
              </w:r>
              <w:r w:rsidR="009F4B09" w:rsidRPr="000622C7">
                <w:rPr>
                  <w:rStyle w:val="Hyperlink"/>
                </w:rPr>
                <w:t>@itu.int</w:t>
              </w:r>
            </w:hyperlink>
          </w:p>
        </w:tc>
        <w:tc>
          <w:tcPr>
            <w:tcW w:w="4760" w:type="dxa"/>
          </w:tcPr>
          <w:p w:rsidR="009F4B09" w:rsidRPr="000622C7" w:rsidRDefault="009F4B09">
            <w:pPr>
              <w:tabs>
                <w:tab w:val="left" w:pos="284"/>
                <w:tab w:val="left" w:pos="4111"/>
              </w:tabs>
              <w:spacing w:before="20" w:after="60" w:line="300" w:lineRule="exact"/>
              <w:ind w:left="284" w:hanging="227"/>
              <w:rPr>
                <w:b/>
                <w:bCs/>
                <w:rtl/>
              </w:rPr>
            </w:pPr>
            <w:r w:rsidRPr="000622C7">
              <w:rPr>
                <w:rFonts w:hint="cs"/>
                <w:b/>
                <w:bCs/>
                <w:rtl/>
              </w:rPr>
              <w:t>نسخة إلى:</w:t>
            </w:r>
          </w:p>
          <w:p w:rsidR="009F4B09" w:rsidRPr="000622C7" w:rsidRDefault="009F4B09" w:rsidP="00B7558A">
            <w:pPr>
              <w:tabs>
                <w:tab w:val="left" w:pos="284"/>
                <w:tab w:val="left" w:pos="4111"/>
              </w:tabs>
              <w:spacing w:before="0" w:line="300" w:lineRule="exact"/>
              <w:ind w:left="284" w:hanging="227"/>
              <w:rPr>
                <w:rtl/>
              </w:rPr>
            </w:pPr>
            <w:r w:rsidRPr="000622C7">
              <w:rPr>
                <w:rFonts w:hint="cs"/>
                <w:rtl/>
              </w:rPr>
              <w:t>-</w:t>
            </w:r>
            <w:r w:rsidRPr="000622C7">
              <w:rPr>
                <w:rtl/>
              </w:rPr>
              <w:tab/>
            </w:r>
            <w:r w:rsidRPr="000622C7">
              <w:rPr>
                <w:rFonts w:hint="cs"/>
                <w:rtl/>
              </w:rPr>
              <w:t>أعضاء قطاع تقييس الاتصالات؛</w:t>
            </w:r>
          </w:p>
          <w:p w:rsidR="009F4B09" w:rsidRPr="000622C7" w:rsidRDefault="009F4B09" w:rsidP="00014317">
            <w:pPr>
              <w:tabs>
                <w:tab w:val="left" w:pos="284"/>
                <w:tab w:val="left" w:pos="4111"/>
              </w:tabs>
              <w:spacing w:before="0" w:line="300" w:lineRule="exact"/>
              <w:ind w:left="284" w:hanging="227"/>
              <w:rPr>
                <w:rtl/>
              </w:rPr>
            </w:pPr>
            <w:r w:rsidRPr="000622C7">
              <w:rPr>
                <w:rFonts w:hint="cs"/>
                <w:rtl/>
              </w:rPr>
              <w:t>-</w:t>
            </w:r>
            <w:r w:rsidRPr="000622C7">
              <w:rPr>
                <w:rtl/>
              </w:rPr>
              <w:tab/>
              <w:t xml:space="preserve">المنتسبين </w:t>
            </w:r>
            <w:r w:rsidR="00014317" w:rsidRPr="000622C7">
              <w:rPr>
                <w:rFonts w:hint="cs"/>
                <w:rtl/>
              </w:rPr>
              <w:t>إلى</w:t>
            </w:r>
            <w:r w:rsidRPr="000622C7">
              <w:rPr>
                <w:rtl/>
              </w:rPr>
              <w:t xml:space="preserve"> قطاع تقييس الاتصالات</w:t>
            </w:r>
            <w:r w:rsidRPr="000622C7">
              <w:rPr>
                <w:rFonts w:hint="cs"/>
                <w:rtl/>
              </w:rPr>
              <w:t>؛</w:t>
            </w:r>
          </w:p>
          <w:p w:rsidR="009F4B09" w:rsidRPr="000622C7" w:rsidRDefault="009F4B09" w:rsidP="004E2F80">
            <w:pPr>
              <w:tabs>
                <w:tab w:val="left" w:pos="284"/>
                <w:tab w:val="left" w:pos="4111"/>
              </w:tabs>
              <w:spacing w:before="0" w:line="300" w:lineRule="exact"/>
              <w:ind w:left="284" w:hanging="227"/>
              <w:rPr>
                <w:rtl/>
              </w:rPr>
            </w:pPr>
            <w:r w:rsidRPr="000622C7">
              <w:rPr>
                <w:rFonts w:hint="cs"/>
                <w:rtl/>
              </w:rPr>
              <w:t>-</w:t>
            </w:r>
            <w:r w:rsidRPr="000622C7">
              <w:rPr>
                <w:rtl/>
              </w:rPr>
              <w:tab/>
            </w:r>
            <w:r w:rsidR="0010484A" w:rsidRPr="000622C7">
              <w:rPr>
                <w:rFonts w:hint="cs"/>
                <w:rtl/>
              </w:rPr>
              <w:t xml:space="preserve">رئيس لجنة الدراسات </w:t>
            </w:r>
            <w:r w:rsidR="0010484A" w:rsidRPr="000622C7">
              <w:t xml:space="preserve"> 2</w:t>
            </w:r>
            <w:r w:rsidR="0010484A" w:rsidRPr="000622C7">
              <w:rPr>
                <w:rFonts w:hint="cs"/>
                <w:rtl/>
              </w:rPr>
              <w:t>ونوابه</w:t>
            </w:r>
            <w:r w:rsidRPr="000622C7">
              <w:rPr>
                <w:rFonts w:hint="cs"/>
                <w:rtl/>
              </w:rPr>
              <w:t>؛</w:t>
            </w:r>
          </w:p>
          <w:p w:rsidR="009F4B09" w:rsidRPr="000622C7" w:rsidRDefault="009F4B09" w:rsidP="00B7558A">
            <w:pPr>
              <w:tabs>
                <w:tab w:val="left" w:pos="284"/>
                <w:tab w:val="left" w:pos="4111"/>
              </w:tabs>
              <w:spacing w:before="0" w:line="300" w:lineRule="exact"/>
              <w:ind w:left="284" w:hanging="227"/>
              <w:rPr>
                <w:rtl/>
                <w:lang w:bidi="ar-EG"/>
              </w:rPr>
            </w:pPr>
            <w:r w:rsidRPr="000622C7">
              <w:rPr>
                <w:rFonts w:hint="cs"/>
                <w:rtl/>
              </w:rPr>
              <w:t>-</w:t>
            </w:r>
            <w:r w:rsidRPr="000622C7">
              <w:rPr>
                <w:rtl/>
              </w:rPr>
              <w:tab/>
              <w:t>مدير مكتب تنمية الاتصالات</w:t>
            </w:r>
            <w:r w:rsidRPr="000622C7">
              <w:rPr>
                <w:rFonts w:hint="cs"/>
                <w:rtl/>
              </w:rPr>
              <w:t>؛</w:t>
            </w:r>
          </w:p>
          <w:p w:rsidR="009F4B09" w:rsidRPr="000622C7" w:rsidRDefault="009F4B09">
            <w:pPr>
              <w:tabs>
                <w:tab w:val="left" w:pos="284"/>
                <w:tab w:val="left" w:pos="4111"/>
              </w:tabs>
              <w:spacing w:before="0" w:after="60" w:line="300" w:lineRule="exact"/>
              <w:ind w:left="284" w:hanging="227"/>
              <w:rPr>
                <w:rtl/>
              </w:rPr>
            </w:pPr>
            <w:r w:rsidRPr="000622C7">
              <w:rPr>
                <w:rFonts w:hint="cs"/>
                <w:rtl/>
              </w:rPr>
              <w:t>-</w:t>
            </w:r>
            <w:r w:rsidRPr="000622C7">
              <w:rPr>
                <w:rtl/>
              </w:rPr>
              <w:tab/>
              <w:t>مدير مكتب الاتصالات الراديوية</w:t>
            </w:r>
          </w:p>
        </w:tc>
      </w:tr>
    </w:tbl>
    <w:p w:rsidR="00064EC5" w:rsidRDefault="009F4B09" w:rsidP="00154DA4">
      <w:pPr>
        <w:spacing w:before="240"/>
        <w:ind w:left="924" w:hanging="924"/>
        <w:jc w:val="left"/>
        <w:rPr>
          <w:b/>
          <w:bCs/>
          <w:rtl/>
          <w:lang w:bidi="ar-EG"/>
        </w:rPr>
      </w:pPr>
      <w:r w:rsidRPr="005F33FD">
        <w:rPr>
          <w:rFonts w:hint="cs"/>
          <w:rtl/>
        </w:rPr>
        <w:t>الموضوع:</w:t>
      </w:r>
      <w:r w:rsidRPr="005F33FD">
        <w:rPr>
          <w:rtl/>
        </w:rPr>
        <w:tab/>
      </w:r>
      <w:r w:rsidR="004E2F80">
        <w:rPr>
          <w:rFonts w:hint="cs"/>
          <w:b/>
          <w:bCs/>
          <w:rtl/>
          <w:lang w:bidi="ar-EG"/>
        </w:rPr>
        <w:t>الموافقة على</w:t>
      </w:r>
      <w:r w:rsidR="00154DA4">
        <w:rPr>
          <w:b/>
          <w:bCs/>
          <w:lang w:bidi="ar-EG"/>
        </w:rPr>
        <w:t xml:space="preserve"> </w:t>
      </w:r>
      <w:r w:rsidR="00154DA4">
        <w:rPr>
          <w:rFonts w:hint="cs"/>
          <w:b/>
          <w:bCs/>
          <w:rtl/>
          <w:lang w:bidi="ar-EG"/>
        </w:rPr>
        <w:t xml:space="preserve">مراجعة </w:t>
      </w:r>
      <w:r w:rsidR="004E2F80">
        <w:rPr>
          <w:rFonts w:hint="cs"/>
          <w:b/>
          <w:bCs/>
          <w:rtl/>
          <w:lang w:bidi="ar-EG"/>
        </w:rPr>
        <w:t xml:space="preserve">المسألة </w:t>
      </w:r>
      <w:r w:rsidR="004E2F80">
        <w:rPr>
          <w:b/>
          <w:bCs/>
          <w:lang w:bidi="ar-EG"/>
        </w:rPr>
        <w:t>7/2</w:t>
      </w:r>
    </w:p>
    <w:p w:rsidR="009F4B09" w:rsidRPr="005F33FD" w:rsidRDefault="00634FEB" w:rsidP="0033273E">
      <w:pPr>
        <w:spacing w:before="360"/>
        <w:rPr>
          <w:rtl/>
        </w:rPr>
      </w:pPr>
      <w:r>
        <w:rPr>
          <w:rFonts w:hint="cs"/>
          <w:rtl/>
        </w:rPr>
        <w:t>حضرة السيد الفاضل/السيدة الفاضلة</w:t>
      </w:r>
      <w:r w:rsidR="009F4B09" w:rsidRPr="005F33FD">
        <w:rPr>
          <w:rFonts w:hint="cs"/>
          <w:rtl/>
        </w:rPr>
        <w:t>،</w:t>
      </w:r>
    </w:p>
    <w:p w:rsidR="009F4B09" w:rsidRPr="005F33FD" w:rsidRDefault="0033273E" w:rsidP="00A655AC">
      <w:pPr>
        <w:rPr>
          <w:rtl/>
        </w:rPr>
      </w:pPr>
      <w:r>
        <w:rPr>
          <w:rFonts w:hint="cs"/>
          <w:rtl/>
        </w:rPr>
        <w:t>تحية طيبة وبعد،</w:t>
      </w:r>
    </w:p>
    <w:p w:rsidR="00503ED0" w:rsidRPr="00586F78" w:rsidRDefault="009F4B09" w:rsidP="005A4B2B">
      <w:pPr>
        <w:rPr>
          <w:rtl/>
        </w:rPr>
      </w:pPr>
      <w:r w:rsidRPr="005F33FD">
        <w:t>1</w:t>
      </w:r>
      <w:r w:rsidRPr="005F33FD">
        <w:tab/>
      </w:r>
      <w:r w:rsidR="00503ED0" w:rsidRPr="00586F78">
        <w:rPr>
          <w:rFonts w:hint="cs"/>
          <w:rtl/>
          <w:lang w:bidi="ar-EG"/>
        </w:rPr>
        <w:t xml:space="preserve">بناءً على طلب رئيس لجنة الدراسات </w:t>
      </w:r>
      <w:r w:rsidR="00503ED0">
        <w:rPr>
          <w:lang w:bidi="ar-EG"/>
        </w:rPr>
        <w:t>2</w:t>
      </w:r>
      <w:r w:rsidR="00503ED0">
        <w:rPr>
          <w:rFonts w:hint="cs"/>
          <w:rtl/>
          <w:lang w:bidi="ar-EG"/>
        </w:rPr>
        <w:t xml:space="preserve">، </w:t>
      </w:r>
      <w:r w:rsidR="00503ED0" w:rsidRPr="00503ED0">
        <w:rPr>
          <w:i/>
          <w:iCs/>
          <w:rtl/>
        </w:rPr>
        <w:t>الجوانب التشغيلية لتوفير الخدمات وإدارة الاتصالات</w:t>
      </w:r>
      <w:r w:rsidR="00503ED0">
        <w:rPr>
          <w:rFonts w:hint="cs"/>
          <w:rtl/>
        </w:rPr>
        <w:t>،</w:t>
      </w:r>
      <w:r w:rsidR="00503ED0" w:rsidRPr="00586F78">
        <w:rPr>
          <w:rFonts w:hint="cs"/>
          <w:rtl/>
          <w:lang w:bidi="ar-EG"/>
        </w:rPr>
        <w:t xml:space="preserve"> أتشرف بإبلاغكم بأن الدول الأعضاء وأعضاء القطاع الحاضرين في الاجتماع الأخير للجنة الدراسات، الذي عقد في جنيف في الفترة من</w:t>
      </w:r>
      <w:r w:rsidR="005A4B2B">
        <w:rPr>
          <w:rFonts w:hint="eastAsia"/>
          <w:rtl/>
          <w:lang w:bidi="ar-EG"/>
        </w:rPr>
        <w:t> </w:t>
      </w:r>
      <w:r w:rsidR="00C22F90">
        <w:rPr>
          <w:lang w:bidi="ar-EG"/>
        </w:rPr>
        <w:t>9</w:t>
      </w:r>
      <w:r w:rsidR="005A4B2B">
        <w:rPr>
          <w:rFonts w:hint="eastAsia"/>
          <w:rtl/>
          <w:lang w:bidi="ar-EG"/>
        </w:rPr>
        <w:t> </w:t>
      </w:r>
      <w:r w:rsidR="00503ED0" w:rsidRPr="00586F78">
        <w:rPr>
          <w:rFonts w:hint="cs"/>
          <w:rtl/>
          <w:lang w:bidi="ar-EG"/>
        </w:rPr>
        <w:t>إلى</w:t>
      </w:r>
      <w:r w:rsidR="005A4B2B">
        <w:rPr>
          <w:rFonts w:hint="eastAsia"/>
          <w:rtl/>
          <w:lang w:bidi="ar-EG"/>
        </w:rPr>
        <w:t> </w:t>
      </w:r>
      <w:r w:rsidR="00C22F90">
        <w:rPr>
          <w:lang w:bidi="ar-EG"/>
        </w:rPr>
        <w:t>18</w:t>
      </w:r>
      <w:r w:rsidR="00C22F90">
        <w:rPr>
          <w:rFonts w:hint="cs"/>
          <w:rtl/>
          <w:lang w:bidi="ar-EG"/>
        </w:rPr>
        <w:t xml:space="preserve"> نوفمبر </w:t>
      </w:r>
      <w:r w:rsidR="00C22F90">
        <w:rPr>
          <w:lang w:bidi="ar-EG"/>
        </w:rPr>
        <w:t>2010</w:t>
      </w:r>
      <w:r w:rsidR="00503ED0" w:rsidRPr="00586F78">
        <w:rPr>
          <w:rFonts w:hint="cs"/>
          <w:rtl/>
          <w:lang w:bidi="ar-EG"/>
        </w:rPr>
        <w:t xml:space="preserve">، اتفقوا، بتوافق الآراء، وفقاً للإجراء المبين في الفقرة </w:t>
      </w:r>
      <w:r w:rsidR="00503ED0" w:rsidRPr="00586F78">
        <w:rPr>
          <w:lang w:bidi="ar-EG"/>
        </w:rPr>
        <w:t>2.2.7</w:t>
      </w:r>
      <w:r w:rsidR="00503ED0" w:rsidRPr="00586F78">
        <w:rPr>
          <w:rFonts w:hint="cs"/>
          <w:rtl/>
          <w:lang w:bidi="ar-EG"/>
        </w:rPr>
        <w:t xml:space="preserve"> من القسم </w:t>
      </w:r>
      <w:r w:rsidR="00503ED0" w:rsidRPr="00586F78">
        <w:rPr>
          <w:lang w:bidi="ar-EG"/>
        </w:rPr>
        <w:t>7</w:t>
      </w:r>
      <w:r w:rsidR="00503ED0" w:rsidRPr="00586F78">
        <w:rPr>
          <w:rFonts w:hint="cs"/>
          <w:rtl/>
          <w:lang w:bidi="ar-EG"/>
        </w:rPr>
        <w:t xml:space="preserve"> من القرار </w:t>
      </w:r>
      <w:r w:rsidR="00503ED0" w:rsidRPr="00586F78">
        <w:rPr>
          <w:lang w:bidi="ar-EG"/>
        </w:rPr>
        <w:t>1</w:t>
      </w:r>
      <w:r w:rsidR="00503ED0" w:rsidRPr="00586F78">
        <w:rPr>
          <w:rFonts w:hint="cs"/>
          <w:rtl/>
          <w:lang w:bidi="ar-EG"/>
        </w:rPr>
        <w:t xml:space="preserve"> للجمعية العالمية لتقييس الاتصالات (</w:t>
      </w:r>
      <w:r w:rsidR="00503ED0">
        <w:rPr>
          <w:rFonts w:hint="cs"/>
          <w:rtl/>
        </w:rPr>
        <w:t xml:space="preserve">جوهانسبرغ، </w:t>
      </w:r>
      <w:r w:rsidR="00503ED0">
        <w:t>2008</w:t>
      </w:r>
      <w:r w:rsidR="00503ED0" w:rsidRPr="00586F78">
        <w:rPr>
          <w:rFonts w:hint="cs"/>
          <w:rtl/>
        </w:rPr>
        <w:t xml:space="preserve">)، على </w:t>
      </w:r>
      <w:r w:rsidR="00503ED0">
        <w:rPr>
          <w:rFonts w:hint="cs"/>
          <w:rtl/>
        </w:rPr>
        <w:t xml:space="preserve">الموافقة على المسألة </w:t>
      </w:r>
      <w:r w:rsidR="00C22F90">
        <w:rPr>
          <w:rFonts w:hint="cs"/>
          <w:rtl/>
        </w:rPr>
        <w:t>المراجعة</w:t>
      </w:r>
      <w:r w:rsidR="00503ED0">
        <w:rPr>
          <w:rFonts w:hint="cs"/>
          <w:rtl/>
        </w:rPr>
        <w:t xml:space="preserve"> التالية</w:t>
      </w:r>
      <w:r w:rsidR="00503ED0" w:rsidRPr="00586F78">
        <w:rPr>
          <w:rFonts w:hint="cs"/>
          <w:rtl/>
        </w:rPr>
        <w:t>:</w:t>
      </w:r>
    </w:p>
    <w:p w:rsidR="00503ED0" w:rsidRPr="002330BE" w:rsidRDefault="007F1F7E" w:rsidP="00154DA4">
      <w:pPr>
        <w:ind w:left="794" w:hanging="794"/>
        <w:rPr>
          <w:spacing w:val="-4"/>
          <w:rtl/>
          <w:lang w:bidi="ar-EG"/>
        </w:rPr>
      </w:pPr>
      <w:r>
        <w:rPr>
          <w:spacing w:val="-4"/>
          <w:rtl/>
        </w:rPr>
        <w:tab/>
      </w:r>
      <w:r w:rsidR="00503ED0" w:rsidRPr="002330BE">
        <w:rPr>
          <w:rFonts w:hint="cs"/>
          <w:spacing w:val="-4"/>
          <w:rtl/>
        </w:rPr>
        <w:t>المسألة</w:t>
      </w:r>
      <w:r>
        <w:rPr>
          <w:spacing w:val="-4"/>
        </w:rPr>
        <w:t xml:space="preserve">7/2 </w:t>
      </w:r>
      <w:r>
        <w:rPr>
          <w:rFonts w:hint="cs"/>
          <w:spacing w:val="-4"/>
          <w:rtl/>
          <w:lang w:bidi="ar-EG"/>
        </w:rPr>
        <w:t xml:space="preserve"> - </w:t>
      </w:r>
      <w:r w:rsidRPr="007F1F7E">
        <w:rPr>
          <w:rFonts w:hint="cs"/>
          <w:i/>
          <w:iCs/>
          <w:rtl/>
        </w:rPr>
        <w:t>المتطلبات المتعلقة بالسطوح البينية لإدارة المنشأة-المنشأة والعميل-المنشأة</w:t>
      </w:r>
      <w:r w:rsidR="00154DA4">
        <w:rPr>
          <w:rFonts w:hint="cs"/>
          <w:spacing w:val="-4"/>
          <w:rtl/>
          <w:lang w:bidi="ar-EG"/>
        </w:rPr>
        <w:t xml:space="preserve">، في إطار اختصاصات لجنة الدراسات </w:t>
      </w:r>
      <w:r w:rsidR="00154DA4">
        <w:rPr>
          <w:spacing w:val="-4"/>
          <w:lang w:bidi="ar-EG"/>
        </w:rPr>
        <w:t>2</w:t>
      </w:r>
      <w:r w:rsidR="00154DA4">
        <w:rPr>
          <w:rFonts w:hint="cs"/>
          <w:spacing w:val="-4"/>
          <w:rtl/>
          <w:lang w:bidi="ar-EG"/>
        </w:rPr>
        <w:t xml:space="preserve"> </w:t>
      </w:r>
      <w:r w:rsidR="00503ED0">
        <w:rPr>
          <w:rFonts w:hint="cs"/>
          <w:spacing w:val="-4"/>
          <w:rtl/>
          <w:lang w:bidi="ar-EG"/>
        </w:rPr>
        <w:t xml:space="preserve">(انظر الملحق </w:t>
      </w:r>
      <w:r w:rsidR="00503ED0">
        <w:rPr>
          <w:spacing w:val="-4"/>
          <w:lang w:bidi="ar-EG"/>
        </w:rPr>
        <w:t>1</w:t>
      </w:r>
      <w:r w:rsidR="00503ED0">
        <w:rPr>
          <w:rFonts w:hint="cs"/>
          <w:spacing w:val="-4"/>
          <w:rtl/>
          <w:lang w:bidi="ar-EG"/>
        </w:rPr>
        <w:t>)</w:t>
      </w:r>
      <w:r>
        <w:rPr>
          <w:rFonts w:hint="cs"/>
          <w:spacing w:val="-4"/>
          <w:rtl/>
          <w:lang w:bidi="ar-EG"/>
        </w:rPr>
        <w:t>.</w:t>
      </w:r>
    </w:p>
    <w:p w:rsidR="00503ED0" w:rsidRDefault="00503ED0" w:rsidP="009408B5">
      <w:pPr>
        <w:rPr>
          <w:rtl/>
          <w:lang w:bidi="ar-EG"/>
        </w:rPr>
      </w:pPr>
      <w:r>
        <w:rPr>
          <w:lang w:bidi="ar-EG"/>
        </w:rPr>
        <w:t>2</w:t>
      </w:r>
      <w:r>
        <w:rPr>
          <w:rFonts w:hint="cs"/>
          <w:rtl/>
          <w:lang w:bidi="ar-EG"/>
        </w:rPr>
        <w:tab/>
      </w:r>
      <w:r w:rsidRPr="00642F8E">
        <w:rPr>
          <w:rFonts w:hint="cs"/>
          <w:b/>
          <w:bCs/>
          <w:rtl/>
          <w:lang w:bidi="ar-EG"/>
        </w:rPr>
        <w:t>ومن ثم</w:t>
      </w:r>
      <w:r>
        <w:rPr>
          <w:rFonts w:hint="cs"/>
          <w:b/>
          <w:bCs/>
          <w:rtl/>
          <w:lang w:bidi="ar-EG"/>
        </w:rPr>
        <w:t>َّ</w:t>
      </w:r>
      <w:r w:rsidRPr="00642F8E">
        <w:rPr>
          <w:rFonts w:hint="cs"/>
          <w:b/>
          <w:bCs/>
          <w:rtl/>
          <w:lang w:bidi="ar-EG"/>
        </w:rPr>
        <w:t xml:space="preserve">، </w:t>
      </w:r>
      <w:r>
        <w:rPr>
          <w:rFonts w:hint="cs"/>
          <w:b/>
          <w:bCs/>
          <w:rtl/>
          <w:lang w:bidi="ar-EG"/>
        </w:rPr>
        <w:t>تمت الموافقة على</w:t>
      </w:r>
      <w:r w:rsidR="00154DA4">
        <w:rPr>
          <w:rFonts w:hint="cs"/>
          <w:b/>
          <w:bCs/>
          <w:rtl/>
          <w:lang w:bidi="ar-EG"/>
        </w:rPr>
        <w:t xml:space="preserve"> نص مراجعة</w:t>
      </w:r>
      <w:r>
        <w:rPr>
          <w:rFonts w:hint="cs"/>
          <w:b/>
          <w:bCs/>
          <w:rtl/>
          <w:lang w:bidi="ar-EG"/>
        </w:rPr>
        <w:t xml:space="preserve"> المسألة</w:t>
      </w:r>
      <w:r w:rsidR="009408B5">
        <w:rPr>
          <w:b/>
          <w:bCs/>
          <w:lang w:bidi="ar-EG"/>
        </w:rPr>
        <w:t xml:space="preserve">7/2 </w:t>
      </w:r>
      <w:r w:rsidR="009408B5">
        <w:rPr>
          <w:rFonts w:hint="cs"/>
          <w:rtl/>
          <w:lang w:bidi="ar-EG"/>
        </w:rPr>
        <w:t>.</w:t>
      </w:r>
    </w:p>
    <w:p w:rsidR="004067A6" w:rsidRDefault="00503ED0" w:rsidP="00154DA4">
      <w:pPr>
        <w:ind w:left="567" w:hanging="567"/>
        <w:rPr>
          <w:rtl/>
          <w:lang w:bidi="ar-EG"/>
        </w:rPr>
      </w:pPr>
      <w:r w:rsidRPr="00E529E7">
        <w:rPr>
          <w:spacing w:val="-2"/>
          <w:lang w:bidi="ar-EG"/>
        </w:rPr>
        <w:t>3</w:t>
      </w:r>
      <w:r w:rsidRPr="00E529E7">
        <w:rPr>
          <w:rFonts w:hint="cs"/>
          <w:spacing w:val="-2"/>
          <w:rtl/>
          <w:lang w:bidi="ar-EG"/>
        </w:rPr>
        <w:tab/>
        <w:t>ومن المفترض أن تخضع التوصيات الناجمة عن ذلك</w:t>
      </w:r>
      <w:r w:rsidR="00154DA4">
        <w:rPr>
          <w:spacing w:val="-2"/>
          <w:lang w:bidi="ar-EG"/>
        </w:rPr>
        <w:t xml:space="preserve"> </w:t>
      </w:r>
      <w:r w:rsidRPr="00E529E7">
        <w:rPr>
          <w:rFonts w:hint="cs"/>
          <w:spacing w:val="-2"/>
          <w:rtl/>
          <w:lang w:bidi="ar-EG"/>
        </w:rPr>
        <w:t xml:space="preserve">لعملية الموافقة البديلة </w:t>
      </w:r>
      <w:r w:rsidRPr="00E529E7">
        <w:rPr>
          <w:spacing w:val="-2"/>
          <w:lang w:bidi="ar-EG"/>
        </w:rPr>
        <w:t>(AAP)</w:t>
      </w:r>
      <w:r w:rsidR="00014317">
        <w:rPr>
          <w:rFonts w:hint="cs"/>
          <w:rtl/>
          <w:lang w:bidi="ar-EG"/>
        </w:rPr>
        <w:t>.</w:t>
      </w:r>
    </w:p>
    <w:p w:rsidR="009F4B09" w:rsidRPr="005F33FD" w:rsidRDefault="009F4B09" w:rsidP="00383CBA">
      <w:pPr>
        <w:spacing w:before="240"/>
        <w:rPr>
          <w:rtl/>
          <w:lang w:bidi="ar-EG"/>
        </w:rPr>
      </w:pPr>
      <w:r w:rsidRPr="005F33FD">
        <w:rPr>
          <w:rFonts w:hint="cs"/>
          <w:rtl/>
          <w:lang w:bidi="ar-EG"/>
        </w:rPr>
        <w:t>وتفضلوا بقبول فائق</w:t>
      </w:r>
      <w:r w:rsidR="005D488B">
        <w:rPr>
          <w:rFonts w:hint="cs"/>
          <w:rtl/>
          <w:lang w:bidi="ar-EG"/>
        </w:rPr>
        <w:t xml:space="preserve"> التقدير و</w:t>
      </w:r>
      <w:r w:rsidRPr="005F33FD">
        <w:rPr>
          <w:rFonts w:hint="cs"/>
          <w:rtl/>
          <w:lang w:bidi="ar-EG"/>
        </w:rPr>
        <w:t>الاحترام.</w:t>
      </w:r>
    </w:p>
    <w:p w:rsidR="008165EA" w:rsidRDefault="00774F2B" w:rsidP="00383CBA">
      <w:pPr>
        <w:spacing w:before="1440"/>
        <w:jc w:val="left"/>
        <w:rPr>
          <w:rtl/>
          <w:lang w:bidi="ar-EG"/>
        </w:rPr>
      </w:pPr>
      <w:r>
        <w:rPr>
          <w:rFonts w:hint="cs"/>
          <w:rtl/>
        </w:rPr>
        <w:t>مالكو</w:t>
      </w:r>
      <w:r>
        <w:rPr>
          <w:rFonts w:hint="cs"/>
          <w:rtl/>
          <w:lang w:bidi="ar-EG"/>
        </w:rPr>
        <w:t>ل</w:t>
      </w:r>
      <w:r>
        <w:rPr>
          <w:rFonts w:hint="cs"/>
          <w:rtl/>
        </w:rPr>
        <w:t>م جونسون</w:t>
      </w:r>
      <w:r w:rsidRPr="003F6932">
        <w:rPr>
          <w:rtl/>
          <w:lang w:bidi="ar-EG"/>
        </w:rPr>
        <w:br/>
      </w:r>
      <w:r w:rsidR="009F4B09" w:rsidRPr="005F33FD">
        <w:rPr>
          <w:rFonts w:hint="cs"/>
          <w:rtl/>
          <w:lang w:bidi="ar-EG"/>
        </w:rPr>
        <w:t>مدير مكتب تقييس الاتصالات</w:t>
      </w:r>
    </w:p>
    <w:p w:rsidR="00484D1A" w:rsidRDefault="005A4B2B" w:rsidP="00383CBA">
      <w:pPr>
        <w:spacing w:before="480"/>
        <w:jc w:val="left"/>
        <w:rPr>
          <w:rtl/>
          <w:lang w:bidi="ar-EG"/>
        </w:rPr>
      </w:pPr>
      <w:r w:rsidRPr="005A4B2B">
        <w:rPr>
          <w:rFonts w:hint="cs"/>
          <w:b/>
          <w:bCs/>
          <w:rtl/>
          <w:lang w:bidi="ar-EG"/>
        </w:rPr>
        <w:t>الملحقات</w:t>
      </w:r>
      <w:r w:rsidR="004579B5" w:rsidRPr="002D65AA">
        <w:rPr>
          <w:rFonts w:hint="cs"/>
          <w:rtl/>
          <w:lang w:bidi="ar-EG"/>
        </w:rPr>
        <w:t xml:space="preserve">: </w:t>
      </w:r>
      <w:r w:rsidR="002D65AA" w:rsidRPr="002D65AA">
        <w:rPr>
          <w:lang w:bidi="ar-EG"/>
        </w:rPr>
        <w:t>1</w:t>
      </w:r>
    </w:p>
    <w:p w:rsidR="00484D1A" w:rsidRPr="0023591E" w:rsidRDefault="00F86FEF" w:rsidP="0023591E">
      <w:pPr>
        <w:pStyle w:val="AnnexNotitle"/>
        <w:rPr>
          <w:rFonts w:ascii="Times New Roman"/>
          <w:b w:val="0"/>
          <w:lang w:val="en-US" w:bidi="ar-EG"/>
        </w:rPr>
      </w:pPr>
      <w:r w:rsidRPr="00F86FEF">
        <w:rPr>
          <w:rFonts w:ascii="Times New Roman" w:hint="cs"/>
          <w:b w:val="0"/>
          <w:rtl/>
          <w:lang w:val="en-US" w:bidi="ar-EG"/>
        </w:rPr>
        <w:lastRenderedPageBreak/>
        <w:t xml:space="preserve">الملحـق </w:t>
      </w:r>
      <w:r w:rsidRPr="00F86FEF">
        <w:rPr>
          <w:rFonts w:ascii="Times New Roman"/>
          <w:b w:val="0"/>
          <w:lang w:val="en-US" w:bidi="ar-EG"/>
        </w:rPr>
        <w:t>1</w:t>
      </w:r>
      <w:r>
        <w:rPr>
          <w:rFonts w:ascii="Times New Roman" w:hint="cs"/>
          <w:b w:val="0"/>
          <w:rtl/>
          <w:lang w:val="en-US" w:bidi="ar-EG"/>
        </w:rPr>
        <w:br/>
      </w:r>
      <w:r w:rsidRPr="0023591E">
        <w:rPr>
          <w:rFonts w:ascii="Times New Roman" w:hint="cs"/>
          <w:b w:val="0"/>
          <w:rtl/>
          <w:lang w:val="en-US" w:bidi="ar-EG"/>
        </w:rPr>
        <w:t>(</w:t>
      </w:r>
      <w:r w:rsidR="0023591E" w:rsidRPr="0023591E">
        <w:rPr>
          <w:b w:val="0"/>
          <w:sz w:val="22"/>
          <w:szCs w:val="30"/>
          <w:rtl/>
        </w:rPr>
        <w:t>بالرسالة</w:t>
      </w:r>
      <w:r w:rsidR="0023591E" w:rsidRPr="0023591E">
        <w:rPr>
          <w:rFonts w:hint="cs"/>
          <w:b w:val="0"/>
          <w:sz w:val="22"/>
          <w:szCs w:val="30"/>
          <w:rtl/>
        </w:rPr>
        <w:t xml:space="preserve"> المعممة</w:t>
      </w:r>
      <w:r w:rsidR="0023591E" w:rsidRPr="0023591E">
        <w:rPr>
          <w:b w:val="0"/>
          <w:sz w:val="22"/>
          <w:szCs w:val="30"/>
          <w:rtl/>
        </w:rPr>
        <w:t xml:space="preserve"> </w:t>
      </w:r>
      <w:r w:rsidR="0023591E">
        <w:rPr>
          <w:rFonts w:ascii="Times New Roman"/>
          <w:b w:val="0"/>
          <w:sz w:val="22"/>
          <w:szCs w:val="30"/>
          <w:lang w:val="en-US"/>
        </w:rPr>
        <w:t>152</w:t>
      </w:r>
      <w:r w:rsidR="0023591E" w:rsidRPr="0023591E">
        <w:rPr>
          <w:b w:val="0"/>
          <w:sz w:val="22"/>
          <w:szCs w:val="30"/>
          <w:rtl/>
        </w:rPr>
        <w:t xml:space="preserve"> لمكتب تقييس الاتصالات</w:t>
      </w:r>
      <w:r w:rsidRPr="0023591E">
        <w:rPr>
          <w:rFonts w:ascii="Times New Roman" w:hint="cs"/>
          <w:b w:val="0"/>
          <w:rtl/>
          <w:lang w:val="en-US" w:bidi="ar-EG"/>
        </w:rPr>
        <w:t>)</w:t>
      </w:r>
    </w:p>
    <w:p w:rsidR="00F86FEF" w:rsidRPr="00140002" w:rsidRDefault="00154DA4" w:rsidP="00154DA4">
      <w:pPr>
        <w:pStyle w:val="AnnexNotitle"/>
        <w:rPr>
          <w:bCs/>
          <w:rtl/>
          <w:lang w:val="en-US" w:bidi="ar-EG"/>
        </w:rPr>
      </w:pPr>
      <w:r>
        <w:rPr>
          <w:rFonts w:hint="cs"/>
          <w:bCs/>
          <w:rtl/>
          <w:lang w:val="en-US" w:bidi="ar-EG"/>
        </w:rPr>
        <w:t xml:space="preserve">نص مراجعة </w:t>
      </w:r>
      <w:r w:rsidR="00484D1A" w:rsidRPr="00140002">
        <w:rPr>
          <w:rFonts w:hint="cs"/>
          <w:bCs/>
          <w:rtl/>
          <w:lang w:val="en-US" w:bidi="ar-EG"/>
        </w:rPr>
        <w:t xml:space="preserve">المسألة </w:t>
      </w:r>
      <w:r w:rsidR="00484D1A" w:rsidRPr="00140002">
        <w:rPr>
          <w:bCs/>
          <w:lang w:val="en-US" w:bidi="ar-EG"/>
        </w:rPr>
        <w:t>7/2</w:t>
      </w:r>
    </w:p>
    <w:p w:rsidR="00484D1A" w:rsidRPr="00140002" w:rsidRDefault="0052007E" w:rsidP="00140002">
      <w:pPr>
        <w:pStyle w:val="Questiontitle"/>
        <w:jc w:val="left"/>
        <w:rPr>
          <w:bCs/>
          <w:rtl/>
        </w:rPr>
      </w:pPr>
      <w:r w:rsidRPr="00140002">
        <w:rPr>
          <w:rFonts w:hint="cs"/>
          <w:bCs/>
          <w:rtl/>
        </w:rPr>
        <w:t xml:space="preserve">المسألة </w:t>
      </w:r>
      <w:r w:rsidRPr="00140002">
        <w:rPr>
          <w:bCs/>
        </w:rPr>
        <w:t>7/2</w:t>
      </w:r>
      <w:r w:rsidRPr="00140002">
        <w:rPr>
          <w:rFonts w:hint="cs"/>
          <w:bCs/>
          <w:rtl/>
        </w:rPr>
        <w:t xml:space="preserve"> - </w:t>
      </w:r>
      <w:r w:rsidR="00484D1A" w:rsidRPr="00140002">
        <w:rPr>
          <w:rFonts w:hint="cs"/>
          <w:bCs/>
          <w:rtl/>
        </w:rPr>
        <w:t>المتطلبات المتعلقة بالسطوح البينية لإدارة المنشأة-المنشأة والعميل-المنشأة</w:t>
      </w:r>
    </w:p>
    <w:p w:rsidR="00F86FEF" w:rsidRPr="00F86FEF" w:rsidRDefault="00F86FEF" w:rsidP="00F86FEF">
      <w:pPr>
        <w:pStyle w:val="Headingb"/>
        <w:rPr>
          <w:rFonts w:ascii="Times New Roman Bold" w:hAnsi="Times New Roman Bold"/>
          <w:bCs/>
          <w:rtl/>
          <w:lang w:val="en-US" w:bidi="ar-EG"/>
        </w:rPr>
      </w:pPr>
      <w:r w:rsidRPr="00F86FEF">
        <w:rPr>
          <w:rFonts w:ascii="Times New Roman Bold" w:hAnsi="Times New Roman Bold" w:hint="cs"/>
          <w:bCs/>
          <w:rtl/>
          <w:lang w:val="en-US" w:bidi="ar-EG"/>
        </w:rPr>
        <w:t xml:space="preserve">(استمرار جزء من المسألة </w:t>
      </w:r>
      <w:r w:rsidRPr="00F86FEF">
        <w:rPr>
          <w:rFonts w:ascii="Times New Roman Bold" w:hAnsi="Times New Roman Bold"/>
          <w:bCs/>
          <w:lang w:val="en-US" w:bidi="ar-EG"/>
        </w:rPr>
        <w:t>2/4</w:t>
      </w:r>
      <w:r w:rsidRPr="00F86FEF">
        <w:rPr>
          <w:rFonts w:ascii="Times New Roman Bold" w:hAnsi="Times New Roman Bold" w:hint="cs"/>
          <w:bCs/>
          <w:rtl/>
          <w:lang w:val="en-US" w:bidi="ar-EG"/>
        </w:rPr>
        <w:t xml:space="preserve"> والمسألة </w:t>
      </w:r>
      <w:r w:rsidRPr="00F86FEF">
        <w:rPr>
          <w:rFonts w:ascii="Times New Roman Bold" w:hAnsi="Times New Roman Bold"/>
          <w:bCs/>
          <w:lang w:val="en-US" w:bidi="ar-EG"/>
        </w:rPr>
        <w:t>(7/4</w:t>
      </w:r>
    </w:p>
    <w:p w:rsidR="00484D1A" w:rsidRDefault="00484D1A" w:rsidP="00484D1A">
      <w:pPr>
        <w:pStyle w:val="Heading1"/>
        <w:rPr>
          <w:rtl/>
          <w:lang w:bidi="ar-EG"/>
        </w:rPr>
      </w:pPr>
      <w:r>
        <w:rPr>
          <w:rFonts w:hint="cs"/>
          <w:rtl/>
          <w:lang w:bidi="ar-EG"/>
        </w:rPr>
        <w:t>الدوافع</w:t>
      </w:r>
    </w:p>
    <w:p w:rsidR="008D3562" w:rsidRPr="00154DA4" w:rsidRDefault="00484D1A" w:rsidP="005D07AD">
      <w:pPr>
        <w:rPr>
          <w:rtl/>
          <w:lang w:bidi="ar-EG"/>
        </w:rPr>
      </w:pPr>
      <w:r>
        <w:rPr>
          <w:rFonts w:hint="cs"/>
          <w:rtl/>
          <w:lang w:bidi="ar-EG"/>
        </w:rPr>
        <w:t xml:space="preserve">لقد أدركت صناعة الاتصالات فوائد إدارة الاتصالات لتوصيل معلومات الإدارة بين المنشآت </w:t>
      </w:r>
      <w:r>
        <w:rPr>
          <w:lang w:bidi="ar-EG"/>
        </w:rPr>
        <w:t>(B2B)</w:t>
      </w:r>
      <w:r>
        <w:rPr>
          <w:rFonts w:hint="cs"/>
          <w:rtl/>
          <w:lang w:bidi="ar-EG"/>
        </w:rPr>
        <w:t xml:space="preserve"> (مثلاً، بين موردي الخدمات، وبين موردي الخدمات ومشغلي الشبكات، وبين مشغلي الشبكات) وبين العميل والمنشأة </w:t>
      </w:r>
      <w:r>
        <w:rPr>
          <w:lang w:bidi="ar-EG"/>
        </w:rPr>
        <w:t>(C2B)</w:t>
      </w:r>
      <w:r>
        <w:rPr>
          <w:rFonts w:hint="cs"/>
          <w:rtl/>
          <w:lang w:bidi="ar-EG"/>
        </w:rPr>
        <w:t xml:space="preserve"> (مثلاً، بين العميل ومورد الخدمة) بما في ذلك إدارة شبكة العميل. </w:t>
      </w:r>
      <w:r w:rsidR="00154DA4">
        <w:rPr>
          <w:rFonts w:hint="cs"/>
          <w:rtl/>
          <w:lang w:bidi="ar-EG"/>
        </w:rPr>
        <w:t xml:space="preserve">وهذه فوائد أساسية أيضاً للاتصالات بين المنشآت التجارية والإدارات الوطنية/الحكومات (بين المنشآت والحكومات </w:t>
      </w:r>
      <w:r w:rsidR="00154DA4">
        <w:rPr>
          <w:lang w:bidi="ar-EG"/>
        </w:rPr>
        <w:t>(B2G)</w:t>
      </w:r>
      <w:r w:rsidR="00430A86">
        <w:rPr>
          <w:rFonts w:hint="cs"/>
          <w:rtl/>
          <w:lang w:bidi="ar-EG"/>
        </w:rPr>
        <w:t>)</w:t>
      </w:r>
      <w:r w:rsidR="00154DA4">
        <w:rPr>
          <w:rFonts w:hint="cs"/>
          <w:rtl/>
          <w:lang w:bidi="ar-EG"/>
        </w:rPr>
        <w:t>. ويلزم تحديد السطوح البينية المطلوبة بين المنشآت والحكومات من</w:t>
      </w:r>
      <w:r w:rsidR="005D07AD">
        <w:rPr>
          <w:rFonts w:hint="eastAsia"/>
          <w:rtl/>
          <w:lang w:bidi="ar-EG"/>
        </w:rPr>
        <w:t> </w:t>
      </w:r>
      <w:r w:rsidR="00154DA4">
        <w:rPr>
          <w:rFonts w:hint="cs"/>
          <w:rtl/>
          <w:lang w:bidi="ar-EG"/>
        </w:rPr>
        <w:t>أجل تلبية الطلب المتزايد لتوفير عملية اتصالات بين الحكومة والمنشآت التجارية تكون سريعة وأوتوماتية بتكاليف معقولة وتتميز بالكفاءة من حيث الوقت.</w:t>
      </w:r>
    </w:p>
    <w:p w:rsidR="00484D1A" w:rsidRDefault="00484D1A" w:rsidP="00460DF8">
      <w:pPr>
        <w:rPr>
          <w:rtl/>
          <w:lang w:bidi="ar-EG"/>
        </w:rPr>
      </w:pPr>
      <w:r w:rsidRPr="008D3562">
        <w:rPr>
          <w:rFonts w:hint="cs"/>
          <w:rtl/>
          <w:lang w:bidi="ar-EG"/>
        </w:rPr>
        <w:t xml:space="preserve">وبالتالي من الهام تحديد وظيفة الإدارة ومعلومات الإدارة المرتبطة بها التي ستوصل عبر هذه السطوح البينية. ونظراً لسرعة تنفيذ شبكات الجيل التالي بوجه خاص، عمد العديد من مشغلي الشبكات وموردي الخدمات إلى الاستعاضة عن شبكاتهم العاملة بتبديل الدارات بالشبكات القائمة على الرزم. وهذه المسألة هي المسألة الرئيسية التي تضطلع بها </w:t>
      </w:r>
      <w:r w:rsidRPr="002960BB">
        <w:rPr>
          <w:rFonts w:hint="cs"/>
          <w:rtl/>
          <w:lang w:bidi="ar-EG"/>
        </w:rPr>
        <w:t>لجنة الدراسات</w:t>
      </w:r>
      <w:r w:rsidR="00460DF8">
        <w:rPr>
          <w:rFonts w:hint="eastAsia"/>
          <w:rtl/>
          <w:lang w:bidi="ar-EG"/>
        </w:rPr>
        <w:t> </w:t>
      </w:r>
      <w:r w:rsidR="002960BB">
        <w:rPr>
          <w:lang w:bidi="ar-EG"/>
        </w:rPr>
        <w:t>2</w:t>
      </w:r>
      <w:r w:rsidRPr="008D3562">
        <w:rPr>
          <w:rFonts w:hint="cs"/>
          <w:rtl/>
          <w:lang w:bidi="ar-EG"/>
        </w:rPr>
        <w:t xml:space="preserve"> فيما</w:t>
      </w:r>
      <w:r w:rsidR="005D07AD">
        <w:rPr>
          <w:rFonts w:hint="eastAsia"/>
          <w:rtl/>
          <w:lang w:bidi="ar-EG"/>
        </w:rPr>
        <w:t> </w:t>
      </w:r>
      <w:r w:rsidRPr="008D3562">
        <w:rPr>
          <w:rFonts w:hint="cs"/>
          <w:rtl/>
          <w:lang w:bidi="ar-EG"/>
        </w:rPr>
        <w:t xml:space="preserve">يتعلق باللغة </w:t>
      </w:r>
      <w:r w:rsidRPr="008D3562">
        <w:rPr>
          <w:lang w:bidi="ar-EG"/>
        </w:rPr>
        <w:t>tML</w:t>
      </w:r>
      <w:r w:rsidRPr="008D3562">
        <w:rPr>
          <w:rFonts w:hint="cs"/>
          <w:rtl/>
          <w:lang w:bidi="ar-EG"/>
        </w:rPr>
        <w:t xml:space="preserve"> واتصالات الإغاثة في حالات الكوارث.</w:t>
      </w:r>
    </w:p>
    <w:p w:rsidR="00484D1A" w:rsidRDefault="00484D1A" w:rsidP="00484D1A">
      <w:pPr>
        <w:rPr>
          <w:rtl/>
          <w:lang w:bidi="ar-EG"/>
        </w:rPr>
      </w:pPr>
      <w:r>
        <w:rPr>
          <w:rFonts w:hint="cs"/>
          <w:rtl/>
        </w:rPr>
        <w:t xml:space="preserve">ولا بد من التعاون الوثيق مع </w:t>
      </w:r>
      <w:r>
        <w:rPr>
          <w:rFonts w:hint="cs"/>
          <w:rtl/>
          <w:lang w:bidi="ar-EG"/>
        </w:rPr>
        <w:t>منظمات وضع المعايير والمنتديات والاتحادات.</w:t>
      </w:r>
    </w:p>
    <w:p w:rsidR="00484D1A" w:rsidRPr="009737F9" w:rsidRDefault="00484D1A" w:rsidP="00484D1A">
      <w:pPr>
        <w:pStyle w:val="Heading1"/>
        <w:rPr>
          <w:rtl/>
          <w:lang w:bidi="ar-EG"/>
        </w:rPr>
      </w:pPr>
      <w:r w:rsidRPr="009737F9">
        <w:rPr>
          <w:rFonts w:hint="cs"/>
          <w:rtl/>
          <w:lang w:bidi="ar-EG"/>
        </w:rPr>
        <w:t>المسألة</w:t>
      </w:r>
    </w:p>
    <w:p w:rsidR="00484D1A" w:rsidRDefault="00484D1A" w:rsidP="00484D1A">
      <w:pPr>
        <w:rPr>
          <w:rtl/>
          <w:lang w:bidi="ar-EG"/>
        </w:rPr>
      </w:pPr>
      <w:r>
        <w:rPr>
          <w:rFonts w:hint="cs"/>
          <w:rtl/>
          <w:lang w:bidi="ar-EG"/>
        </w:rPr>
        <w:t>تتناول المسألة دراسة البنود التالية دون أن تقتصر عليها:</w:t>
      </w:r>
    </w:p>
    <w:p w:rsidR="00484D1A" w:rsidRPr="0017370B" w:rsidRDefault="00484D1A" w:rsidP="0017370B">
      <w:pPr>
        <w:pStyle w:val="enumlev1"/>
        <w:spacing w:before="80" w:after="0"/>
        <w:rPr>
          <w:spacing w:val="-6"/>
          <w:rtl/>
          <w:lang w:bidi="ar-EG"/>
        </w:rPr>
      </w:pPr>
      <w:r>
        <w:rPr>
          <w:rtl/>
          <w:lang w:val="fr-FR" w:bidi="ar-EG"/>
        </w:rPr>
        <w:t>•</w:t>
      </w:r>
      <w:r>
        <w:rPr>
          <w:rFonts w:hint="cs"/>
          <w:rtl/>
          <w:lang w:bidi="ar-EG"/>
        </w:rPr>
        <w:tab/>
      </w:r>
      <w:r w:rsidRPr="0017370B">
        <w:rPr>
          <w:rFonts w:hint="cs"/>
          <w:spacing w:val="-6"/>
          <w:rtl/>
          <w:lang w:bidi="ar-EG"/>
        </w:rPr>
        <w:t>ما هي المعمارية والمبادئ الإضافية اللازمة للسطح البيني للإدارة بين المنشآت وبين العميل والمنشأة أثناء دورة حياة الخدمة؟</w:t>
      </w:r>
    </w:p>
    <w:p w:rsidR="00484D1A" w:rsidRPr="00C43948" w:rsidRDefault="00484D1A" w:rsidP="00C43948">
      <w:pPr>
        <w:pStyle w:val="enumlev1"/>
        <w:spacing w:before="80" w:after="0"/>
        <w:rPr>
          <w:spacing w:val="-2"/>
          <w:rtl/>
        </w:rPr>
      </w:pPr>
      <w:r w:rsidRPr="001633AD">
        <w:rPr>
          <w:rFonts w:cs="Times New Roman"/>
          <w:rtl/>
          <w:lang w:val="fr-FR"/>
        </w:rPr>
        <w:t>•</w:t>
      </w:r>
      <w:r>
        <w:rPr>
          <w:rFonts w:hint="cs"/>
          <w:rtl/>
        </w:rPr>
        <w:tab/>
      </w:r>
      <w:r w:rsidRPr="00C43948">
        <w:rPr>
          <w:rFonts w:hint="cs"/>
          <w:spacing w:val="-2"/>
          <w:rtl/>
        </w:rPr>
        <w:t xml:space="preserve">ما هي العمليات وعناصر العمليات الإضافية في إطار التوصية </w:t>
      </w:r>
      <w:r w:rsidRPr="00C43948">
        <w:rPr>
          <w:spacing w:val="-2"/>
        </w:rPr>
        <w:t>M.3050</w:t>
      </w:r>
      <w:r w:rsidRPr="00C43948">
        <w:rPr>
          <w:rFonts w:hint="cs"/>
          <w:spacing w:val="-2"/>
          <w:rtl/>
        </w:rPr>
        <w:t xml:space="preserve"> اللازمة لمراعاة جوانب إدارة الاتصالات فيما</w:t>
      </w:r>
      <w:r w:rsidR="00C43948" w:rsidRPr="00C43948">
        <w:rPr>
          <w:rFonts w:hint="eastAsia"/>
          <w:spacing w:val="-2"/>
          <w:rtl/>
        </w:rPr>
        <w:t> </w:t>
      </w:r>
      <w:r w:rsidRPr="00C43948">
        <w:rPr>
          <w:rFonts w:hint="cs"/>
          <w:spacing w:val="-2"/>
          <w:rtl/>
        </w:rPr>
        <w:t xml:space="preserve">يتعلق بالإدارة بين المنشآت وبين العميل والمنشأة، لا سيما الاستراتيجية والالتزام، وإدارة دورة الحياة المتعلقة بالبنية التحتية ودورة حياة المنتجات ودعم العمليات والاستعداد، والتنفيذ والأمن وعملية الفوترة المتعلقة بإدارة العملاء والمنتجات التجارية، وإدارة الخدمة وإدارة الموارد وإدارة الشركاء/الموردين (العمليات الواردة في التوصية </w:t>
      </w:r>
      <w:r w:rsidRPr="00C43948">
        <w:rPr>
          <w:spacing w:val="-2"/>
        </w:rPr>
        <w:t>(M.3050</w:t>
      </w:r>
      <w:r w:rsidRPr="00C43948">
        <w:rPr>
          <w:rFonts w:hint="cs"/>
          <w:spacing w:val="-2"/>
          <w:rtl/>
        </w:rPr>
        <w:t>؟</w:t>
      </w:r>
    </w:p>
    <w:p w:rsidR="00484D1A" w:rsidRDefault="00484D1A" w:rsidP="00484D1A">
      <w:pPr>
        <w:pStyle w:val="enumlev1"/>
        <w:spacing w:before="80" w:after="0"/>
        <w:rPr>
          <w:rtl/>
          <w:lang w:bidi="ar-EG"/>
        </w:rPr>
      </w:pPr>
      <w:r>
        <w:rPr>
          <w:rtl/>
          <w:lang w:val="fr-FR" w:bidi="ar-EG"/>
        </w:rPr>
        <w:t>•</w:t>
      </w:r>
      <w:r>
        <w:rPr>
          <w:rFonts w:hint="cs"/>
          <w:rtl/>
        </w:rPr>
        <w:tab/>
      </w:r>
      <w:r w:rsidRPr="00B67321">
        <w:rPr>
          <w:rFonts w:hint="cs"/>
          <w:spacing w:val="-3"/>
          <w:rtl/>
        </w:rPr>
        <w:t xml:space="preserve">ما هي التحسينات التي يجب إدخالها على التوصيتين </w:t>
      </w:r>
      <w:r w:rsidRPr="00B67321">
        <w:rPr>
          <w:spacing w:val="-3"/>
        </w:rPr>
        <w:t>M.3050</w:t>
      </w:r>
      <w:r w:rsidRPr="00B67321">
        <w:rPr>
          <w:rFonts w:hint="cs"/>
          <w:spacing w:val="-3"/>
          <w:rtl/>
          <w:lang w:bidi="ar-EG"/>
        </w:rPr>
        <w:t xml:space="preserve"> و</w:t>
      </w:r>
      <w:r w:rsidRPr="00B67321">
        <w:rPr>
          <w:spacing w:val="-3"/>
          <w:lang w:bidi="ar-EG"/>
        </w:rPr>
        <w:t>M.3060</w:t>
      </w:r>
      <w:r w:rsidRPr="00B67321">
        <w:rPr>
          <w:rFonts w:hint="cs"/>
          <w:spacing w:val="-3"/>
          <w:rtl/>
          <w:lang w:bidi="ar-EG"/>
        </w:rPr>
        <w:t xml:space="preserve"> لدعم الإدارة الذاتية لخدمة العميل/المستعمل؟</w:t>
      </w:r>
    </w:p>
    <w:p w:rsidR="00484D1A" w:rsidRDefault="00484D1A" w:rsidP="00484D1A">
      <w:pPr>
        <w:pStyle w:val="enumlev1"/>
        <w:spacing w:before="80" w:after="0"/>
        <w:rPr>
          <w:rtl/>
          <w:lang w:bidi="ar-EG"/>
        </w:rPr>
      </w:pPr>
      <w:r>
        <w:rPr>
          <w:rtl/>
          <w:lang w:val="fr-FR" w:bidi="ar-EG"/>
        </w:rPr>
        <w:t>•</w:t>
      </w:r>
      <w:r>
        <w:rPr>
          <w:rFonts w:hint="cs"/>
          <w:rtl/>
          <w:lang w:bidi="ar-EG"/>
        </w:rPr>
        <w:tab/>
        <w:t xml:space="preserve">ما هي متطلبات اللغة </w:t>
      </w:r>
      <w:r>
        <w:rPr>
          <w:lang w:bidi="ar-EG"/>
        </w:rPr>
        <w:t>tML</w:t>
      </w:r>
      <w:r>
        <w:rPr>
          <w:rFonts w:hint="cs"/>
          <w:rtl/>
          <w:lang w:bidi="ar-EG"/>
        </w:rPr>
        <w:t xml:space="preserve"> لدعم استعمال لغة التشفير القابلة للتوسيع </w:t>
      </w:r>
      <w:r>
        <w:rPr>
          <w:lang w:bidi="ar-EG"/>
        </w:rPr>
        <w:t>(XML)</w:t>
      </w:r>
      <w:r>
        <w:rPr>
          <w:rFonts w:hint="cs"/>
          <w:rtl/>
          <w:lang w:bidi="ar-EG"/>
        </w:rPr>
        <w:t xml:space="preserve"> في الاتصالات المرسلة عبر السطوح البينية بين المنشآت وبين العميل والمنشأة؟</w:t>
      </w:r>
    </w:p>
    <w:p w:rsidR="00484D1A" w:rsidRDefault="00484D1A" w:rsidP="00484D1A">
      <w:pPr>
        <w:pStyle w:val="enumlev1"/>
        <w:spacing w:before="80" w:after="0"/>
        <w:rPr>
          <w:rtl/>
          <w:lang w:bidi="ar-EG"/>
        </w:rPr>
      </w:pPr>
      <w:r>
        <w:rPr>
          <w:rtl/>
          <w:lang w:val="fr-FR" w:bidi="ar-EG"/>
        </w:rPr>
        <w:t>•</w:t>
      </w:r>
      <w:r>
        <w:rPr>
          <w:rFonts w:hint="cs"/>
          <w:rtl/>
          <w:lang w:bidi="ar-EG"/>
        </w:rPr>
        <w:tab/>
        <w:t>ما هي متطلبات الخدمات والاتصالات الإضافية، لا سيما فيما يتعلق بالأمن، التي يجب تحديدها من أجل السطوح البينية بين المنشآت وبين العميل والمنشأة للاستجابة للمتطلبات القانونية والتنظيمية لدى الإدارات؟</w:t>
      </w:r>
    </w:p>
    <w:p w:rsidR="00484D1A" w:rsidRDefault="00484D1A" w:rsidP="00F127E2">
      <w:pPr>
        <w:pStyle w:val="enumlev1"/>
        <w:spacing w:before="80" w:after="0"/>
        <w:rPr>
          <w:rtl/>
          <w:lang w:bidi="ar-EG"/>
        </w:rPr>
      </w:pPr>
      <w:r>
        <w:rPr>
          <w:rtl/>
          <w:lang w:val="fr-FR" w:bidi="ar-EG"/>
        </w:rPr>
        <w:t>•</w:t>
      </w:r>
      <w:r>
        <w:rPr>
          <w:rFonts w:hint="cs"/>
          <w:rtl/>
          <w:lang w:bidi="ar-EG"/>
        </w:rPr>
        <w:tab/>
        <w:t>ما هي المعلومات التي ينبغي أن يتبادلها موردو الخدمات لمراعاة الاتفاقات على مستوى الخدمة فيما يتعلق بنوعية الخدمة من طرف إلى طرف؟</w:t>
      </w:r>
    </w:p>
    <w:p w:rsidR="00484D1A" w:rsidRDefault="00484D1A" w:rsidP="00484D1A">
      <w:pPr>
        <w:pStyle w:val="enumlev1"/>
        <w:spacing w:before="80" w:after="0"/>
        <w:rPr>
          <w:rtl/>
          <w:lang w:bidi="ar-EG"/>
        </w:rPr>
      </w:pPr>
      <w:r>
        <w:rPr>
          <w:rtl/>
          <w:lang w:val="fr-FR" w:bidi="ar-EG"/>
        </w:rPr>
        <w:lastRenderedPageBreak/>
        <w:t>•</w:t>
      </w:r>
      <w:r>
        <w:rPr>
          <w:rFonts w:hint="cs"/>
          <w:rtl/>
          <w:lang w:bidi="ar-EG"/>
        </w:rPr>
        <w:tab/>
        <w:t xml:space="preserve">ما هي التحسينات التي يجب إدخالها على توصيات السلسلة </w:t>
      </w:r>
      <w:r>
        <w:rPr>
          <w:lang w:bidi="ar-EG"/>
        </w:rPr>
        <w:t>M.1400</w:t>
      </w:r>
      <w:r>
        <w:rPr>
          <w:rFonts w:hint="cs"/>
          <w:rtl/>
          <w:lang w:bidi="ar-EG"/>
        </w:rPr>
        <w:t xml:space="preserve"> لدعم التكنولوجيات الجديدة؟ وما هي المعلومات التي ينبغي أن يتبادلها عملاء الخدمة وموردو الخدمة لدعم الإدارة الذاتية لخدمة العميل/المستعمل؟</w:t>
      </w:r>
    </w:p>
    <w:p w:rsidR="00484D1A" w:rsidRDefault="00484D1A" w:rsidP="00484D1A">
      <w:pPr>
        <w:pStyle w:val="enumlev1"/>
        <w:spacing w:before="80" w:after="0"/>
        <w:rPr>
          <w:rtl/>
          <w:lang w:bidi="ar-EG"/>
        </w:rPr>
      </w:pPr>
      <w:r>
        <w:rPr>
          <w:rtl/>
          <w:lang w:val="fr-FR" w:bidi="ar-EG"/>
        </w:rPr>
        <w:t>•</w:t>
      </w:r>
      <w:r>
        <w:rPr>
          <w:rFonts w:hint="cs"/>
          <w:rtl/>
          <w:lang w:bidi="ar-EG"/>
        </w:rPr>
        <w:tab/>
        <w:t xml:space="preserve">ما هي التحديثات التي يجب إدخالها على توصيات السلاسل </w:t>
      </w:r>
      <w:r>
        <w:rPr>
          <w:lang w:bidi="ar-EG"/>
        </w:rPr>
        <w:t>M.1400</w:t>
      </w:r>
      <w:r>
        <w:rPr>
          <w:rFonts w:hint="cs"/>
          <w:rtl/>
          <w:lang w:bidi="ar-EG"/>
        </w:rPr>
        <w:t xml:space="preserve"> و</w:t>
      </w:r>
      <w:r>
        <w:rPr>
          <w:lang w:bidi="ar-EG"/>
        </w:rPr>
        <w:t>M.3320</w:t>
      </w:r>
      <w:r>
        <w:rPr>
          <w:rFonts w:hint="cs"/>
          <w:rtl/>
          <w:lang w:bidi="ar-EG"/>
        </w:rPr>
        <w:t xml:space="preserve"> و</w:t>
      </w:r>
      <w:r>
        <w:rPr>
          <w:lang w:bidi="ar-EG"/>
        </w:rPr>
        <w:t>M.1500</w:t>
      </w:r>
      <w:r>
        <w:rPr>
          <w:rFonts w:hint="cs"/>
          <w:rtl/>
          <w:lang w:bidi="ar-EG"/>
        </w:rPr>
        <w:t xml:space="preserve"> و</w:t>
      </w:r>
      <w:r>
        <w:rPr>
          <w:lang w:bidi="ar-EG"/>
        </w:rPr>
        <w:t>X.160</w:t>
      </w:r>
      <w:r>
        <w:rPr>
          <w:rFonts w:hint="cs"/>
          <w:rtl/>
          <w:lang w:bidi="ar-EG"/>
        </w:rPr>
        <w:t xml:space="preserve"> و</w:t>
      </w:r>
      <w:r>
        <w:rPr>
          <w:lang w:bidi="ar-EG"/>
        </w:rPr>
        <w:t>X.170</w:t>
      </w:r>
      <w:r>
        <w:rPr>
          <w:rFonts w:hint="cs"/>
          <w:rtl/>
          <w:lang w:bidi="ar-EG"/>
        </w:rPr>
        <w:t>؟</w:t>
      </w:r>
    </w:p>
    <w:p w:rsidR="00484D1A" w:rsidRPr="00B64A02" w:rsidRDefault="00484D1A" w:rsidP="00484D1A">
      <w:pPr>
        <w:pStyle w:val="enumlev1"/>
        <w:spacing w:before="80" w:after="0"/>
        <w:rPr>
          <w:spacing w:val="-2"/>
          <w:rtl/>
          <w:lang w:bidi="ar-EG"/>
        </w:rPr>
      </w:pPr>
      <w:r>
        <w:rPr>
          <w:rtl/>
          <w:lang w:val="fr-FR" w:bidi="ar-EG"/>
        </w:rPr>
        <w:t>•</w:t>
      </w:r>
      <w:r>
        <w:rPr>
          <w:rFonts w:hint="cs"/>
          <w:rtl/>
          <w:lang w:bidi="ar-EG"/>
        </w:rPr>
        <w:tab/>
      </w:r>
      <w:r w:rsidRPr="00B64A02">
        <w:rPr>
          <w:rFonts w:hint="cs"/>
          <w:spacing w:val="-2"/>
          <w:rtl/>
          <w:lang w:bidi="ar-EG"/>
        </w:rPr>
        <w:t xml:space="preserve">ما هي وظائف إدارة الخدمة ومعلومات الإدارة التي يجب تبادلها عبر السطوح البينية بين المنشآت وبين العميل والمنشأة لتلبية متطلبات التوصية </w:t>
      </w:r>
      <w:r w:rsidRPr="00B64A02">
        <w:rPr>
          <w:spacing w:val="-2"/>
          <w:lang w:bidi="ar-EG"/>
        </w:rPr>
        <w:t>E.106</w:t>
      </w:r>
      <w:r w:rsidRPr="00B64A02">
        <w:rPr>
          <w:rFonts w:hint="cs"/>
          <w:spacing w:val="-2"/>
          <w:rtl/>
          <w:lang w:bidi="ar-EG"/>
        </w:rPr>
        <w:t xml:space="preserve"> من أجل إدارة اتصالات الإغاثة في حالات الكوارث في إطار شبكات الجيل التالي؟</w:t>
      </w:r>
    </w:p>
    <w:p w:rsidR="00484D1A" w:rsidRDefault="00484D1A" w:rsidP="00484D1A">
      <w:pPr>
        <w:pStyle w:val="enumlev1"/>
        <w:spacing w:before="80" w:after="0"/>
        <w:rPr>
          <w:rtl/>
          <w:lang w:bidi="ar-EG"/>
        </w:rPr>
      </w:pPr>
      <w:r>
        <w:rPr>
          <w:rtl/>
          <w:lang w:val="fr-FR" w:bidi="ar-EG"/>
        </w:rPr>
        <w:t>•</w:t>
      </w:r>
      <w:r>
        <w:rPr>
          <w:rFonts w:hint="cs"/>
          <w:rtl/>
          <w:lang w:bidi="ar-EG"/>
        </w:rPr>
        <w:tab/>
        <w:t xml:space="preserve">ما هي متطلبات الإدارة اللازمة لمشغلي الاتصالات ولعملائهم لدعم إدارة الهوية لا سيما المعرف </w:t>
      </w:r>
      <w:r>
        <w:rPr>
          <w:lang w:bidi="ar-EG"/>
        </w:rPr>
        <w:t>T-SPID</w:t>
      </w:r>
      <w:r>
        <w:rPr>
          <w:rFonts w:hint="cs"/>
          <w:rtl/>
          <w:lang w:bidi="ar-EG"/>
        </w:rPr>
        <w:t xml:space="preserve"> ومواءمتها مع توصيات السلسلة </w:t>
      </w:r>
      <w:r>
        <w:rPr>
          <w:lang w:bidi="ar-EG"/>
        </w:rPr>
        <w:t>M.1400</w:t>
      </w:r>
      <w:r>
        <w:rPr>
          <w:rFonts w:hint="cs"/>
          <w:rtl/>
          <w:lang w:bidi="ar-EG"/>
        </w:rPr>
        <w:t>؟</w:t>
      </w:r>
    </w:p>
    <w:p w:rsidR="007E0AF5" w:rsidRDefault="007E0AF5" w:rsidP="00484D1A">
      <w:pPr>
        <w:pStyle w:val="enumlev1"/>
        <w:spacing w:before="80" w:after="0"/>
        <w:rPr>
          <w:rtl/>
          <w:lang w:bidi="ar-EG"/>
        </w:rPr>
      </w:pPr>
      <w:r>
        <w:rPr>
          <w:rtl/>
          <w:lang w:val="fr-FR" w:bidi="ar-EG"/>
        </w:rPr>
        <w:t>•</w:t>
      </w:r>
      <w:r>
        <w:rPr>
          <w:rFonts w:hint="cs"/>
          <w:rtl/>
          <w:lang w:bidi="ar-EG"/>
        </w:rPr>
        <w:tab/>
      </w:r>
      <w:r w:rsidR="00B52E12">
        <w:rPr>
          <w:rFonts w:hint="cs"/>
          <w:rtl/>
          <w:lang w:bidi="ar-EG"/>
        </w:rPr>
        <w:t xml:space="preserve">ما هي الأهداف والغايات المنشودة، وما هي المحتويات ومجال التطبيق ونوع المعلومات التي ينبغي تبادلها من خلال السطح البيني القائم بين المنشآت والحكومات </w:t>
      </w:r>
      <w:r w:rsidR="00B52E12">
        <w:rPr>
          <w:lang w:bidi="ar-EG"/>
        </w:rPr>
        <w:t>(B2G)</w:t>
      </w:r>
      <w:r w:rsidR="00B52E12">
        <w:rPr>
          <w:rFonts w:hint="cs"/>
          <w:rtl/>
          <w:lang w:bidi="ar-EG"/>
        </w:rPr>
        <w:t>؟</w:t>
      </w:r>
    </w:p>
    <w:p w:rsidR="007E0AF5" w:rsidRDefault="007E0AF5" w:rsidP="00484D1A">
      <w:pPr>
        <w:pStyle w:val="enumlev1"/>
        <w:spacing w:before="80" w:after="0"/>
        <w:rPr>
          <w:rtl/>
          <w:lang w:bidi="ar-EG"/>
        </w:rPr>
      </w:pPr>
      <w:r>
        <w:rPr>
          <w:rtl/>
          <w:lang w:val="fr-FR" w:bidi="ar-EG"/>
        </w:rPr>
        <w:t>•</w:t>
      </w:r>
      <w:r>
        <w:rPr>
          <w:rFonts w:hint="cs"/>
          <w:rtl/>
          <w:lang w:bidi="ar-EG"/>
        </w:rPr>
        <w:tab/>
      </w:r>
      <w:r w:rsidR="00B52E12">
        <w:rPr>
          <w:rFonts w:hint="cs"/>
          <w:rtl/>
          <w:lang w:bidi="ar-EG"/>
        </w:rPr>
        <w:t>ما هي متطلبات السطح البيني القائم بين المنشآت والحكومات؟</w:t>
      </w:r>
    </w:p>
    <w:p w:rsidR="007E0AF5" w:rsidRDefault="007E0AF5" w:rsidP="00484D1A">
      <w:pPr>
        <w:pStyle w:val="enumlev1"/>
        <w:spacing w:before="80" w:after="0"/>
        <w:rPr>
          <w:rtl/>
          <w:lang w:bidi="ar-EG"/>
        </w:rPr>
      </w:pPr>
      <w:r>
        <w:rPr>
          <w:rtl/>
          <w:lang w:val="fr-FR" w:bidi="ar-EG"/>
        </w:rPr>
        <w:t>•</w:t>
      </w:r>
      <w:r>
        <w:rPr>
          <w:rFonts w:hint="cs"/>
          <w:rtl/>
          <w:lang w:bidi="ar-EG"/>
        </w:rPr>
        <w:tab/>
      </w:r>
      <w:r w:rsidR="00B52E12">
        <w:rPr>
          <w:rFonts w:hint="cs"/>
          <w:rtl/>
          <w:lang w:bidi="ar-EG"/>
        </w:rPr>
        <w:t xml:space="preserve">ما هي الآثار التنظيمية على العمليات التجارية الموصوفة في التوصية </w:t>
      </w:r>
      <w:r w:rsidR="00B52E12">
        <w:rPr>
          <w:lang w:bidi="ar-EG"/>
        </w:rPr>
        <w:t>M.3050</w:t>
      </w:r>
      <w:r w:rsidR="00B52E12">
        <w:rPr>
          <w:rFonts w:hint="cs"/>
          <w:rtl/>
          <w:lang w:bidi="ar-EG"/>
        </w:rPr>
        <w:t xml:space="preserve"> وغيرها من التوصيات ذات الصلة؟</w:t>
      </w:r>
    </w:p>
    <w:p w:rsidR="007E0AF5" w:rsidRDefault="007E0AF5" w:rsidP="00484D1A">
      <w:pPr>
        <w:pStyle w:val="enumlev1"/>
        <w:spacing w:before="80" w:after="0"/>
        <w:rPr>
          <w:rtl/>
          <w:lang w:bidi="ar-EG"/>
        </w:rPr>
      </w:pPr>
      <w:r>
        <w:rPr>
          <w:rtl/>
          <w:lang w:val="fr-FR" w:bidi="ar-EG"/>
        </w:rPr>
        <w:t>•</w:t>
      </w:r>
      <w:r>
        <w:rPr>
          <w:rFonts w:hint="cs"/>
          <w:rtl/>
          <w:lang w:bidi="ar-EG"/>
        </w:rPr>
        <w:tab/>
      </w:r>
      <w:r w:rsidR="00B52E12">
        <w:rPr>
          <w:rFonts w:hint="cs"/>
          <w:rtl/>
          <w:lang w:bidi="ar-EG"/>
        </w:rPr>
        <w:t>ما هي التوصيات المرشحة لإعادة استعمالها من أجل الامتثال للمواصفات الخاصة بمتطلبات السطح البيني القائم بين المنشآت والحكومات؟</w:t>
      </w:r>
    </w:p>
    <w:p w:rsidR="007E0AF5" w:rsidRDefault="007E0AF5" w:rsidP="00484D1A">
      <w:pPr>
        <w:pStyle w:val="enumlev1"/>
        <w:spacing w:before="80" w:after="0"/>
        <w:rPr>
          <w:rtl/>
          <w:lang w:bidi="ar-EG"/>
        </w:rPr>
      </w:pPr>
      <w:r>
        <w:rPr>
          <w:rtl/>
          <w:lang w:val="fr-FR" w:bidi="ar-EG"/>
        </w:rPr>
        <w:t>•</w:t>
      </w:r>
      <w:r>
        <w:rPr>
          <w:rFonts w:hint="cs"/>
          <w:rtl/>
          <w:lang w:bidi="ar-EG"/>
        </w:rPr>
        <w:tab/>
      </w:r>
      <w:r w:rsidR="00B52E12">
        <w:rPr>
          <w:rFonts w:hint="cs"/>
          <w:rtl/>
          <w:lang w:bidi="ar-EG"/>
        </w:rPr>
        <w:t>ما هي التوصيات الجديدة والتعديلات اللازمة للتوصيات الحالية التي قد تكون ضرورية للامتثال لمتطلبات السطح البيني القائم بين المنشآت والحكومات؟</w:t>
      </w:r>
    </w:p>
    <w:p w:rsidR="00B52E12" w:rsidRDefault="00B52E12" w:rsidP="00F3640B">
      <w:pPr>
        <w:rPr>
          <w:rtl/>
          <w:lang w:bidi="ar-EG"/>
        </w:rPr>
      </w:pPr>
      <w:r>
        <w:rPr>
          <w:rFonts w:hint="cs"/>
          <w:rtl/>
          <w:lang w:bidi="ar-EG"/>
        </w:rPr>
        <w:t>ويمكن تحديد بنود أخرى للدراسة في وقت لاحق</w:t>
      </w:r>
    </w:p>
    <w:p w:rsidR="00484D1A" w:rsidRPr="00BA55B6" w:rsidRDefault="00484D1A" w:rsidP="00484D1A">
      <w:pPr>
        <w:pStyle w:val="Heading1"/>
        <w:rPr>
          <w:rtl/>
          <w:lang w:bidi="ar-EG"/>
        </w:rPr>
      </w:pPr>
      <w:r w:rsidRPr="00BA55B6">
        <w:rPr>
          <w:rFonts w:hint="cs"/>
          <w:rtl/>
          <w:lang w:bidi="ar-EG"/>
        </w:rPr>
        <w:t>المهام</w:t>
      </w:r>
    </w:p>
    <w:p w:rsidR="00484D1A" w:rsidRDefault="00484D1A" w:rsidP="00484D1A">
      <w:pPr>
        <w:rPr>
          <w:rtl/>
          <w:lang w:bidi="ar-EG"/>
        </w:rPr>
      </w:pPr>
      <w:r>
        <w:rPr>
          <w:rFonts w:hint="cs"/>
          <w:rtl/>
          <w:lang w:bidi="ar-EG"/>
        </w:rPr>
        <w:t>تتناول المهام البنود التالية دون أن تقتصر عليها:</w:t>
      </w:r>
    </w:p>
    <w:p w:rsidR="00484D1A" w:rsidRDefault="00484D1A" w:rsidP="00484D1A">
      <w:pPr>
        <w:pStyle w:val="enumlev1"/>
        <w:spacing w:before="80" w:after="0"/>
        <w:rPr>
          <w:rtl/>
          <w:lang w:bidi="ar-EG"/>
        </w:rPr>
      </w:pPr>
      <w:r>
        <w:rPr>
          <w:rtl/>
          <w:lang w:val="fr-FR" w:bidi="ar-EG"/>
        </w:rPr>
        <w:t>•</w:t>
      </w:r>
      <w:r>
        <w:rPr>
          <w:rFonts w:hint="cs"/>
          <w:rtl/>
          <w:lang w:bidi="ar-EG"/>
        </w:rPr>
        <w:tab/>
      </w:r>
      <w:r w:rsidRPr="00F35CFC">
        <w:rPr>
          <w:rFonts w:hint="cs"/>
          <w:rtl/>
          <w:lang w:bidi="ar-EG"/>
        </w:rPr>
        <w:t xml:space="preserve">تحديد متطلبات الأمن المتعلقة بالسطوح البينية القائمة بين المنشآت وبين العميل والمنشأة </w:t>
      </w:r>
      <w:r w:rsidR="00F35CFC">
        <w:rPr>
          <w:rFonts w:hint="cs"/>
          <w:rtl/>
          <w:lang w:bidi="ar-EG"/>
        </w:rPr>
        <w:t xml:space="preserve">وبين المنشأة والحكومة </w:t>
      </w:r>
      <w:r w:rsidRPr="00F35CFC">
        <w:rPr>
          <w:rFonts w:hint="cs"/>
          <w:rtl/>
          <w:lang w:bidi="ar-EG"/>
        </w:rPr>
        <w:t>لتلبية احتياجات التوصيل البيني للسطوح البينية القائمة بين موردين للخدمة وبين مورد الخدمة ومشغل الشبكة وبين مورد الخدمة وعميل الخدمة</w:t>
      </w:r>
      <w:r w:rsidR="00F35CFC">
        <w:rPr>
          <w:rFonts w:hint="cs"/>
          <w:rtl/>
          <w:lang w:bidi="ar-EG"/>
        </w:rPr>
        <w:t xml:space="preserve"> وبين مورد الخدمة/مشغل الخدمة والحكومة</w:t>
      </w:r>
      <w:r w:rsidRPr="00F35CFC">
        <w:rPr>
          <w:rFonts w:hint="cs"/>
          <w:rtl/>
          <w:lang w:bidi="ar-EG"/>
        </w:rPr>
        <w:t>.</w:t>
      </w:r>
    </w:p>
    <w:p w:rsidR="00484D1A" w:rsidRDefault="00484D1A" w:rsidP="00F35CFC">
      <w:pPr>
        <w:pStyle w:val="enumlev1"/>
        <w:spacing w:before="80" w:after="0"/>
        <w:rPr>
          <w:rtl/>
          <w:lang w:bidi="ar-EG"/>
        </w:rPr>
      </w:pPr>
      <w:r>
        <w:rPr>
          <w:rtl/>
          <w:lang w:val="fr-FR" w:bidi="ar-EG"/>
        </w:rPr>
        <w:t>•</w:t>
      </w:r>
      <w:r>
        <w:rPr>
          <w:rFonts w:hint="cs"/>
          <w:rtl/>
          <w:lang w:bidi="ar-EG"/>
        </w:rPr>
        <w:tab/>
        <w:t xml:space="preserve">تحديد المتطلبات اللازمة للاستجابة </w:t>
      </w:r>
      <w:r w:rsidR="00F35CFC">
        <w:rPr>
          <w:rFonts w:hint="cs"/>
          <w:rtl/>
          <w:lang w:bidi="ar-EG"/>
        </w:rPr>
        <w:t>ل</w:t>
      </w:r>
      <w:r>
        <w:rPr>
          <w:rFonts w:hint="cs"/>
          <w:rtl/>
          <w:lang w:bidi="ar-EG"/>
        </w:rPr>
        <w:t>لاحتياجات</w:t>
      </w:r>
      <w:r w:rsidR="00F35CFC">
        <w:rPr>
          <w:rFonts w:hint="cs"/>
          <w:rtl/>
          <w:lang w:bidi="ar-EG"/>
        </w:rPr>
        <w:t xml:space="preserve"> المتعلقة ب</w:t>
      </w:r>
      <w:r>
        <w:rPr>
          <w:rFonts w:hint="cs"/>
          <w:rtl/>
          <w:lang w:bidi="ar-EG"/>
        </w:rPr>
        <w:t xml:space="preserve">السطوح البينية القائمة بين المنشآت وبين العميل والمنشأة بالاستناد إلى المنهجية الواردة في التوصية </w:t>
      </w:r>
      <w:r>
        <w:rPr>
          <w:lang w:bidi="ar-EG"/>
        </w:rPr>
        <w:t>M.3020</w:t>
      </w:r>
      <w:r>
        <w:rPr>
          <w:rFonts w:hint="cs"/>
          <w:rtl/>
          <w:lang w:bidi="ar-EG"/>
        </w:rPr>
        <w:t>.</w:t>
      </w:r>
    </w:p>
    <w:p w:rsidR="00484D1A" w:rsidRDefault="00484D1A" w:rsidP="00484D1A">
      <w:pPr>
        <w:pStyle w:val="enumlev1"/>
        <w:spacing w:before="80" w:after="0"/>
        <w:rPr>
          <w:rtl/>
          <w:lang w:bidi="ar-EG"/>
        </w:rPr>
      </w:pPr>
      <w:r>
        <w:rPr>
          <w:rtl/>
          <w:lang w:val="fr-FR" w:bidi="ar-EG"/>
        </w:rPr>
        <w:t>•</w:t>
      </w:r>
      <w:r>
        <w:rPr>
          <w:rFonts w:hint="cs"/>
          <w:rtl/>
          <w:lang w:bidi="ar-EG"/>
        </w:rPr>
        <w:tab/>
        <w:t xml:space="preserve">تحديث الوثائق التي تحتوي على المتطلبات المتعلقة بالسطوح البينية القائمة بين المنشآت وبين العميل والمنشأة حسب الحاجة (مثلاً، التوصيات </w:t>
      </w:r>
      <w:r>
        <w:rPr>
          <w:lang w:bidi="ar-EG"/>
        </w:rPr>
        <w:t>M.3320</w:t>
      </w:r>
      <w:r>
        <w:rPr>
          <w:rFonts w:hint="cs"/>
          <w:rtl/>
          <w:lang w:bidi="ar-EG"/>
        </w:rPr>
        <w:t xml:space="preserve"> و</w:t>
      </w:r>
      <w:r>
        <w:rPr>
          <w:lang w:bidi="ar-EG"/>
        </w:rPr>
        <w:t>M.3341</w:t>
      </w:r>
      <w:r>
        <w:rPr>
          <w:rFonts w:hint="cs"/>
          <w:rtl/>
          <w:lang w:bidi="ar-EG"/>
        </w:rPr>
        <w:t xml:space="preserve"> و</w:t>
      </w:r>
      <w:r>
        <w:rPr>
          <w:lang w:bidi="ar-EG"/>
        </w:rPr>
        <w:t>(M.3350</w:t>
      </w:r>
      <w:r>
        <w:rPr>
          <w:rFonts w:hint="cs"/>
          <w:rtl/>
          <w:lang w:bidi="ar-EG"/>
        </w:rPr>
        <w:t>.</w:t>
      </w:r>
    </w:p>
    <w:p w:rsidR="00484D1A" w:rsidRDefault="00484D1A" w:rsidP="0099015B">
      <w:pPr>
        <w:pStyle w:val="enumlev1"/>
        <w:spacing w:before="80" w:after="0"/>
        <w:rPr>
          <w:rtl/>
          <w:lang w:bidi="ar-EG"/>
        </w:rPr>
      </w:pPr>
      <w:r>
        <w:rPr>
          <w:rtl/>
          <w:lang w:val="fr-FR" w:bidi="ar-EG"/>
        </w:rPr>
        <w:t>•</w:t>
      </w:r>
      <w:r>
        <w:rPr>
          <w:rFonts w:hint="cs"/>
          <w:rtl/>
          <w:lang w:bidi="ar-EG"/>
        </w:rPr>
        <w:tab/>
        <w:t xml:space="preserve">صياغة وثيقة أخرى تتعلق </w:t>
      </w:r>
      <w:r w:rsidR="0099015B">
        <w:rPr>
          <w:rFonts w:hint="cs"/>
          <w:rtl/>
          <w:lang w:bidi="ar-EG"/>
        </w:rPr>
        <w:t>بالمتطلبات المتعلقة ب</w:t>
      </w:r>
      <w:r>
        <w:rPr>
          <w:rFonts w:hint="cs"/>
          <w:rtl/>
          <w:lang w:bidi="ar-EG"/>
        </w:rPr>
        <w:t xml:space="preserve">السطوح البينية القائمة بين المنشآت وبين العميل والمنشأة لمراعاة العمليات الواردة في التوصية </w:t>
      </w:r>
      <w:r>
        <w:rPr>
          <w:lang w:bidi="ar-EG"/>
        </w:rPr>
        <w:t>M.3050</w:t>
      </w:r>
      <w:r>
        <w:rPr>
          <w:rFonts w:hint="cs"/>
          <w:rtl/>
          <w:lang w:bidi="ar-EG"/>
        </w:rPr>
        <w:t>.</w:t>
      </w:r>
    </w:p>
    <w:p w:rsidR="00484D1A" w:rsidRDefault="00484D1A" w:rsidP="00484D1A">
      <w:pPr>
        <w:pStyle w:val="enumlev1"/>
        <w:spacing w:before="80" w:after="0"/>
        <w:rPr>
          <w:rtl/>
          <w:lang w:bidi="ar-EG"/>
        </w:rPr>
      </w:pPr>
      <w:r>
        <w:rPr>
          <w:rtl/>
          <w:lang w:val="fr-FR" w:bidi="ar-EG"/>
        </w:rPr>
        <w:t>•</w:t>
      </w:r>
      <w:r>
        <w:rPr>
          <w:rFonts w:hint="cs"/>
          <w:rtl/>
          <w:lang w:bidi="ar-EG"/>
        </w:rPr>
        <w:tab/>
        <w:t>تحديد متطلبات الإدارة الذاتية لخدمة العميل/المستعمل.</w:t>
      </w:r>
    </w:p>
    <w:p w:rsidR="00484D1A" w:rsidRDefault="00484D1A" w:rsidP="00484D1A">
      <w:pPr>
        <w:pStyle w:val="enumlev1"/>
        <w:spacing w:before="80" w:after="0"/>
        <w:rPr>
          <w:rtl/>
          <w:lang w:bidi="ar-EG"/>
        </w:rPr>
      </w:pPr>
      <w:r>
        <w:rPr>
          <w:rtl/>
          <w:lang w:val="fr-FR" w:bidi="ar-EG"/>
        </w:rPr>
        <w:t>•</w:t>
      </w:r>
      <w:r>
        <w:rPr>
          <w:rFonts w:hint="cs"/>
          <w:rtl/>
          <w:lang w:bidi="ar-EG"/>
        </w:rPr>
        <w:tab/>
        <w:t xml:space="preserve">إدخال تحسينات على توصيات السلسلة </w:t>
      </w:r>
      <w:r>
        <w:rPr>
          <w:lang w:bidi="ar-EG"/>
        </w:rPr>
        <w:t>M.1400</w:t>
      </w:r>
      <w:r>
        <w:rPr>
          <w:rFonts w:hint="cs"/>
          <w:rtl/>
          <w:lang w:bidi="ar-EG"/>
        </w:rPr>
        <w:t xml:space="preserve"> لدعم التكنولوجيات الجديدة.</w:t>
      </w:r>
    </w:p>
    <w:p w:rsidR="00484D1A" w:rsidRDefault="00484D1A" w:rsidP="00484D1A">
      <w:pPr>
        <w:pStyle w:val="enumlev1"/>
        <w:spacing w:before="80" w:after="0"/>
        <w:rPr>
          <w:rtl/>
          <w:lang w:bidi="ar-EG"/>
        </w:rPr>
      </w:pPr>
      <w:r>
        <w:rPr>
          <w:rtl/>
          <w:lang w:val="fr-FR" w:bidi="ar-EG"/>
        </w:rPr>
        <w:t>•</w:t>
      </w:r>
      <w:r w:rsidR="0099015B">
        <w:rPr>
          <w:rFonts w:hint="cs"/>
          <w:rtl/>
          <w:lang w:bidi="ar-EG"/>
        </w:rPr>
        <w:tab/>
        <w:t>تحديث توصيات</w:t>
      </w:r>
      <w:r>
        <w:rPr>
          <w:rFonts w:hint="cs"/>
          <w:rtl/>
          <w:lang w:bidi="ar-EG"/>
        </w:rPr>
        <w:t xml:space="preserve"> السلسلة </w:t>
      </w:r>
      <w:r>
        <w:rPr>
          <w:lang w:bidi="ar-EG"/>
        </w:rPr>
        <w:t>M.1400</w:t>
      </w:r>
      <w:r>
        <w:rPr>
          <w:rFonts w:hint="cs"/>
          <w:rtl/>
          <w:lang w:bidi="ar-EG"/>
        </w:rPr>
        <w:t xml:space="preserve"> والتوصيات </w:t>
      </w:r>
      <w:r>
        <w:rPr>
          <w:lang w:bidi="ar-EG"/>
        </w:rPr>
        <w:t>M.1520</w:t>
      </w:r>
      <w:r>
        <w:rPr>
          <w:rFonts w:hint="cs"/>
          <w:rtl/>
          <w:lang w:bidi="ar-EG"/>
        </w:rPr>
        <w:t xml:space="preserve"> و</w:t>
      </w:r>
      <w:r>
        <w:rPr>
          <w:lang w:bidi="ar-EG"/>
        </w:rPr>
        <w:t>M.1530</w:t>
      </w:r>
      <w:r>
        <w:rPr>
          <w:rFonts w:hint="cs"/>
          <w:rtl/>
          <w:lang w:bidi="ar-EG"/>
        </w:rPr>
        <w:t xml:space="preserve"> و</w:t>
      </w:r>
      <w:r>
        <w:rPr>
          <w:lang w:bidi="ar-EG"/>
        </w:rPr>
        <w:t>M.1532</w:t>
      </w:r>
      <w:r>
        <w:rPr>
          <w:rFonts w:hint="cs"/>
          <w:rtl/>
          <w:lang w:bidi="ar-EG"/>
        </w:rPr>
        <w:t xml:space="preserve"> و</w:t>
      </w:r>
      <w:r>
        <w:rPr>
          <w:lang w:bidi="ar-EG"/>
        </w:rPr>
        <w:t>M.1535</w:t>
      </w:r>
      <w:r>
        <w:rPr>
          <w:rFonts w:hint="cs"/>
          <w:rtl/>
          <w:lang w:bidi="ar-EG"/>
        </w:rPr>
        <w:t xml:space="preserve"> و</w:t>
      </w:r>
      <w:r>
        <w:rPr>
          <w:lang w:bidi="ar-EG"/>
        </w:rPr>
        <w:t>M.1537</w:t>
      </w:r>
      <w:r>
        <w:rPr>
          <w:rFonts w:hint="cs"/>
          <w:rtl/>
          <w:lang w:bidi="ar-EG"/>
        </w:rPr>
        <w:t xml:space="preserve"> و</w:t>
      </w:r>
      <w:r>
        <w:rPr>
          <w:lang w:bidi="ar-EG"/>
        </w:rPr>
        <w:t>M.1539</w:t>
      </w:r>
      <w:r>
        <w:rPr>
          <w:rFonts w:hint="cs"/>
          <w:rtl/>
          <w:lang w:bidi="ar-EG"/>
        </w:rPr>
        <w:t xml:space="preserve"> و</w:t>
      </w:r>
      <w:r>
        <w:rPr>
          <w:lang w:bidi="ar-EG"/>
        </w:rPr>
        <w:t>X.160</w:t>
      </w:r>
      <w:r>
        <w:rPr>
          <w:rFonts w:hint="cs"/>
          <w:rtl/>
          <w:lang w:bidi="ar-EG"/>
        </w:rPr>
        <w:t xml:space="preserve"> و</w:t>
      </w:r>
      <w:r>
        <w:rPr>
          <w:lang w:bidi="ar-EG"/>
        </w:rPr>
        <w:t>X.161</w:t>
      </w:r>
      <w:r>
        <w:rPr>
          <w:rFonts w:hint="cs"/>
          <w:rtl/>
          <w:lang w:bidi="ar-EG"/>
        </w:rPr>
        <w:t xml:space="preserve"> و</w:t>
      </w:r>
      <w:r>
        <w:rPr>
          <w:lang w:bidi="ar-EG"/>
        </w:rPr>
        <w:t>X.162</w:t>
      </w:r>
      <w:r>
        <w:rPr>
          <w:rFonts w:hint="cs"/>
          <w:rtl/>
          <w:lang w:bidi="ar-EG"/>
        </w:rPr>
        <w:t xml:space="preserve"> و</w:t>
      </w:r>
      <w:r>
        <w:rPr>
          <w:lang w:bidi="ar-EG"/>
        </w:rPr>
        <w:t>X.163</w:t>
      </w:r>
      <w:r>
        <w:rPr>
          <w:rFonts w:hint="cs"/>
          <w:rtl/>
          <w:lang w:bidi="ar-EG"/>
        </w:rPr>
        <w:t xml:space="preserve"> و</w:t>
      </w:r>
      <w:r>
        <w:rPr>
          <w:lang w:bidi="ar-EG"/>
        </w:rPr>
        <w:t>X.170</w:t>
      </w:r>
      <w:r>
        <w:rPr>
          <w:rFonts w:hint="cs"/>
          <w:rtl/>
          <w:lang w:bidi="ar-EG"/>
        </w:rPr>
        <w:t xml:space="preserve"> و</w:t>
      </w:r>
      <w:r>
        <w:rPr>
          <w:lang w:bidi="ar-EG"/>
        </w:rPr>
        <w:t>X.171</w:t>
      </w:r>
      <w:r>
        <w:rPr>
          <w:rFonts w:hint="cs"/>
          <w:rtl/>
          <w:lang w:bidi="ar-EG"/>
        </w:rPr>
        <w:t>.</w:t>
      </w:r>
    </w:p>
    <w:p w:rsidR="00CC0103" w:rsidRPr="0099015B" w:rsidRDefault="00CC0103" w:rsidP="00B64A02">
      <w:pPr>
        <w:pStyle w:val="enumlev1"/>
        <w:spacing w:before="80" w:after="0"/>
        <w:rPr>
          <w:rtl/>
          <w:lang w:bidi="ar-EG"/>
        </w:rPr>
      </w:pPr>
      <w:r>
        <w:rPr>
          <w:rtl/>
          <w:lang w:val="fr-FR" w:bidi="ar-EG"/>
        </w:rPr>
        <w:t>•</w:t>
      </w:r>
      <w:r>
        <w:rPr>
          <w:rFonts w:hint="cs"/>
          <w:rtl/>
          <w:lang w:bidi="ar-EG"/>
        </w:rPr>
        <w:tab/>
      </w:r>
      <w:r w:rsidR="0099015B">
        <w:rPr>
          <w:rFonts w:hint="cs"/>
          <w:rtl/>
          <w:lang w:bidi="ar-EG"/>
        </w:rPr>
        <w:t>تحديد المتطلبات اللازمة للاستجابة للاحتياجات المتعلقة بالسطوح البينية القائمة بين المنشأة والحكومة بالاستناد إلى</w:t>
      </w:r>
      <w:r w:rsidR="00774E2D">
        <w:rPr>
          <w:rFonts w:hint="eastAsia"/>
          <w:rtl/>
          <w:lang w:bidi="ar-EG"/>
        </w:rPr>
        <w:t> </w:t>
      </w:r>
      <w:r w:rsidR="0099015B">
        <w:rPr>
          <w:rFonts w:hint="cs"/>
          <w:rtl/>
          <w:lang w:bidi="ar-EG"/>
        </w:rPr>
        <w:t xml:space="preserve">المنهجية الواردة في التوصية </w:t>
      </w:r>
      <w:r w:rsidR="0099015B">
        <w:rPr>
          <w:lang w:bidi="ar-EG"/>
        </w:rPr>
        <w:t>M.3020</w:t>
      </w:r>
      <w:r w:rsidR="0099015B">
        <w:rPr>
          <w:rFonts w:hint="cs"/>
          <w:rtl/>
          <w:lang w:bidi="ar-EG"/>
        </w:rPr>
        <w:t>.</w:t>
      </w:r>
    </w:p>
    <w:p w:rsidR="00CC0103" w:rsidRDefault="00CC0103" w:rsidP="00B64A02">
      <w:pPr>
        <w:pStyle w:val="enumlev1"/>
        <w:spacing w:before="80" w:after="0"/>
        <w:rPr>
          <w:rtl/>
          <w:lang w:bidi="ar-EG"/>
        </w:rPr>
      </w:pPr>
      <w:r>
        <w:rPr>
          <w:rtl/>
          <w:lang w:val="fr-FR" w:bidi="ar-EG"/>
        </w:rPr>
        <w:t>•</w:t>
      </w:r>
      <w:r>
        <w:rPr>
          <w:rFonts w:hint="cs"/>
          <w:rtl/>
          <w:lang w:bidi="ar-EG"/>
        </w:rPr>
        <w:tab/>
      </w:r>
      <w:r w:rsidR="0099015B">
        <w:rPr>
          <w:rFonts w:hint="cs"/>
          <w:rtl/>
          <w:lang w:bidi="ar-EG"/>
        </w:rPr>
        <w:t>التنسيق بشأن ما يترتب على متطلبات أو مواصفات السطوح البينية القائمة بين المنشأة والحكومة من آثار على</w:t>
      </w:r>
      <w:r w:rsidR="00272F00">
        <w:rPr>
          <w:rFonts w:hint="eastAsia"/>
          <w:rtl/>
          <w:lang w:bidi="ar-EG"/>
        </w:rPr>
        <w:t> </w:t>
      </w:r>
      <w:r w:rsidR="0099015B">
        <w:rPr>
          <w:rFonts w:hint="cs"/>
          <w:rtl/>
          <w:lang w:bidi="ar-EG"/>
        </w:rPr>
        <w:t xml:space="preserve">نشاط التنسيق المشترك المعني بالإدارة </w:t>
      </w:r>
      <w:r w:rsidR="0099015B">
        <w:rPr>
          <w:lang w:bidi="ar-EG"/>
        </w:rPr>
        <w:t>(JCA-Mgt)</w:t>
      </w:r>
      <w:r w:rsidR="0099015B">
        <w:rPr>
          <w:rFonts w:hint="cs"/>
          <w:rtl/>
          <w:lang w:bidi="ar-EG"/>
        </w:rPr>
        <w:t>.</w:t>
      </w:r>
    </w:p>
    <w:p w:rsidR="00484D1A" w:rsidRDefault="00484D1A" w:rsidP="00484D1A">
      <w:pPr>
        <w:pStyle w:val="Heading1"/>
        <w:rPr>
          <w:rtl/>
          <w:lang w:bidi="ar-EG"/>
        </w:rPr>
      </w:pPr>
      <w:r>
        <w:rPr>
          <w:rFonts w:hint="cs"/>
          <w:rtl/>
          <w:lang w:bidi="ar-EG"/>
        </w:rPr>
        <w:lastRenderedPageBreak/>
        <w:t>الروابط</w:t>
      </w:r>
    </w:p>
    <w:p w:rsidR="00484D1A" w:rsidRPr="003F2A6C" w:rsidRDefault="00484D1A" w:rsidP="00484D1A">
      <w:pPr>
        <w:pStyle w:val="enumlev1"/>
        <w:ind w:left="1836" w:hanging="1836"/>
        <w:rPr>
          <w:rtl/>
          <w:lang w:bidi="ar-EG"/>
        </w:rPr>
      </w:pPr>
      <w:r>
        <w:rPr>
          <w:rFonts w:hint="cs"/>
          <w:rtl/>
          <w:lang w:bidi="ar-EG"/>
        </w:rPr>
        <w:t>التوصيات:</w:t>
      </w:r>
      <w:r>
        <w:rPr>
          <w:rFonts w:hint="cs"/>
          <w:rtl/>
          <w:lang w:bidi="ar-EG"/>
        </w:rPr>
        <w:tab/>
      </w:r>
      <w:r w:rsidRPr="003F2A6C">
        <w:rPr>
          <w:rFonts w:hint="cs"/>
          <w:rtl/>
          <w:lang w:bidi="ar-EG"/>
        </w:rPr>
        <w:t xml:space="preserve">توصيات السلسلة </w:t>
      </w:r>
      <w:r w:rsidRPr="003F2A6C">
        <w:rPr>
          <w:lang w:bidi="ar-EG"/>
        </w:rPr>
        <w:t>M</w:t>
      </w:r>
      <w:r>
        <w:rPr>
          <w:rFonts w:hint="cs"/>
          <w:rtl/>
          <w:lang w:bidi="ar-EG"/>
        </w:rPr>
        <w:t xml:space="preserve"> التي تضطلع بها لجنة الدراسات </w:t>
      </w:r>
      <w:r>
        <w:rPr>
          <w:lang w:bidi="ar-EG"/>
        </w:rPr>
        <w:t>2</w:t>
      </w:r>
    </w:p>
    <w:p w:rsidR="00484D1A" w:rsidRPr="00AB58E9" w:rsidRDefault="00484D1A" w:rsidP="00484D1A">
      <w:pPr>
        <w:pStyle w:val="enumlev1"/>
        <w:ind w:left="1836" w:hanging="1836"/>
        <w:rPr>
          <w:rtl/>
          <w:lang w:bidi="ar-EG"/>
        </w:rPr>
      </w:pPr>
      <w:r>
        <w:rPr>
          <w:rFonts w:hint="cs"/>
          <w:rtl/>
          <w:lang w:bidi="ar-EG"/>
        </w:rPr>
        <w:t>لجان الدراسات:</w:t>
      </w:r>
      <w:r>
        <w:rPr>
          <w:rFonts w:hint="cs"/>
          <w:rtl/>
          <w:lang w:bidi="ar-EG"/>
        </w:rPr>
        <w:tab/>
      </w:r>
      <w:r w:rsidRPr="00AB58E9">
        <w:rPr>
          <w:lang w:bidi="ar-EG"/>
        </w:rPr>
        <w:t>13</w:t>
      </w:r>
      <w:r>
        <w:rPr>
          <w:rFonts w:hint="cs"/>
          <w:rtl/>
          <w:lang w:bidi="ar-EG"/>
        </w:rPr>
        <w:t xml:space="preserve"> و</w:t>
      </w:r>
      <w:r w:rsidRPr="00AB58E9">
        <w:rPr>
          <w:lang w:bidi="ar-EG"/>
        </w:rPr>
        <w:t>15</w:t>
      </w:r>
      <w:r>
        <w:rPr>
          <w:rFonts w:hint="cs"/>
          <w:rtl/>
          <w:lang w:bidi="ar-EG"/>
        </w:rPr>
        <w:t xml:space="preserve"> و</w:t>
      </w:r>
      <w:r w:rsidRPr="00AB58E9">
        <w:rPr>
          <w:lang w:bidi="ar-EG"/>
        </w:rPr>
        <w:t>17</w:t>
      </w:r>
    </w:p>
    <w:p w:rsidR="00484D1A" w:rsidRDefault="00484D1A" w:rsidP="00484D1A">
      <w:pPr>
        <w:jc w:val="left"/>
        <w:rPr>
          <w:rtl/>
          <w:lang w:bidi="ar-EG"/>
        </w:rPr>
      </w:pPr>
      <w:r>
        <w:rPr>
          <w:rFonts w:hint="cs"/>
          <w:rtl/>
          <w:lang w:bidi="ar-EG"/>
        </w:rPr>
        <w:t>هيئات التقييس:</w:t>
      </w:r>
      <w:r>
        <w:rPr>
          <w:rFonts w:hint="cs"/>
          <w:rtl/>
          <w:lang w:bidi="ar-EG"/>
        </w:rPr>
        <w:tab/>
      </w:r>
      <w:r>
        <w:rPr>
          <w:lang w:bidi="ar-EG"/>
        </w:rPr>
        <w:t>ATIS</w:t>
      </w:r>
      <w:r w:rsidRPr="00A47586">
        <w:rPr>
          <w:rFonts w:hint="cs"/>
          <w:rtl/>
          <w:lang w:bidi="ar-EG"/>
        </w:rPr>
        <w:t xml:space="preserve"> </w:t>
      </w:r>
      <w:r w:rsidRPr="00BA55B6">
        <w:rPr>
          <w:rFonts w:hint="cs"/>
          <w:rtl/>
          <w:lang w:bidi="ar-EG"/>
        </w:rPr>
        <w:t>و</w:t>
      </w:r>
      <w:r>
        <w:rPr>
          <w:lang w:bidi="ar-EG"/>
        </w:rPr>
        <w:t>DMTF</w:t>
      </w:r>
      <w:r w:rsidRPr="00A47586">
        <w:rPr>
          <w:rFonts w:hint="cs"/>
          <w:rtl/>
          <w:lang w:bidi="ar-EG"/>
        </w:rPr>
        <w:t xml:space="preserve"> </w:t>
      </w:r>
      <w:r w:rsidRPr="00BA55B6">
        <w:rPr>
          <w:rFonts w:hint="cs"/>
          <w:rtl/>
          <w:lang w:bidi="ar-EG"/>
        </w:rPr>
        <w:t>و</w:t>
      </w:r>
      <w:r>
        <w:rPr>
          <w:lang w:bidi="ar-EG"/>
        </w:rPr>
        <w:t>ETSI</w:t>
      </w:r>
      <w:r w:rsidRPr="00BA55B6">
        <w:rPr>
          <w:rFonts w:hint="cs"/>
          <w:rtl/>
          <w:lang w:bidi="ar-EG"/>
        </w:rPr>
        <w:t xml:space="preserve"> و</w:t>
      </w:r>
      <w:r w:rsidRPr="00A47586">
        <w:rPr>
          <w:lang w:bidi="ar-EG"/>
        </w:rPr>
        <w:t>IETF</w:t>
      </w:r>
      <w:r w:rsidRPr="00BA55B6">
        <w:rPr>
          <w:rFonts w:hint="cs"/>
          <w:rtl/>
          <w:lang w:bidi="ar-EG"/>
        </w:rPr>
        <w:t xml:space="preserve"> و</w:t>
      </w:r>
      <w:r w:rsidRPr="00A47586">
        <w:rPr>
          <w:lang w:bidi="ar-EG"/>
        </w:rPr>
        <w:t>OASIS</w:t>
      </w:r>
      <w:r w:rsidRPr="00BA55B6">
        <w:rPr>
          <w:rFonts w:hint="cs"/>
          <w:rtl/>
          <w:lang w:bidi="ar-EG"/>
        </w:rPr>
        <w:t xml:space="preserve"> ومنتدى </w:t>
      </w:r>
      <w:r w:rsidRPr="00A47586">
        <w:rPr>
          <w:lang w:bidi="ar-EG"/>
        </w:rPr>
        <w:t>TM</w:t>
      </w:r>
      <w:r>
        <w:rPr>
          <w:lang w:bidi="ar-EG"/>
        </w:rPr>
        <w:t>F</w:t>
      </w:r>
    </w:p>
    <w:p w:rsidR="008F3844" w:rsidRPr="002D65AA" w:rsidRDefault="008F3844" w:rsidP="00A156A1">
      <w:pPr>
        <w:spacing w:before="600" w:line="187" w:lineRule="auto"/>
        <w:jc w:val="center"/>
        <w:rPr>
          <w:lang w:bidi="ar-EG"/>
        </w:rPr>
      </w:pPr>
      <w:r>
        <w:rPr>
          <w:rtl/>
          <w:lang w:bidi="ar-EG"/>
        </w:rPr>
        <w:t>ــــــــــ</w:t>
      </w:r>
    </w:p>
    <w:sectPr w:rsidR="008F3844" w:rsidRPr="002D65AA" w:rsidSect="00B64A02">
      <w:headerReference w:type="default" r:id="rId9"/>
      <w:footerReference w:type="default" r:id="rId10"/>
      <w:footerReference w:type="first" r:id="rId11"/>
      <w:pgSz w:w="11901" w:h="16840" w:code="9"/>
      <w:pgMar w:top="1304" w:right="1134" w:bottom="1134" w:left="1134" w:header="567" w:footer="567" w:gutter="0"/>
      <w:paperSrc w:first="15" w:other="15"/>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5CFC" w:rsidRDefault="00F35CFC">
      <w:r>
        <w:separator/>
      </w:r>
    </w:p>
  </w:endnote>
  <w:endnote w:type="continuationSeparator" w:id="0">
    <w:p w:rsidR="00F35CFC" w:rsidRDefault="00F35CF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61002A87" w:usb1="80000000" w:usb2="00000008" w:usb3="00000000" w:csb0="000101FF" w:csb1="00000000"/>
  </w:font>
  <w:font w:name="Futura Lt BT">
    <w:panose1 w:val="020B0402020204020303"/>
    <w:charset w:val="00"/>
    <w:family w:val="swiss"/>
    <w:pitch w:val="variable"/>
    <w:sig w:usb0="00000087" w:usb1="00000000" w:usb2="00000000" w:usb3="00000000" w:csb0="0000001B" w:csb1="00000000"/>
  </w:font>
  <w:font w:name="Times">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宋体">
    <w:altName w:val="Times New Roman"/>
    <w:panose1 w:val="00000000000000000000"/>
    <w:charset w:val="4D"/>
    <w:family w:val="roman"/>
    <w:notTrueType/>
    <w:pitch w:val="default"/>
    <w:sig w:usb0="00000000" w:usb1="0A02889C" w:usb2="00000015" w:usb3="0D07859C" w:csb0="3D78AF95" w:csb1="0D07862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513B" w:rsidRPr="000B513B" w:rsidRDefault="000B513B" w:rsidP="000B513B">
    <w:pPr>
      <w:pStyle w:val="Footer"/>
      <w:bidi w:val="0"/>
      <w:rPr>
        <w:caps/>
        <w:sz w:val="18"/>
        <w:szCs w:val="18"/>
        <w:lang w:val="fr-CH"/>
      </w:rPr>
    </w:pPr>
    <w:fldSimple w:instr=" FILENAME \p \* MERGEFORMAT ">
      <w:r w:rsidR="00371A84">
        <w:rPr>
          <w:caps/>
          <w:noProof/>
          <w:sz w:val="18"/>
          <w:szCs w:val="18"/>
          <w:lang w:val="fr-CH"/>
        </w:rPr>
        <w:t>M:\SG_DOC\SG2\Circulars\152a-bis.docx</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left w:w="107" w:type="dxa"/>
        <w:right w:w="107" w:type="dxa"/>
      </w:tblCellMar>
      <w:tblLook w:val="0000"/>
    </w:tblPr>
    <w:tblGrid>
      <w:gridCol w:w="2091"/>
      <w:gridCol w:w="3118"/>
      <w:gridCol w:w="2411"/>
      <w:gridCol w:w="2227"/>
    </w:tblGrid>
    <w:tr w:rsidR="004F105A" w:rsidTr="007117E5">
      <w:trPr>
        <w:cantSplit/>
      </w:trPr>
      <w:tc>
        <w:tcPr>
          <w:tcW w:w="1062" w:type="pct"/>
          <w:tcBorders>
            <w:top w:val="single" w:sz="6" w:space="0" w:color="auto"/>
          </w:tcBorders>
          <w:tcMar>
            <w:top w:w="57" w:type="dxa"/>
          </w:tcMar>
        </w:tcPr>
        <w:p w:rsidR="004F105A" w:rsidRDefault="004F105A" w:rsidP="007117E5">
          <w:pPr>
            <w:pStyle w:val="itu"/>
            <w:bidi w:val="0"/>
            <w:spacing w:line="240" w:lineRule="auto"/>
          </w:pPr>
          <w:r>
            <w:t>Place des Nations</w:t>
          </w:r>
        </w:p>
      </w:tc>
      <w:tc>
        <w:tcPr>
          <w:tcW w:w="1583" w:type="pct"/>
          <w:tcBorders>
            <w:top w:val="single" w:sz="6" w:space="0" w:color="auto"/>
          </w:tcBorders>
          <w:tcMar>
            <w:top w:w="57" w:type="dxa"/>
          </w:tcMar>
        </w:tcPr>
        <w:p w:rsidR="004F105A" w:rsidRDefault="004F105A" w:rsidP="007117E5">
          <w:pPr>
            <w:pStyle w:val="itu"/>
            <w:bidi w:val="0"/>
            <w:spacing w:line="240" w:lineRule="auto"/>
          </w:pPr>
          <w:r>
            <w:t>Telephone</w:t>
          </w:r>
          <w:r>
            <w:tab/>
            <w:t>+41 22 730 51 11</w:t>
          </w:r>
        </w:p>
      </w:tc>
      <w:tc>
        <w:tcPr>
          <w:tcW w:w="1224" w:type="pct"/>
          <w:tcBorders>
            <w:top w:val="single" w:sz="6" w:space="0" w:color="auto"/>
          </w:tcBorders>
          <w:tcMar>
            <w:top w:w="57" w:type="dxa"/>
          </w:tcMar>
        </w:tcPr>
        <w:p w:rsidR="004F105A" w:rsidRDefault="004F105A" w:rsidP="007117E5">
          <w:pPr>
            <w:pStyle w:val="itu"/>
            <w:bidi w:val="0"/>
            <w:spacing w:line="240" w:lineRule="auto"/>
          </w:pPr>
          <w:r>
            <w:t>Telex 421 000 uit ch</w:t>
          </w:r>
        </w:p>
      </w:tc>
      <w:tc>
        <w:tcPr>
          <w:tcW w:w="1131" w:type="pct"/>
          <w:tcBorders>
            <w:top w:val="single" w:sz="6" w:space="0" w:color="auto"/>
          </w:tcBorders>
          <w:tcMar>
            <w:top w:w="57" w:type="dxa"/>
          </w:tcMar>
        </w:tcPr>
        <w:p w:rsidR="004F105A" w:rsidRDefault="004F105A" w:rsidP="007117E5">
          <w:pPr>
            <w:pStyle w:val="itu"/>
            <w:bidi w:val="0"/>
            <w:spacing w:line="240" w:lineRule="auto"/>
          </w:pPr>
          <w:r>
            <w:t>E-mail:</w:t>
          </w:r>
          <w:r>
            <w:tab/>
            <w:t>itumail@itu.int</w:t>
          </w:r>
        </w:p>
      </w:tc>
    </w:tr>
    <w:tr w:rsidR="004F105A" w:rsidTr="007117E5">
      <w:trPr>
        <w:cantSplit/>
      </w:trPr>
      <w:tc>
        <w:tcPr>
          <w:tcW w:w="1062" w:type="pct"/>
        </w:tcPr>
        <w:p w:rsidR="004F105A" w:rsidRDefault="004F105A" w:rsidP="007117E5">
          <w:pPr>
            <w:pStyle w:val="itu"/>
            <w:bidi w:val="0"/>
            <w:spacing w:line="240" w:lineRule="auto"/>
          </w:pPr>
          <w:r>
            <w:t>CH-1211 Geneva 20</w:t>
          </w:r>
        </w:p>
      </w:tc>
      <w:tc>
        <w:tcPr>
          <w:tcW w:w="1583" w:type="pct"/>
        </w:tcPr>
        <w:p w:rsidR="004F105A" w:rsidRDefault="004F105A" w:rsidP="007117E5">
          <w:pPr>
            <w:pStyle w:val="itu"/>
            <w:bidi w:val="0"/>
            <w:spacing w:line="240" w:lineRule="auto"/>
          </w:pPr>
          <w:r>
            <w:t>Telefax</w:t>
          </w:r>
          <w:r>
            <w:tab/>
            <w:t>Gr3:</w:t>
          </w:r>
          <w:r>
            <w:tab/>
            <w:t>+41 22 733 72 56</w:t>
          </w:r>
        </w:p>
      </w:tc>
      <w:tc>
        <w:tcPr>
          <w:tcW w:w="1224" w:type="pct"/>
        </w:tcPr>
        <w:p w:rsidR="004F105A" w:rsidRDefault="004F105A" w:rsidP="007117E5">
          <w:pPr>
            <w:pStyle w:val="itu"/>
            <w:bidi w:val="0"/>
            <w:spacing w:line="240" w:lineRule="auto"/>
          </w:pPr>
          <w:r>
            <w:t>Telegram ITU GENEVE</w:t>
          </w:r>
        </w:p>
      </w:tc>
      <w:tc>
        <w:tcPr>
          <w:tcW w:w="1131" w:type="pct"/>
        </w:tcPr>
        <w:p w:rsidR="004F105A" w:rsidRDefault="004F105A" w:rsidP="007117E5">
          <w:pPr>
            <w:pStyle w:val="itu"/>
            <w:bidi w:val="0"/>
            <w:spacing w:line="240" w:lineRule="auto"/>
          </w:pPr>
          <w:r>
            <w:tab/>
          </w:r>
          <w:hyperlink r:id="rId1" w:history="1">
            <w:r w:rsidRPr="006175E7">
              <w:rPr>
                <w:rStyle w:val="Hyperlink"/>
              </w:rPr>
              <w:t>www.itu.int/</w:t>
            </w:r>
          </w:hyperlink>
        </w:p>
      </w:tc>
    </w:tr>
    <w:tr w:rsidR="004F105A" w:rsidTr="007117E5">
      <w:trPr>
        <w:cantSplit/>
      </w:trPr>
      <w:tc>
        <w:tcPr>
          <w:tcW w:w="1062" w:type="pct"/>
        </w:tcPr>
        <w:p w:rsidR="004F105A" w:rsidRDefault="004F105A" w:rsidP="007117E5">
          <w:pPr>
            <w:pStyle w:val="itu"/>
            <w:bidi w:val="0"/>
            <w:spacing w:after="40" w:line="240" w:lineRule="auto"/>
          </w:pPr>
          <w:r>
            <w:t>SWITZERLAND</w:t>
          </w:r>
        </w:p>
      </w:tc>
      <w:tc>
        <w:tcPr>
          <w:tcW w:w="1583" w:type="pct"/>
        </w:tcPr>
        <w:p w:rsidR="004F105A" w:rsidRDefault="004F105A" w:rsidP="007117E5">
          <w:pPr>
            <w:pStyle w:val="itu"/>
            <w:bidi w:val="0"/>
            <w:spacing w:line="240" w:lineRule="auto"/>
          </w:pPr>
          <w:r>
            <w:tab/>
            <w:t>Gr4:</w:t>
          </w:r>
          <w:r>
            <w:tab/>
            <w:t>+41 22 730 65 00</w:t>
          </w:r>
        </w:p>
      </w:tc>
      <w:tc>
        <w:tcPr>
          <w:tcW w:w="1224" w:type="pct"/>
        </w:tcPr>
        <w:p w:rsidR="004F105A" w:rsidRDefault="004F105A" w:rsidP="007117E5">
          <w:pPr>
            <w:pStyle w:val="itu"/>
            <w:bidi w:val="0"/>
            <w:spacing w:line="240" w:lineRule="auto"/>
          </w:pPr>
        </w:p>
      </w:tc>
      <w:tc>
        <w:tcPr>
          <w:tcW w:w="1131" w:type="pct"/>
        </w:tcPr>
        <w:p w:rsidR="004F105A" w:rsidRDefault="004F105A" w:rsidP="007117E5">
          <w:pPr>
            <w:pStyle w:val="itu"/>
            <w:bidi w:val="0"/>
            <w:spacing w:line="240" w:lineRule="auto"/>
          </w:pPr>
        </w:p>
      </w:tc>
    </w:tr>
  </w:tbl>
  <w:p w:rsidR="00F35CFC" w:rsidRPr="005A4B2B" w:rsidRDefault="00F35CFC" w:rsidP="005A4B2B">
    <w:pPr>
      <w:pStyle w:val="Footer"/>
      <w:tabs>
        <w:tab w:val="clear" w:pos="4703"/>
        <w:tab w:val="clear" w:pos="9406"/>
        <w:tab w:val="right" w:pos="9617"/>
      </w:tabs>
      <w:bidi w:val="0"/>
      <w:spacing w:before="0"/>
      <w:rPr>
        <w:lang w:val="fr-F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5CFC" w:rsidRDefault="00F35CFC">
      <w:r>
        <w:separator/>
      </w:r>
    </w:p>
  </w:footnote>
  <w:footnote w:type="continuationSeparator" w:id="0">
    <w:p w:rsidR="00F35CFC" w:rsidRDefault="00F35CF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5CFC" w:rsidRDefault="00F35CFC" w:rsidP="008165EA">
    <w:pPr>
      <w:pStyle w:val="Header"/>
      <w:bidi w:val="0"/>
      <w:spacing w:before="0"/>
      <w:jc w:val="center"/>
    </w:pPr>
    <w:r>
      <w:t>- </w:t>
    </w:r>
    <w:r w:rsidR="00421FC3">
      <w:rPr>
        <w:rStyle w:val="PageNumber"/>
      </w:rPr>
      <w:fldChar w:fldCharType="begin"/>
    </w:r>
    <w:r>
      <w:rPr>
        <w:rStyle w:val="PageNumber"/>
      </w:rPr>
      <w:instrText xml:space="preserve"> PAGE </w:instrText>
    </w:r>
    <w:r w:rsidR="00421FC3">
      <w:rPr>
        <w:rStyle w:val="PageNumber"/>
      </w:rPr>
      <w:fldChar w:fldCharType="separate"/>
    </w:r>
    <w:r w:rsidR="00DB7830">
      <w:rPr>
        <w:rStyle w:val="PageNumber"/>
        <w:noProof/>
      </w:rPr>
      <w:t>4</w:t>
    </w:r>
    <w:r w:rsidR="00421FC3">
      <w:rPr>
        <w:rStyle w:val="PageNumber"/>
      </w:rPr>
      <w:fldChar w:fldCharType="end"/>
    </w:r>
    <w:r>
      <w:t>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activeWritingStyle w:appName="MSWord" w:lang="ar-SA" w:vendorID="4" w:dllVersion="512" w:checkStyle="1"/>
  <w:activeWritingStyle w:appName="MSWord" w:lang="fr-FR" w:vendorID="9" w:dllVersion="512" w:checkStyle="1"/>
  <w:attachedTemplate r:id="rId1"/>
  <w:stylePaneFormatFilter w:val="3F01"/>
  <w:defaultTabStop w:val="794"/>
  <w:hyphenationZone w:val="425"/>
  <w:noPunctuationKerning/>
  <w:characterSpacingControl w:val="doNotCompress"/>
  <w:hdrShapeDefaults>
    <o:shapedefaults v:ext="edit" spidmax="2049"/>
  </w:hdrShapeDefaults>
  <w:footnotePr>
    <w:footnote w:id="-1"/>
    <w:footnote w:id="0"/>
  </w:footnotePr>
  <w:endnotePr>
    <w:endnote w:id="-1"/>
    <w:endnote w:id="0"/>
  </w:endnotePr>
  <w:compat/>
  <w:rsids>
    <w:rsidRoot w:val="00D6070A"/>
    <w:rsid w:val="00012A2F"/>
    <w:rsid w:val="000132B7"/>
    <w:rsid w:val="00014317"/>
    <w:rsid w:val="000365FF"/>
    <w:rsid w:val="000622C7"/>
    <w:rsid w:val="00064EC5"/>
    <w:rsid w:val="00074734"/>
    <w:rsid w:val="00074F46"/>
    <w:rsid w:val="000A7621"/>
    <w:rsid w:val="000B513B"/>
    <w:rsid w:val="000C3471"/>
    <w:rsid w:val="000D6831"/>
    <w:rsid w:val="000D6DE5"/>
    <w:rsid w:val="0010144A"/>
    <w:rsid w:val="001014A9"/>
    <w:rsid w:val="0010484A"/>
    <w:rsid w:val="00127FFE"/>
    <w:rsid w:val="00140002"/>
    <w:rsid w:val="00154DA4"/>
    <w:rsid w:val="0017370B"/>
    <w:rsid w:val="00180899"/>
    <w:rsid w:val="0019658A"/>
    <w:rsid w:val="001B2108"/>
    <w:rsid w:val="001D1DF8"/>
    <w:rsid w:val="001F6CD8"/>
    <w:rsid w:val="0021375E"/>
    <w:rsid w:val="00224522"/>
    <w:rsid w:val="0023591E"/>
    <w:rsid w:val="00235C8A"/>
    <w:rsid w:val="00272F00"/>
    <w:rsid w:val="00293614"/>
    <w:rsid w:val="002960BB"/>
    <w:rsid w:val="002C0786"/>
    <w:rsid w:val="002C7C46"/>
    <w:rsid w:val="002D65AA"/>
    <w:rsid w:val="002E3F3A"/>
    <w:rsid w:val="00300743"/>
    <w:rsid w:val="00301350"/>
    <w:rsid w:val="0033273E"/>
    <w:rsid w:val="00352156"/>
    <w:rsid w:val="00371A84"/>
    <w:rsid w:val="00383CBA"/>
    <w:rsid w:val="00393E7C"/>
    <w:rsid w:val="003D4B67"/>
    <w:rsid w:val="004067A6"/>
    <w:rsid w:val="00421FC3"/>
    <w:rsid w:val="00422171"/>
    <w:rsid w:val="00430A86"/>
    <w:rsid w:val="00454B32"/>
    <w:rsid w:val="004579B5"/>
    <w:rsid w:val="004603FF"/>
    <w:rsid w:val="00460DF8"/>
    <w:rsid w:val="00467EF3"/>
    <w:rsid w:val="00484D1A"/>
    <w:rsid w:val="00496580"/>
    <w:rsid w:val="004A1DEE"/>
    <w:rsid w:val="004E1059"/>
    <w:rsid w:val="004E2F80"/>
    <w:rsid w:val="004E4BB7"/>
    <w:rsid w:val="004F105A"/>
    <w:rsid w:val="00503ED0"/>
    <w:rsid w:val="0052007E"/>
    <w:rsid w:val="0054515F"/>
    <w:rsid w:val="00575402"/>
    <w:rsid w:val="00591E68"/>
    <w:rsid w:val="005A4B2B"/>
    <w:rsid w:val="005C519A"/>
    <w:rsid w:val="005D07AD"/>
    <w:rsid w:val="005D488B"/>
    <w:rsid w:val="005E007E"/>
    <w:rsid w:val="005F33FD"/>
    <w:rsid w:val="006220BD"/>
    <w:rsid w:val="006343B4"/>
    <w:rsid w:val="00634FEB"/>
    <w:rsid w:val="00637FB5"/>
    <w:rsid w:val="006C3EC6"/>
    <w:rsid w:val="006D49AD"/>
    <w:rsid w:val="00703835"/>
    <w:rsid w:val="007149A7"/>
    <w:rsid w:val="00746048"/>
    <w:rsid w:val="00774E2D"/>
    <w:rsid w:val="00774F2B"/>
    <w:rsid w:val="007A162A"/>
    <w:rsid w:val="007E0AF5"/>
    <w:rsid w:val="007F1F7E"/>
    <w:rsid w:val="008165EA"/>
    <w:rsid w:val="008226F2"/>
    <w:rsid w:val="0082673E"/>
    <w:rsid w:val="00844339"/>
    <w:rsid w:val="00866CFB"/>
    <w:rsid w:val="00873D33"/>
    <w:rsid w:val="00892459"/>
    <w:rsid w:val="008B6222"/>
    <w:rsid w:val="008D3562"/>
    <w:rsid w:val="008E7E1F"/>
    <w:rsid w:val="008F3844"/>
    <w:rsid w:val="009015FD"/>
    <w:rsid w:val="00911629"/>
    <w:rsid w:val="009169DD"/>
    <w:rsid w:val="0093679C"/>
    <w:rsid w:val="009408B5"/>
    <w:rsid w:val="00965582"/>
    <w:rsid w:val="00973D3C"/>
    <w:rsid w:val="0097651D"/>
    <w:rsid w:val="0099015B"/>
    <w:rsid w:val="009A5FAC"/>
    <w:rsid w:val="009B0414"/>
    <w:rsid w:val="009F4B09"/>
    <w:rsid w:val="00A156A1"/>
    <w:rsid w:val="00A655AC"/>
    <w:rsid w:val="00A83A6D"/>
    <w:rsid w:val="00A92BF0"/>
    <w:rsid w:val="00AB5B63"/>
    <w:rsid w:val="00AC5FBD"/>
    <w:rsid w:val="00B06EFE"/>
    <w:rsid w:val="00B232BD"/>
    <w:rsid w:val="00B25ABB"/>
    <w:rsid w:val="00B52E12"/>
    <w:rsid w:val="00B620B8"/>
    <w:rsid w:val="00B64A02"/>
    <w:rsid w:val="00B7558A"/>
    <w:rsid w:val="00B805FD"/>
    <w:rsid w:val="00B85152"/>
    <w:rsid w:val="00BE2FC9"/>
    <w:rsid w:val="00C22F90"/>
    <w:rsid w:val="00C415DB"/>
    <w:rsid w:val="00C42FC9"/>
    <w:rsid w:val="00C43948"/>
    <w:rsid w:val="00C64287"/>
    <w:rsid w:val="00C925F9"/>
    <w:rsid w:val="00C96833"/>
    <w:rsid w:val="00CC0103"/>
    <w:rsid w:val="00CF56D3"/>
    <w:rsid w:val="00D02B37"/>
    <w:rsid w:val="00D07074"/>
    <w:rsid w:val="00D26BC0"/>
    <w:rsid w:val="00D559F6"/>
    <w:rsid w:val="00D57785"/>
    <w:rsid w:val="00D6070A"/>
    <w:rsid w:val="00D6498B"/>
    <w:rsid w:val="00D807A7"/>
    <w:rsid w:val="00D82615"/>
    <w:rsid w:val="00D867A5"/>
    <w:rsid w:val="00D87242"/>
    <w:rsid w:val="00DB7830"/>
    <w:rsid w:val="00DE76C6"/>
    <w:rsid w:val="00E42100"/>
    <w:rsid w:val="00E96B35"/>
    <w:rsid w:val="00EE5BBD"/>
    <w:rsid w:val="00F0698D"/>
    <w:rsid w:val="00F127E2"/>
    <w:rsid w:val="00F24458"/>
    <w:rsid w:val="00F318DD"/>
    <w:rsid w:val="00F35CFC"/>
    <w:rsid w:val="00F3640B"/>
    <w:rsid w:val="00F86FEF"/>
    <w:rsid w:val="00FB6B6D"/>
    <w:rsid w:val="00FB7393"/>
    <w:rsid w:val="00FC593B"/>
    <w:rsid w:val="00FC61CF"/>
    <w:rsid w:val="00FE7E9C"/>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D4B67"/>
    <w:pPr>
      <w:bidi/>
      <w:spacing w:before="120" w:line="192" w:lineRule="auto"/>
      <w:jc w:val="both"/>
    </w:pPr>
    <w:rPr>
      <w:rFonts w:cs="Traditional Arabic"/>
      <w:sz w:val="22"/>
      <w:szCs w:val="30"/>
      <w:lang w:eastAsia="en-US"/>
    </w:rPr>
  </w:style>
  <w:style w:type="paragraph" w:styleId="Heading1">
    <w:name w:val="heading 1"/>
    <w:basedOn w:val="Normal"/>
    <w:next w:val="Normal"/>
    <w:link w:val="Heading1Char"/>
    <w:qFormat/>
    <w:rsid w:val="00484D1A"/>
    <w:pPr>
      <w:keepNext/>
      <w:spacing w:before="240"/>
      <w:outlineLvl w:val="0"/>
    </w:pPr>
    <w:rPr>
      <w:rFonts w:ascii="Times New Roman Bold" w:hAnsi="Times New Roman Bold"/>
      <w:b/>
      <w:bCs/>
      <w:sz w:val="2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D4B67"/>
    <w:pPr>
      <w:tabs>
        <w:tab w:val="center" w:pos="4703"/>
        <w:tab w:val="right" w:pos="9406"/>
      </w:tabs>
    </w:pPr>
  </w:style>
  <w:style w:type="paragraph" w:styleId="Footer">
    <w:name w:val="footer"/>
    <w:basedOn w:val="Normal"/>
    <w:link w:val="FooterChar"/>
    <w:rsid w:val="003D4B67"/>
    <w:pPr>
      <w:tabs>
        <w:tab w:val="center" w:pos="4703"/>
        <w:tab w:val="right" w:pos="9406"/>
      </w:tabs>
    </w:pPr>
  </w:style>
  <w:style w:type="character" w:styleId="Hyperlink">
    <w:name w:val="Hyperlink"/>
    <w:basedOn w:val="DefaultParagraphFont"/>
    <w:rsid w:val="003D4B67"/>
    <w:rPr>
      <w:color w:val="0000FF"/>
      <w:u w:val="single"/>
    </w:rPr>
  </w:style>
  <w:style w:type="character" w:styleId="PageNumber">
    <w:name w:val="page number"/>
    <w:basedOn w:val="DefaultParagraphFont"/>
    <w:rsid w:val="008165EA"/>
  </w:style>
  <w:style w:type="paragraph" w:styleId="BalloonText">
    <w:name w:val="Balloon Text"/>
    <w:basedOn w:val="Normal"/>
    <w:semiHidden/>
    <w:rsid w:val="00FB6B6D"/>
    <w:rPr>
      <w:rFonts w:ascii="Tahoma" w:hAnsi="Tahoma" w:cs="Tahoma"/>
      <w:sz w:val="16"/>
      <w:szCs w:val="16"/>
    </w:rPr>
  </w:style>
  <w:style w:type="character" w:customStyle="1" w:styleId="Heading1Char">
    <w:name w:val="Heading 1 Char"/>
    <w:basedOn w:val="DefaultParagraphFont"/>
    <w:link w:val="Heading1"/>
    <w:rsid w:val="00484D1A"/>
    <w:rPr>
      <w:rFonts w:ascii="Times New Roman Bold" w:hAnsi="Times New Roman Bold" w:cs="Traditional Arabic"/>
      <w:b/>
      <w:bCs/>
      <w:sz w:val="26"/>
      <w:szCs w:val="36"/>
      <w:lang w:eastAsia="en-US"/>
    </w:rPr>
  </w:style>
  <w:style w:type="paragraph" w:customStyle="1" w:styleId="enumlev1">
    <w:name w:val="enumlev1"/>
    <w:basedOn w:val="Normal"/>
    <w:rsid w:val="00484D1A"/>
    <w:pPr>
      <w:overflowPunct w:val="0"/>
      <w:autoSpaceDE w:val="0"/>
      <w:autoSpaceDN w:val="0"/>
      <w:adjustRightInd w:val="0"/>
      <w:spacing w:before="60" w:after="120" w:line="187" w:lineRule="auto"/>
      <w:ind w:left="794" w:hanging="794"/>
      <w:textAlignment w:val="baseline"/>
    </w:pPr>
  </w:style>
  <w:style w:type="paragraph" w:customStyle="1" w:styleId="Questiontitle">
    <w:name w:val="Question_title"/>
    <w:basedOn w:val="Normal"/>
    <w:next w:val="Normal"/>
    <w:rsid w:val="00484D1A"/>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rFonts w:ascii="Times New Roman Bold" w:hAnsi="Times New Roman Bold"/>
      <w:b/>
      <w:sz w:val="28"/>
      <w:szCs w:val="40"/>
      <w:lang w:val="en-GB"/>
    </w:rPr>
  </w:style>
  <w:style w:type="paragraph" w:customStyle="1" w:styleId="Anne">
    <w:name w:val="Anne"/>
    <w:basedOn w:val="Normal"/>
    <w:rsid w:val="00F86FEF"/>
    <w:pPr>
      <w:jc w:val="left"/>
    </w:pPr>
    <w:rPr>
      <w:lang w:bidi="ar-EG"/>
    </w:rPr>
  </w:style>
  <w:style w:type="paragraph" w:customStyle="1" w:styleId="AnnexNotitle">
    <w:name w:val="Annex_No &amp; title"/>
    <w:basedOn w:val="Normal"/>
    <w:next w:val="Normal"/>
    <w:rsid w:val="00F86FEF"/>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ascii="Times New Roman Bold" w:hAnsi="Times New Roman Bold"/>
      <w:b/>
      <w:sz w:val="26"/>
      <w:szCs w:val="36"/>
      <w:lang w:val="en-GB"/>
    </w:rPr>
  </w:style>
  <w:style w:type="paragraph" w:customStyle="1" w:styleId="Headingb">
    <w:name w:val="Heading_b"/>
    <w:basedOn w:val="Normal"/>
    <w:next w:val="Normal"/>
    <w:rsid w:val="00F86FEF"/>
    <w:pPr>
      <w:keepNext/>
      <w:tabs>
        <w:tab w:val="left" w:pos="794"/>
        <w:tab w:val="left" w:pos="1191"/>
        <w:tab w:val="left" w:pos="1588"/>
        <w:tab w:val="left" w:pos="1985"/>
      </w:tabs>
      <w:overflowPunct w:val="0"/>
      <w:autoSpaceDE w:val="0"/>
      <w:autoSpaceDN w:val="0"/>
      <w:adjustRightInd w:val="0"/>
      <w:spacing w:before="160"/>
      <w:textAlignment w:val="baseline"/>
    </w:pPr>
    <w:rPr>
      <w:b/>
      <w:lang w:val="en-GB"/>
    </w:rPr>
  </w:style>
  <w:style w:type="paragraph" w:customStyle="1" w:styleId="itu">
    <w:name w:val="itu"/>
    <w:basedOn w:val="Normal"/>
    <w:rsid w:val="004F105A"/>
    <w:pPr>
      <w:tabs>
        <w:tab w:val="left" w:pos="709"/>
        <w:tab w:val="left" w:pos="1134"/>
      </w:tabs>
      <w:overflowPunct w:val="0"/>
      <w:autoSpaceDE w:val="0"/>
      <w:autoSpaceDN w:val="0"/>
      <w:adjustRightInd w:val="0"/>
      <w:spacing w:before="0"/>
      <w:textAlignment w:val="baseline"/>
    </w:pPr>
    <w:rPr>
      <w:rFonts w:ascii="Futura Lt BT" w:hAnsi="Futura Lt BT"/>
      <w:sz w:val="18"/>
      <w:lang w:val="en-GB"/>
    </w:rPr>
  </w:style>
  <w:style w:type="character" w:customStyle="1" w:styleId="FooterChar">
    <w:name w:val="Footer Char"/>
    <w:basedOn w:val="DefaultParagraphFont"/>
    <w:link w:val="Footer"/>
    <w:rsid w:val="00D26BC0"/>
    <w:rPr>
      <w:rFonts w:cs="Traditional Arabic"/>
      <w:sz w:val="22"/>
      <w:szCs w:val="3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blue\dfs\tsb\SG_DOC\SG2\Circulars\tsbsg2@itu.in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ltalouzi\Application%20Data\Microsoft\Templates\POOL%20A%20-%20ITU\PA_TSBcirc2.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8155AB-B18A-48DE-9FDA-2973CB2331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PA_TSBcirc2.dotm</Template>
  <TotalTime>0</TotalTime>
  <Pages>4</Pages>
  <Words>982</Words>
  <Characters>5600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6569</CharactersWithSpaces>
  <SharedDoc>false</SharedDoc>
  <HLinks>
    <vt:vector size="6" baseType="variant">
      <vt:variant>
        <vt:i4>5636166</vt:i4>
      </vt:variant>
      <vt:variant>
        <vt:i4>9</vt:i4>
      </vt:variant>
      <vt:variant>
        <vt:i4>0</vt:i4>
      </vt:variant>
      <vt:variant>
        <vt:i4>5</vt:i4>
      </vt:variant>
      <vt:variant>
        <vt:lpwstr>C:\Documents and Settings\jonesfer\refinfo\REFTXT07\ITU-T\BUREAU\CIRC\www.itu.int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subject/>
  <dc:creator>altalouzi</dc:creator>
  <cp:keywords/>
  <dc:description/>
  <cp:lastModifiedBy>comas</cp:lastModifiedBy>
  <cp:revision>3</cp:revision>
  <cp:lastPrinted>2010-12-07T10:15:00Z</cp:lastPrinted>
  <dcterms:created xsi:type="dcterms:W3CDTF">2010-12-07T10:15:00Z</dcterms:created>
  <dcterms:modified xsi:type="dcterms:W3CDTF">2010-12-07T10:15:00Z</dcterms:modified>
</cp:coreProperties>
</file>