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0B5A57" w:rsidRPr="00F50108">
        <w:trPr>
          <w:cantSplit/>
        </w:trPr>
        <w:tc>
          <w:tcPr>
            <w:tcW w:w="6237" w:type="dxa"/>
            <w:vAlign w:val="center"/>
          </w:tcPr>
          <w:p w:rsidR="000B5A57" w:rsidRPr="00B73F4D" w:rsidRDefault="000B5A57" w:rsidP="000D422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0B5A57" w:rsidRPr="00F50108" w:rsidRDefault="004D1AA9" w:rsidP="000D422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3700" cy="69850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A57" w:rsidRPr="00F50108">
        <w:trPr>
          <w:cantSplit/>
        </w:trPr>
        <w:tc>
          <w:tcPr>
            <w:tcW w:w="6237" w:type="dxa"/>
            <w:vAlign w:val="center"/>
          </w:tcPr>
          <w:p w:rsidR="000B5A57" w:rsidRPr="00F50108" w:rsidRDefault="000B5A57" w:rsidP="000D422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0B5A57" w:rsidRPr="00F50108" w:rsidRDefault="000B5A57" w:rsidP="000D422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B5A57" w:rsidRDefault="000B5A57" w:rsidP="004F5A5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2F3D1A" w:rsidRPr="0033229B" w:rsidRDefault="002F3D1A" w:rsidP="004F5A5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E900E6" w:rsidRPr="00E900E6">
        <w:rPr>
          <w:rFonts w:hint="eastAsia"/>
          <w:szCs w:val="24"/>
          <w:lang w:eastAsia="zh-CN"/>
        </w:rPr>
        <w:t>20</w:t>
      </w:r>
      <w:r w:rsidR="00D6409C">
        <w:rPr>
          <w:rFonts w:hint="eastAsia"/>
          <w:szCs w:val="24"/>
          <w:lang w:eastAsia="zh-CN"/>
        </w:rPr>
        <w:t>10</w:t>
      </w:r>
      <w:r w:rsidR="0033229B" w:rsidRPr="0033229B">
        <w:rPr>
          <w:rFonts w:hint="eastAsia"/>
          <w:szCs w:val="24"/>
          <w:lang w:eastAsia="zh-CN"/>
        </w:rPr>
        <w:t>年</w:t>
      </w:r>
      <w:r w:rsidR="00CC1092">
        <w:rPr>
          <w:rFonts w:hint="eastAsia"/>
          <w:szCs w:val="24"/>
          <w:lang w:eastAsia="zh-CN"/>
        </w:rPr>
        <w:t>10</w:t>
      </w:r>
      <w:r w:rsidR="0033229B" w:rsidRPr="0033229B">
        <w:rPr>
          <w:rFonts w:hint="eastAsia"/>
          <w:szCs w:val="24"/>
          <w:lang w:eastAsia="zh-CN"/>
        </w:rPr>
        <w:t>月</w:t>
      </w:r>
      <w:r w:rsidR="00CC1092">
        <w:rPr>
          <w:rFonts w:hint="eastAsia"/>
          <w:szCs w:val="24"/>
          <w:lang w:eastAsia="zh-CN"/>
        </w:rPr>
        <w:t>12</w:t>
      </w:r>
      <w:r w:rsidR="0033229B" w:rsidRPr="0033229B">
        <w:rPr>
          <w:rFonts w:hint="eastAsia"/>
          <w:szCs w:val="24"/>
          <w:lang w:eastAsia="zh-CN"/>
        </w:rPr>
        <w:t>日，</w:t>
      </w:r>
      <w:r w:rsidRPr="0033229B">
        <w:rPr>
          <w:rFonts w:hint="eastAsia"/>
          <w:szCs w:val="24"/>
          <w:lang w:eastAsia="zh-CN"/>
        </w:rPr>
        <w:t>日内瓦</w:t>
      </w:r>
    </w:p>
    <w:p w:rsidR="00E1779A" w:rsidRDefault="00E1779A" w:rsidP="004F5A58">
      <w:pPr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E1779A">
        <w:trPr>
          <w:cantSplit/>
          <w:trHeight w:val="340"/>
        </w:trPr>
        <w:tc>
          <w:tcPr>
            <w:tcW w:w="822" w:type="dxa"/>
          </w:tcPr>
          <w:p w:rsidR="00E1779A" w:rsidRDefault="00E1779A" w:rsidP="004F5A58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E1779A" w:rsidRDefault="00CF4A56" w:rsidP="004F5A58">
            <w:pPr>
              <w:tabs>
                <w:tab w:val="left" w:pos="4111"/>
              </w:tabs>
              <w:spacing w:before="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  <w:r w:rsidR="007F5A21">
              <w:rPr>
                <w:rFonts w:hint="eastAsia"/>
                <w:sz w:val="22"/>
                <w:lang w:eastAsia="zh-CN"/>
              </w:rPr>
              <w:t>传真：</w:t>
            </w:r>
            <w:r w:rsidR="007F5A21">
              <w:rPr>
                <w:sz w:val="22"/>
                <w:lang w:eastAsia="zh-CN"/>
              </w:rPr>
              <w:br/>
            </w:r>
            <w:r w:rsidR="00E1779A"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E1779A" w:rsidRDefault="00E1779A" w:rsidP="004F5A58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 w:rsidR="00457E98">
              <w:rPr>
                <w:b/>
              </w:rPr>
              <w:t>1</w:t>
            </w:r>
            <w:r w:rsidR="00CC1092">
              <w:rPr>
                <w:rFonts w:hint="eastAsia"/>
                <w:b/>
                <w:lang w:eastAsia="zh-CN"/>
              </w:rPr>
              <w:t>45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E1779A" w:rsidRPr="006817A7" w:rsidRDefault="00883207" w:rsidP="004F5A58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proofErr w:type="spellStart"/>
            <w:r w:rsidRPr="006817A7">
              <w:rPr>
                <w:b/>
                <w:lang w:val="en-US" w:eastAsia="zh-CN"/>
              </w:rPr>
              <w:t>interop</w:t>
            </w:r>
            <w:proofErr w:type="spellEnd"/>
            <w:r w:rsidRPr="006817A7">
              <w:rPr>
                <w:b/>
                <w:lang w:val="en-US" w:eastAsia="zh-CN"/>
              </w:rPr>
              <w:t>/KB</w:t>
            </w:r>
          </w:p>
          <w:p w:rsidR="00E1779A" w:rsidRDefault="00E1779A" w:rsidP="004F5A58">
            <w:pPr>
              <w:pStyle w:val="BodyTextIndent"/>
              <w:spacing w:before="60"/>
              <w:rPr>
                <w:lang w:eastAsia="zh-CN"/>
              </w:rPr>
            </w:pPr>
            <w:r>
              <w:rPr>
                <w:lang w:eastAsia="zh-CN"/>
              </w:rPr>
              <w:t xml:space="preserve">+41 22 </w:t>
            </w:r>
            <w:r w:rsidR="00883207">
              <w:t xml:space="preserve">730 </w:t>
            </w:r>
            <w:r w:rsidR="00883207">
              <w:rPr>
                <w:rFonts w:hint="eastAsia"/>
                <w:lang w:eastAsia="zh-CN"/>
              </w:rPr>
              <w:t>6226</w:t>
            </w:r>
            <w:r>
              <w:rPr>
                <w:lang w:eastAsia="zh-CN"/>
              </w:rPr>
              <w:br/>
              <w:t>+41 22 730 5853</w:t>
            </w:r>
          </w:p>
          <w:p w:rsidR="00E1779A" w:rsidRDefault="00E1779A" w:rsidP="004F5A58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E1779A" w:rsidRDefault="00E1779A" w:rsidP="004F5A5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E1779A" w:rsidRDefault="00E1779A" w:rsidP="004F5A5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883207" w:rsidRDefault="00E1779A" w:rsidP="004F5A5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E1779A" w:rsidRDefault="00883207" w:rsidP="004F5A5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各研究组正副主席；</w:t>
            </w:r>
          </w:p>
          <w:p w:rsidR="00E1779A" w:rsidRDefault="00E1779A" w:rsidP="004F5A5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</w:p>
        </w:tc>
      </w:tr>
      <w:tr w:rsidR="00E1779A">
        <w:trPr>
          <w:cantSplit/>
        </w:trPr>
        <w:tc>
          <w:tcPr>
            <w:tcW w:w="822" w:type="dxa"/>
          </w:tcPr>
          <w:p w:rsidR="00E1779A" w:rsidRDefault="00E1779A" w:rsidP="004F5A58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E1779A" w:rsidRDefault="00035704" w:rsidP="004F5A58">
            <w:pPr>
              <w:tabs>
                <w:tab w:val="left" w:pos="4111"/>
              </w:tabs>
              <w:spacing w:before="240"/>
              <w:ind w:left="57"/>
              <w:rPr>
                <w:lang w:eastAsia="zh-CN"/>
              </w:rPr>
            </w:pPr>
            <w:hyperlink r:id="rId9" w:history="1">
              <w:r w:rsidR="00883207" w:rsidRPr="00430149">
                <w:rPr>
                  <w:rStyle w:val="Hyperlink"/>
                  <w:rFonts w:hint="eastAsia"/>
                  <w:lang w:eastAsia="zh-CN"/>
                </w:rPr>
                <w:t>interop</w:t>
              </w:r>
              <w:r w:rsidR="00883207" w:rsidRPr="00430149">
                <w:rPr>
                  <w:rStyle w:val="Hyperlink"/>
                </w:rPr>
                <w:t>@itu.int</w:t>
              </w:r>
            </w:hyperlink>
          </w:p>
        </w:tc>
        <w:tc>
          <w:tcPr>
            <w:tcW w:w="4536" w:type="dxa"/>
          </w:tcPr>
          <w:p w:rsidR="00E1779A" w:rsidRDefault="00E1779A" w:rsidP="004F5A5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E1779A" w:rsidRDefault="00E1779A" w:rsidP="004F5A5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E1779A" w:rsidRDefault="00E1779A" w:rsidP="004F5A5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D6409C" w:rsidRDefault="00D6409C" w:rsidP="004F5A5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</w:p>
        </w:tc>
      </w:tr>
      <w:tr w:rsidR="00E1779A">
        <w:trPr>
          <w:cantSplit/>
        </w:trPr>
        <w:tc>
          <w:tcPr>
            <w:tcW w:w="822" w:type="dxa"/>
          </w:tcPr>
          <w:p w:rsidR="00E1779A" w:rsidRDefault="00E1779A" w:rsidP="004F5A58">
            <w:pPr>
              <w:spacing w:before="60"/>
              <w:ind w:left="57"/>
              <w:rPr>
                <w:sz w:val="22"/>
                <w:lang w:eastAsia="zh-CN"/>
              </w:rPr>
            </w:pPr>
          </w:p>
        </w:tc>
        <w:tc>
          <w:tcPr>
            <w:tcW w:w="4848" w:type="dxa"/>
          </w:tcPr>
          <w:p w:rsidR="00E1779A" w:rsidRDefault="00E1779A" w:rsidP="004F5A58">
            <w:pPr>
              <w:tabs>
                <w:tab w:val="left" w:pos="4111"/>
              </w:tabs>
              <w:ind w:left="57"/>
              <w:rPr>
                <w:lang w:eastAsia="zh-CN"/>
              </w:rPr>
            </w:pPr>
          </w:p>
        </w:tc>
        <w:tc>
          <w:tcPr>
            <w:tcW w:w="4536" w:type="dxa"/>
          </w:tcPr>
          <w:p w:rsidR="00E1779A" w:rsidRDefault="00E1779A" w:rsidP="004F5A5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</w:p>
        </w:tc>
      </w:tr>
    </w:tbl>
    <w:p w:rsidR="00E1779A" w:rsidRDefault="00E1779A" w:rsidP="00BC7EE5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549"/>
      </w:tblGrid>
      <w:tr w:rsidR="00E1779A">
        <w:trPr>
          <w:cantSplit/>
          <w:trHeight w:val="680"/>
        </w:trPr>
        <w:tc>
          <w:tcPr>
            <w:tcW w:w="822" w:type="dxa"/>
          </w:tcPr>
          <w:p w:rsidR="00E1779A" w:rsidRDefault="00E1779A" w:rsidP="007B775C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6549" w:type="dxa"/>
          </w:tcPr>
          <w:p w:rsidR="00E1779A" w:rsidRDefault="00883207" w:rsidP="007B775C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lang w:eastAsia="zh-CN"/>
              </w:rPr>
            </w:pPr>
            <w:r w:rsidRPr="00883207">
              <w:rPr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381000" cy="333375"/>
                  <wp:effectExtent l="1905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国际电联第</w:t>
            </w:r>
            <w:r w:rsidR="00CC1092">
              <w:rPr>
                <w:rFonts w:hint="eastAsia"/>
                <w:b/>
                <w:bCs/>
                <w:szCs w:val="24"/>
                <w:lang w:val="en-US" w:eastAsia="zh-CN"/>
              </w:rPr>
              <w:t>3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届</w:t>
            </w:r>
            <w:r w:rsidRPr="00883207">
              <w:rPr>
                <w:b/>
                <w:bCs/>
                <w:szCs w:val="24"/>
                <w:lang w:val="en-US" w:eastAsia="zh-CN"/>
              </w:rPr>
              <w:t>IPTV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互操作性活动</w:t>
            </w:r>
            <w:r w:rsidRPr="00883207">
              <w:rPr>
                <w:b/>
                <w:bCs/>
                <w:szCs w:val="24"/>
                <w:lang w:val="en-US" w:eastAsia="zh-CN"/>
              </w:rPr>
              <w:br/>
              <w:t>2010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年</w:t>
            </w:r>
            <w:r w:rsidR="00CC1092">
              <w:rPr>
                <w:rFonts w:hint="eastAsia"/>
                <w:b/>
                <w:bCs/>
                <w:szCs w:val="24"/>
                <w:lang w:val="en-US" w:eastAsia="zh-CN"/>
              </w:rPr>
              <w:t>12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月</w:t>
            </w:r>
            <w:r w:rsidR="00CC1092">
              <w:rPr>
                <w:rFonts w:hint="eastAsia"/>
                <w:b/>
                <w:bCs/>
                <w:szCs w:val="24"/>
                <w:lang w:val="en-US" w:eastAsia="zh-CN"/>
              </w:rPr>
              <w:t>14</w:t>
            </w:r>
            <w:r w:rsidR="00CC1092">
              <w:rPr>
                <w:b/>
                <w:bCs/>
                <w:szCs w:val="24"/>
                <w:lang w:val="en-US" w:eastAsia="zh-CN"/>
              </w:rPr>
              <w:t>-</w:t>
            </w:r>
            <w:r w:rsidR="00CC1092">
              <w:rPr>
                <w:rFonts w:hint="eastAsia"/>
                <w:b/>
                <w:bCs/>
                <w:szCs w:val="24"/>
                <w:lang w:val="en-US" w:eastAsia="zh-CN"/>
              </w:rPr>
              <w:t>17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日，</w:t>
            </w:r>
            <w:r w:rsidR="00CC1092">
              <w:rPr>
                <w:rFonts w:hint="eastAsia"/>
                <w:b/>
                <w:bCs/>
                <w:szCs w:val="24"/>
                <w:lang w:val="en-US" w:eastAsia="zh-CN"/>
              </w:rPr>
              <w:t>印度浦那</w:t>
            </w:r>
          </w:p>
        </w:tc>
      </w:tr>
    </w:tbl>
    <w:p w:rsidR="00E1779A" w:rsidRDefault="00E1779A" w:rsidP="007B775C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541722" w:rsidRPr="00BF5243" w:rsidRDefault="00541722" w:rsidP="007B775C">
      <w:pPr>
        <w:rPr>
          <w:rFonts w:hAnsiTheme="majorBidi"/>
          <w:lang w:eastAsia="zh-CN"/>
        </w:rPr>
      </w:pPr>
      <w:bookmarkStart w:id="2" w:name="StartTyping_E"/>
      <w:bookmarkEnd w:id="2"/>
      <w:r w:rsidRPr="00BF5243">
        <w:rPr>
          <w:lang w:eastAsia="zh-CN"/>
        </w:rPr>
        <w:t>尊敬的先生</w:t>
      </w:r>
      <w:r w:rsidRPr="00BF5243">
        <w:rPr>
          <w:rFonts w:hAnsiTheme="majorBidi"/>
          <w:lang w:eastAsia="zh-CN"/>
        </w:rPr>
        <w:t>/</w:t>
      </w:r>
      <w:r w:rsidRPr="00BF5243">
        <w:rPr>
          <w:lang w:eastAsia="zh-CN"/>
        </w:rPr>
        <w:t>女士，</w:t>
      </w:r>
    </w:p>
    <w:p w:rsidR="00541722" w:rsidRPr="00BF5243" w:rsidRDefault="006817A7" w:rsidP="007B775C">
      <w:pPr>
        <w:rPr>
          <w:rFonts w:hAnsiTheme="majorBidi"/>
          <w:szCs w:val="24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BF5243" w:rsidRPr="00BF5243">
        <w:rPr>
          <w:lang w:eastAsia="zh-CN"/>
        </w:rPr>
        <w:t>我谨通知您，</w:t>
      </w:r>
      <w:r w:rsidR="00541722" w:rsidRPr="00BF5243">
        <w:rPr>
          <w:rFonts w:hAnsiTheme="majorBidi"/>
          <w:color w:val="000000"/>
          <w:szCs w:val="24"/>
          <w:lang w:eastAsia="zh-CN"/>
        </w:rPr>
        <w:t>根据理事会</w:t>
      </w:r>
      <w:r w:rsidR="00541722" w:rsidRPr="00BF5243">
        <w:rPr>
          <w:rFonts w:hAnsiTheme="majorBidi"/>
          <w:color w:val="000000"/>
          <w:szCs w:val="24"/>
          <w:lang w:eastAsia="zh-CN"/>
        </w:rPr>
        <w:t>2009</w:t>
      </w:r>
      <w:r w:rsidR="00541722" w:rsidRPr="00BF5243">
        <w:rPr>
          <w:rFonts w:hAnsiTheme="majorBidi"/>
          <w:color w:val="000000"/>
          <w:szCs w:val="24"/>
          <w:lang w:eastAsia="zh-CN"/>
        </w:rPr>
        <w:t>年会议关于落实世界电信标准化全会（</w:t>
      </w:r>
      <w:r w:rsidR="00541722" w:rsidRPr="00BF5243">
        <w:rPr>
          <w:rFonts w:hAnsiTheme="majorBidi"/>
          <w:color w:val="000000"/>
          <w:szCs w:val="24"/>
          <w:lang w:eastAsia="zh-CN"/>
        </w:rPr>
        <w:t>WTSA</w:t>
      </w:r>
      <w:r w:rsidR="00541722" w:rsidRPr="00BF5243">
        <w:rPr>
          <w:rFonts w:hAnsiTheme="majorBidi"/>
          <w:color w:val="000000"/>
          <w:szCs w:val="24"/>
          <w:lang w:eastAsia="zh-CN"/>
        </w:rPr>
        <w:t>）</w:t>
      </w:r>
      <w:hyperlink r:id="rId11" w:history="1">
        <w:r w:rsidR="00541722" w:rsidRPr="00BF5243">
          <w:rPr>
            <w:rStyle w:val="Hyperlink"/>
            <w:rFonts w:asciiTheme="majorBidi" w:hAnsiTheme="majorBidi" w:cstheme="majorBidi"/>
            <w:color w:val="000000"/>
            <w:szCs w:val="24"/>
            <w:lang w:eastAsia="zh-CN"/>
          </w:rPr>
          <w:t>第</w:t>
        </w:r>
        <w:r w:rsidR="00541722" w:rsidRPr="00BF5243">
          <w:rPr>
            <w:rStyle w:val="Hyperlink"/>
            <w:rFonts w:asciiTheme="majorBidi" w:hAnsiTheme="majorBidi" w:cstheme="majorBidi"/>
            <w:color w:val="000000"/>
            <w:szCs w:val="24"/>
            <w:lang w:eastAsia="zh-CN"/>
          </w:rPr>
          <w:t>76</w:t>
        </w:r>
        <w:r w:rsidR="00541722" w:rsidRPr="00BF5243">
          <w:rPr>
            <w:rStyle w:val="Hyperlink"/>
            <w:rFonts w:asciiTheme="majorBidi" w:hAnsiTheme="majorBidi" w:cstheme="majorBidi"/>
            <w:color w:val="000000"/>
            <w:szCs w:val="24"/>
            <w:lang w:eastAsia="zh-CN"/>
          </w:rPr>
          <w:t>号决议</w:t>
        </w:r>
      </w:hyperlink>
      <w:r w:rsidR="00541722" w:rsidRPr="00BF5243">
        <w:rPr>
          <w:rFonts w:hAnsiTheme="majorBidi"/>
          <w:szCs w:val="24"/>
          <w:lang w:eastAsia="zh-CN"/>
        </w:rPr>
        <w:t>的决定，</w:t>
      </w:r>
      <w:r w:rsidR="00CC1092">
        <w:rPr>
          <w:rFonts w:hAnsiTheme="majorBidi" w:hint="eastAsia"/>
          <w:szCs w:val="24"/>
          <w:lang w:eastAsia="zh-CN"/>
        </w:rPr>
        <w:t>应印度主管部门的</w:t>
      </w:r>
      <w:r w:rsidR="006677CB">
        <w:rPr>
          <w:rFonts w:hAnsiTheme="majorBidi" w:hint="eastAsia"/>
          <w:szCs w:val="24"/>
          <w:lang w:eastAsia="zh-CN"/>
        </w:rPr>
        <w:t>友好</w:t>
      </w:r>
      <w:r w:rsidR="00CC1092">
        <w:rPr>
          <w:rFonts w:hAnsiTheme="majorBidi" w:hint="eastAsia"/>
          <w:szCs w:val="24"/>
          <w:lang w:eastAsia="zh-CN"/>
        </w:rPr>
        <w:t>邀请，</w:t>
      </w:r>
      <w:r w:rsidR="001E78B0" w:rsidRPr="00BF5243">
        <w:rPr>
          <w:rFonts w:hAnsi="Calibri"/>
          <w:b/>
          <w:bCs/>
          <w:szCs w:val="24"/>
          <w:lang w:eastAsia="zh-CN"/>
        </w:rPr>
        <w:t>国际电联第</w:t>
      </w:r>
      <w:r w:rsidR="001E78B0">
        <w:rPr>
          <w:rFonts w:hAnsiTheme="majorBidi" w:hint="eastAsia"/>
          <w:b/>
          <w:bCs/>
          <w:szCs w:val="24"/>
          <w:lang w:eastAsia="zh-CN"/>
        </w:rPr>
        <w:t>3</w:t>
      </w:r>
      <w:r w:rsidR="001E78B0" w:rsidRPr="00BF5243">
        <w:rPr>
          <w:rFonts w:hAnsi="Calibri"/>
          <w:b/>
          <w:bCs/>
          <w:szCs w:val="24"/>
          <w:lang w:eastAsia="zh-CN"/>
        </w:rPr>
        <w:t>届</w:t>
      </w:r>
      <w:r w:rsidR="001E78B0" w:rsidRPr="00BF5243">
        <w:rPr>
          <w:rFonts w:hAnsiTheme="majorBidi"/>
          <w:b/>
          <w:bCs/>
          <w:szCs w:val="24"/>
          <w:lang w:eastAsia="zh-CN"/>
        </w:rPr>
        <w:t>IPTV</w:t>
      </w:r>
      <w:r w:rsidR="001E78B0" w:rsidRPr="00BF5243">
        <w:rPr>
          <w:rFonts w:hAnsi="Calibri"/>
          <w:b/>
          <w:bCs/>
          <w:szCs w:val="24"/>
          <w:lang w:eastAsia="zh-CN"/>
        </w:rPr>
        <w:t>互操作性活动</w:t>
      </w:r>
      <w:r w:rsidR="001E78B0" w:rsidRPr="001E78B0">
        <w:rPr>
          <w:rFonts w:hAnsi="Calibri" w:hint="eastAsia"/>
          <w:szCs w:val="24"/>
          <w:lang w:eastAsia="zh-CN"/>
        </w:rPr>
        <w:t>将</w:t>
      </w:r>
      <w:r w:rsidR="00541722" w:rsidRPr="00BF5243">
        <w:rPr>
          <w:rFonts w:hAnsiTheme="majorBidi"/>
          <w:color w:val="000000"/>
          <w:szCs w:val="24"/>
          <w:lang w:eastAsia="zh-CN"/>
        </w:rPr>
        <w:t>于</w:t>
      </w:r>
      <w:r w:rsidR="00541722" w:rsidRPr="00BF5243">
        <w:rPr>
          <w:rFonts w:hAnsiTheme="majorBidi"/>
          <w:b/>
          <w:bCs/>
          <w:szCs w:val="24"/>
          <w:lang w:eastAsia="zh-CN"/>
        </w:rPr>
        <w:t>2010</w:t>
      </w:r>
      <w:r w:rsidR="00541722" w:rsidRPr="00BF5243">
        <w:rPr>
          <w:rFonts w:hAnsi="Calibri"/>
          <w:b/>
          <w:bCs/>
          <w:szCs w:val="24"/>
          <w:lang w:eastAsia="zh-CN"/>
        </w:rPr>
        <w:t>年</w:t>
      </w:r>
      <w:r w:rsidR="001E78B0">
        <w:rPr>
          <w:rFonts w:hAnsiTheme="majorBidi" w:hint="eastAsia"/>
          <w:b/>
          <w:bCs/>
          <w:szCs w:val="24"/>
          <w:lang w:eastAsia="zh-CN"/>
        </w:rPr>
        <w:t>12</w:t>
      </w:r>
      <w:r w:rsidR="00541722" w:rsidRPr="00BF5243">
        <w:rPr>
          <w:rFonts w:hAnsi="Calibri"/>
          <w:b/>
          <w:bCs/>
          <w:szCs w:val="24"/>
          <w:lang w:eastAsia="zh-CN"/>
        </w:rPr>
        <w:t>月</w:t>
      </w:r>
      <w:r w:rsidR="001E78B0">
        <w:rPr>
          <w:rFonts w:hAnsi="Calibri" w:hint="eastAsia"/>
          <w:b/>
          <w:bCs/>
          <w:szCs w:val="24"/>
          <w:lang w:eastAsia="zh-CN"/>
        </w:rPr>
        <w:t>1</w:t>
      </w:r>
      <w:r w:rsidR="00541722" w:rsidRPr="00BF5243">
        <w:rPr>
          <w:rFonts w:hAnsiTheme="majorBidi"/>
          <w:b/>
          <w:bCs/>
          <w:szCs w:val="24"/>
          <w:lang w:eastAsia="zh-CN"/>
        </w:rPr>
        <w:t>4</w:t>
      </w:r>
      <w:r w:rsidR="001E78B0">
        <w:rPr>
          <w:rFonts w:hAnsiTheme="majorBidi" w:hint="eastAsia"/>
          <w:b/>
          <w:bCs/>
          <w:szCs w:val="24"/>
          <w:lang w:eastAsia="zh-CN"/>
        </w:rPr>
        <w:t>-1</w:t>
      </w:r>
      <w:r w:rsidR="00541722" w:rsidRPr="00BF5243">
        <w:rPr>
          <w:rFonts w:hAnsiTheme="majorBidi"/>
          <w:b/>
          <w:bCs/>
          <w:szCs w:val="24"/>
          <w:lang w:eastAsia="zh-CN"/>
        </w:rPr>
        <w:t>7</w:t>
      </w:r>
      <w:r w:rsidR="00541722" w:rsidRPr="00BF5243">
        <w:rPr>
          <w:rFonts w:hAnsi="Calibri"/>
          <w:b/>
          <w:bCs/>
          <w:szCs w:val="24"/>
          <w:lang w:eastAsia="zh-CN"/>
        </w:rPr>
        <w:t>日在</w:t>
      </w:r>
      <w:r w:rsidR="001E78B0">
        <w:rPr>
          <w:rFonts w:hAnsi="Calibri" w:hint="eastAsia"/>
          <w:b/>
          <w:bCs/>
          <w:szCs w:val="24"/>
          <w:lang w:eastAsia="zh-CN"/>
        </w:rPr>
        <w:t>印度浦那</w:t>
      </w:r>
      <w:r w:rsidR="000773AD">
        <w:rPr>
          <w:rFonts w:hAnsi="Calibri" w:hint="eastAsia"/>
          <w:b/>
          <w:bCs/>
          <w:szCs w:val="24"/>
          <w:lang w:eastAsia="zh-CN"/>
        </w:rPr>
        <w:t>辛哈</w:t>
      </w:r>
      <w:r w:rsidR="000773AD" w:rsidRPr="000773AD">
        <w:rPr>
          <w:rFonts w:hAnsi="Calibri"/>
          <w:b/>
          <w:bCs/>
          <w:szCs w:val="24"/>
          <w:lang w:eastAsia="zh-CN"/>
        </w:rPr>
        <w:t>伽</w:t>
      </w:r>
      <w:r w:rsidR="000773AD">
        <w:rPr>
          <w:rFonts w:hAnsi="Calibri" w:hint="eastAsia"/>
          <w:b/>
          <w:bCs/>
          <w:szCs w:val="24"/>
          <w:lang w:eastAsia="zh-CN"/>
        </w:rPr>
        <w:t>德</w:t>
      </w:r>
      <w:r w:rsidR="001E78B0">
        <w:rPr>
          <w:rFonts w:hAnsi="Calibri" w:hint="eastAsia"/>
          <w:b/>
          <w:bCs/>
          <w:szCs w:val="24"/>
          <w:lang w:eastAsia="zh-CN"/>
        </w:rPr>
        <w:t>技术教育</w:t>
      </w:r>
      <w:r w:rsidR="00737545">
        <w:rPr>
          <w:rFonts w:hAnsi="Calibri" w:hint="eastAsia"/>
          <w:b/>
          <w:bCs/>
          <w:szCs w:val="24"/>
          <w:lang w:eastAsia="zh-CN"/>
        </w:rPr>
        <w:t>大学</w:t>
      </w:r>
      <w:r w:rsidR="000773AD">
        <w:rPr>
          <w:rFonts w:hAnsi="Calibri" w:hint="eastAsia"/>
          <w:b/>
          <w:bCs/>
          <w:szCs w:val="24"/>
          <w:lang w:eastAsia="zh-CN"/>
        </w:rPr>
        <w:t>（</w:t>
      </w:r>
      <w:proofErr w:type="spellStart"/>
      <w:r w:rsidR="000773AD">
        <w:rPr>
          <w:rFonts w:hAnsi="Calibri" w:hint="eastAsia"/>
          <w:b/>
          <w:bCs/>
          <w:szCs w:val="24"/>
          <w:lang w:eastAsia="zh-CN"/>
        </w:rPr>
        <w:t>Sinhgad</w:t>
      </w:r>
      <w:proofErr w:type="spellEnd"/>
      <w:r w:rsidR="000773AD">
        <w:rPr>
          <w:rFonts w:hAnsi="Calibri" w:hint="eastAsia"/>
          <w:b/>
          <w:bCs/>
          <w:szCs w:val="24"/>
          <w:lang w:eastAsia="zh-CN"/>
        </w:rPr>
        <w:t xml:space="preserve"> Technical Education Society</w:t>
      </w:r>
      <w:r w:rsidR="000773AD">
        <w:rPr>
          <w:rFonts w:hAnsi="Calibri" w:hint="eastAsia"/>
          <w:b/>
          <w:bCs/>
          <w:szCs w:val="24"/>
          <w:lang w:eastAsia="zh-CN"/>
        </w:rPr>
        <w:t>）的</w:t>
      </w:r>
      <w:proofErr w:type="spellStart"/>
      <w:r w:rsidR="001E78B0">
        <w:rPr>
          <w:rFonts w:hAnsi="Calibri" w:hint="eastAsia"/>
          <w:b/>
          <w:bCs/>
          <w:szCs w:val="24"/>
          <w:lang w:eastAsia="zh-CN"/>
        </w:rPr>
        <w:t>Narhe</w:t>
      </w:r>
      <w:proofErr w:type="spellEnd"/>
      <w:r w:rsidR="001E78B0">
        <w:rPr>
          <w:rFonts w:hAnsi="Calibri" w:hint="eastAsia"/>
          <w:b/>
          <w:bCs/>
          <w:szCs w:val="24"/>
          <w:lang w:eastAsia="zh-CN"/>
        </w:rPr>
        <w:t>校区</w:t>
      </w:r>
      <w:r w:rsidR="001E78B0" w:rsidRPr="001E78B0">
        <w:rPr>
          <w:rFonts w:hAnsi="Calibri" w:hint="eastAsia"/>
          <w:szCs w:val="24"/>
          <w:lang w:eastAsia="zh-CN"/>
        </w:rPr>
        <w:t>举行</w:t>
      </w:r>
      <w:r w:rsidR="00541722" w:rsidRPr="00BF5243">
        <w:rPr>
          <w:rFonts w:hAnsiTheme="majorBidi"/>
          <w:color w:val="000000"/>
          <w:szCs w:val="24"/>
          <w:lang w:eastAsia="zh-CN"/>
        </w:rPr>
        <w:t>。</w:t>
      </w:r>
      <w:r w:rsidR="000773AD">
        <w:rPr>
          <w:rFonts w:hAnsiTheme="majorBidi" w:hint="eastAsia"/>
          <w:color w:val="000000"/>
          <w:szCs w:val="24"/>
          <w:lang w:eastAsia="zh-CN"/>
        </w:rPr>
        <w:t>布展</w:t>
      </w:r>
      <w:r w:rsidR="00541722" w:rsidRPr="00BF5243">
        <w:rPr>
          <w:rFonts w:hAnsiTheme="majorBidi"/>
          <w:color w:val="000000"/>
          <w:szCs w:val="24"/>
          <w:lang w:eastAsia="zh-CN"/>
        </w:rPr>
        <w:t>工作将于</w:t>
      </w:r>
      <w:r w:rsidR="00541722" w:rsidRPr="00BF5243">
        <w:rPr>
          <w:rFonts w:hAnsiTheme="majorBidi"/>
          <w:color w:val="000000"/>
          <w:szCs w:val="24"/>
          <w:lang w:eastAsia="zh-CN"/>
        </w:rPr>
        <w:t>2010</w:t>
      </w:r>
      <w:r w:rsidR="00541722" w:rsidRPr="00BF5243">
        <w:rPr>
          <w:rFonts w:hAnsiTheme="majorBidi"/>
          <w:color w:val="000000"/>
          <w:szCs w:val="24"/>
          <w:lang w:eastAsia="zh-CN"/>
        </w:rPr>
        <w:t>年</w:t>
      </w:r>
      <w:r w:rsidR="006677CB">
        <w:rPr>
          <w:rFonts w:hAnsiTheme="majorBidi" w:hint="eastAsia"/>
          <w:color w:val="000000"/>
          <w:szCs w:val="24"/>
          <w:lang w:eastAsia="zh-CN"/>
        </w:rPr>
        <w:t>12</w:t>
      </w:r>
      <w:r w:rsidR="00541722" w:rsidRPr="00BF5243">
        <w:rPr>
          <w:rFonts w:hAnsiTheme="majorBidi"/>
          <w:color w:val="000000"/>
          <w:szCs w:val="24"/>
          <w:lang w:eastAsia="zh-CN"/>
        </w:rPr>
        <w:t>月</w:t>
      </w:r>
      <w:r w:rsidR="006677CB">
        <w:rPr>
          <w:rFonts w:hAnsiTheme="majorBidi" w:hint="eastAsia"/>
          <w:color w:val="000000"/>
          <w:szCs w:val="24"/>
          <w:lang w:eastAsia="zh-CN"/>
        </w:rPr>
        <w:t>13</w:t>
      </w:r>
      <w:r w:rsidR="00541722" w:rsidRPr="00BF5243">
        <w:rPr>
          <w:rFonts w:hAnsiTheme="majorBidi"/>
          <w:color w:val="000000"/>
          <w:szCs w:val="24"/>
          <w:lang w:eastAsia="zh-CN"/>
        </w:rPr>
        <w:t>日进行。</w:t>
      </w:r>
    </w:p>
    <w:p w:rsidR="00541722" w:rsidRPr="00BF5243" w:rsidRDefault="006817A7" w:rsidP="007B775C">
      <w:pPr>
        <w:rPr>
          <w:rFonts w:hAnsiTheme="majorBidi"/>
          <w:lang w:eastAsia="zh-CN"/>
        </w:rPr>
      </w:pPr>
      <w:r>
        <w:rPr>
          <w:rFonts w:hAnsiTheme="majorBidi" w:hint="eastAsia"/>
          <w:szCs w:val="24"/>
          <w:lang w:eastAsia="zh-CN"/>
        </w:rPr>
        <w:t>2</w:t>
      </w:r>
      <w:r>
        <w:rPr>
          <w:rFonts w:hAnsiTheme="majorBidi" w:hint="eastAsia"/>
          <w:szCs w:val="24"/>
          <w:lang w:eastAsia="zh-CN"/>
        </w:rPr>
        <w:tab/>
      </w:r>
      <w:r w:rsidR="000773AD">
        <w:rPr>
          <w:rFonts w:hAnsiTheme="majorBidi" w:hint="eastAsia"/>
          <w:szCs w:val="24"/>
          <w:lang w:eastAsia="zh-CN"/>
        </w:rPr>
        <w:t>如赴印度</w:t>
      </w:r>
      <w:r w:rsidR="006677CB">
        <w:rPr>
          <w:rFonts w:hAnsiTheme="majorBidi" w:hint="eastAsia"/>
          <w:szCs w:val="24"/>
          <w:lang w:eastAsia="zh-CN"/>
        </w:rPr>
        <w:t>需要签证，</w:t>
      </w:r>
      <w:r w:rsidR="007B775C">
        <w:rPr>
          <w:rFonts w:hAnsiTheme="majorBidi" w:hint="eastAsia"/>
          <w:szCs w:val="24"/>
          <w:lang w:eastAsia="zh-CN"/>
        </w:rPr>
        <w:t>请见</w:t>
      </w:r>
      <w:r w:rsidR="000773AD">
        <w:rPr>
          <w:rFonts w:hAnsiTheme="majorBidi" w:hint="eastAsia"/>
          <w:szCs w:val="24"/>
          <w:lang w:eastAsia="zh-CN"/>
        </w:rPr>
        <w:t>附件</w:t>
      </w:r>
      <w:r w:rsidR="000773AD">
        <w:rPr>
          <w:rFonts w:hAnsiTheme="majorBidi" w:hint="eastAsia"/>
          <w:szCs w:val="24"/>
          <w:lang w:eastAsia="zh-CN"/>
        </w:rPr>
        <w:t>1</w:t>
      </w:r>
      <w:r w:rsidR="000773AD">
        <w:rPr>
          <w:rFonts w:hAnsiTheme="majorBidi" w:hint="eastAsia"/>
          <w:szCs w:val="24"/>
          <w:lang w:eastAsia="zh-CN"/>
        </w:rPr>
        <w:t>有关</w:t>
      </w:r>
      <w:r w:rsidR="007B775C">
        <w:rPr>
          <w:rFonts w:hAnsiTheme="majorBidi" w:hint="eastAsia"/>
          <w:szCs w:val="24"/>
          <w:lang w:eastAsia="zh-CN"/>
        </w:rPr>
        <w:t>签证</w:t>
      </w:r>
      <w:r w:rsidR="000773AD">
        <w:rPr>
          <w:rFonts w:hAnsiTheme="majorBidi" w:hint="eastAsia"/>
          <w:szCs w:val="24"/>
          <w:lang w:eastAsia="zh-CN"/>
        </w:rPr>
        <w:t>申请的信息</w:t>
      </w:r>
      <w:r w:rsidR="006677CB">
        <w:rPr>
          <w:rFonts w:hAnsiTheme="majorBidi" w:hint="eastAsia"/>
          <w:szCs w:val="24"/>
          <w:lang w:eastAsia="zh-CN"/>
        </w:rPr>
        <w:t>。强烈建议您</w:t>
      </w:r>
      <w:r w:rsidR="006677CB" w:rsidRPr="006677CB">
        <w:rPr>
          <w:rFonts w:hAnsiTheme="majorBidi" w:hint="eastAsia"/>
          <w:b/>
          <w:bCs/>
          <w:szCs w:val="24"/>
          <w:lang w:eastAsia="zh-CN"/>
        </w:rPr>
        <w:t>在本次活动的两个月前</w:t>
      </w:r>
      <w:r w:rsidR="006677CB" w:rsidRPr="006677CB">
        <w:rPr>
          <w:rFonts w:hAnsiTheme="majorBidi" w:hint="eastAsia"/>
          <w:szCs w:val="24"/>
          <w:lang w:eastAsia="zh-CN"/>
        </w:rPr>
        <w:t>，</w:t>
      </w:r>
      <w:r w:rsidR="006677CB">
        <w:rPr>
          <w:rFonts w:hAnsiTheme="majorBidi" w:hint="eastAsia"/>
          <w:szCs w:val="24"/>
          <w:lang w:eastAsia="zh-CN"/>
        </w:rPr>
        <w:t>即，</w:t>
      </w:r>
      <w:r w:rsidR="006677CB" w:rsidRPr="006677CB">
        <w:rPr>
          <w:rFonts w:hAnsiTheme="majorBidi" w:hint="eastAsia"/>
          <w:b/>
          <w:bCs/>
          <w:szCs w:val="24"/>
          <w:lang w:eastAsia="zh-CN"/>
        </w:rPr>
        <w:t>2010</w:t>
      </w:r>
      <w:r w:rsidR="006677CB" w:rsidRPr="006677CB">
        <w:rPr>
          <w:rFonts w:hAnsiTheme="majorBidi" w:hint="eastAsia"/>
          <w:b/>
          <w:bCs/>
          <w:szCs w:val="24"/>
          <w:lang w:eastAsia="zh-CN"/>
        </w:rPr>
        <w:t>年</w:t>
      </w:r>
      <w:r w:rsidR="006677CB" w:rsidRPr="006677CB">
        <w:rPr>
          <w:rFonts w:hAnsiTheme="majorBidi" w:hint="eastAsia"/>
          <w:b/>
          <w:bCs/>
          <w:szCs w:val="24"/>
          <w:lang w:eastAsia="zh-CN"/>
        </w:rPr>
        <w:t>10</w:t>
      </w:r>
      <w:r w:rsidR="006677CB" w:rsidRPr="006677CB">
        <w:rPr>
          <w:rFonts w:hAnsiTheme="majorBidi" w:hint="eastAsia"/>
          <w:b/>
          <w:bCs/>
          <w:szCs w:val="24"/>
          <w:lang w:eastAsia="zh-CN"/>
        </w:rPr>
        <w:t>月</w:t>
      </w:r>
      <w:r w:rsidR="006677CB" w:rsidRPr="006677CB">
        <w:rPr>
          <w:rFonts w:hAnsiTheme="majorBidi" w:hint="eastAsia"/>
          <w:b/>
          <w:bCs/>
          <w:szCs w:val="24"/>
          <w:lang w:eastAsia="zh-CN"/>
        </w:rPr>
        <w:t>15</w:t>
      </w:r>
      <w:r w:rsidR="006677CB" w:rsidRPr="006677CB">
        <w:rPr>
          <w:rFonts w:hAnsiTheme="majorBidi" w:hint="eastAsia"/>
          <w:b/>
          <w:bCs/>
          <w:szCs w:val="24"/>
          <w:lang w:eastAsia="zh-CN"/>
        </w:rPr>
        <w:t>日</w:t>
      </w:r>
      <w:r w:rsidR="006677CB">
        <w:rPr>
          <w:rFonts w:hAnsiTheme="majorBidi" w:hint="eastAsia"/>
          <w:szCs w:val="24"/>
          <w:lang w:eastAsia="zh-CN"/>
        </w:rPr>
        <w:t>开始申请赴印度签证的过程，以便为印度当局留出充分的时间处理签证申请。</w:t>
      </w:r>
    </w:p>
    <w:p w:rsidR="00541722" w:rsidRPr="00BF5243" w:rsidRDefault="006817A7" w:rsidP="007B775C">
      <w:pPr>
        <w:rPr>
          <w:rFonts w:hAnsiTheme="majorBidi"/>
          <w:lang w:eastAsia="zh-CN"/>
        </w:rPr>
      </w:pPr>
      <w:r w:rsidRPr="006817A7">
        <w:rPr>
          <w:rFonts w:hAnsiTheme="majorBidi" w:hint="eastAsia"/>
          <w:lang w:eastAsia="zh-CN"/>
        </w:rPr>
        <w:t>3</w:t>
      </w:r>
      <w:r>
        <w:rPr>
          <w:rFonts w:hAnsiTheme="majorBidi" w:hint="eastAsia"/>
          <w:lang w:eastAsia="zh-CN"/>
        </w:rPr>
        <w:tab/>
      </w:r>
      <w:r w:rsidR="006677CB" w:rsidRPr="00BF5243">
        <w:rPr>
          <w:rFonts w:hAnsiTheme="majorBidi"/>
          <w:szCs w:val="24"/>
          <w:lang w:eastAsia="zh-CN"/>
        </w:rPr>
        <w:t>ITU-T IPTV</w:t>
      </w:r>
      <w:r w:rsidR="006677CB" w:rsidRPr="00BF5243">
        <w:rPr>
          <w:rFonts w:hAnsi="Calibri"/>
          <w:szCs w:val="24"/>
          <w:lang w:eastAsia="zh-CN"/>
        </w:rPr>
        <w:t>标准的</w:t>
      </w:r>
      <w:r w:rsidR="006677CB" w:rsidRPr="00BF5243">
        <w:rPr>
          <w:rFonts w:hAnsi="Calibri"/>
          <w:b/>
          <w:bCs/>
          <w:szCs w:val="24"/>
          <w:lang w:eastAsia="zh-CN"/>
        </w:rPr>
        <w:t>合规性和互操作性测试</w:t>
      </w:r>
      <w:r w:rsidR="006677CB" w:rsidRPr="00BF5243">
        <w:rPr>
          <w:rFonts w:hAnsi="Calibri"/>
          <w:szCs w:val="24"/>
          <w:lang w:eastAsia="zh-CN"/>
        </w:rPr>
        <w:t>将于</w:t>
      </w:r>
      <w:r w:rsidR="006677CB" w:rsidRPr="00BF5243">
        <w:rPr>
          <w:rFonts w:hAnsiTheme="majorBidi"/>
          <w:b/>
          <w:bCs/>
          <w:szCs w:val="24"/>
          <w:lang w:eastAsia="zh-CN"/>
        </w:rPr>
        <w:t>2010</w:t>
      </w:r>
      <w:r w:rsidR="006677CB" w:rsidRPr="00BF5243">
        <w:rPr>
          <w:rFonts w:hAnsi="Calibri"/>
          <w:b/>
          <w:bCs/>
          <w:szCs w:val="24"/>
          <w:lang w:eastAsia="zh-CN"/>
        </w:rPr>
        <w:t>年</w:t>
      </w:r>
      <w:r w:rsidR="006677CB">
        <w:rPr>
          <w:rFonts w:hAnsiTheme="majorBidi" w:hint="eastAsia"/>
          <w:b/>
          <w:bCs/>
          <w:szCs w:val="24"/>
          <w:lang w:eastAsia="zh-CN"/>
        </w:rPr>
        <w:t>12</w:t>
      </w:r>
      <w:r w:rsidR="006677CB" w:rsidRPr="00BF5243">
        <w:rPr>
          <w:rFonts w:hAnsi="Calibri"/>
          <w:b/>
          <w:bCs/>
          <w:szCs w:val="24"/>
          <w:lang w:eastAsia="zh-CN"/>
        </w:rPr>
        <w:t>月</w:t>
      </w:r>
      <w:r w:rsidR="006677CB">
        <w:rPr>
          <w:rFonts w:hAnsi="Calibri" w:hint="eastAsia"/>
          <w:b/>
          <w:bCs/>
          <w:szCs w:val="24"/>
          <w:lang w:eastAsia="zh-CN"/>
        </w:rPr>
        <w:t>14</w:t>
      </w:r>
      <w:r w:rsidR="006677CB" w:rsidRPr="00BF5243">
        <w:rPr>
          <w:rFonts w:hAnsi="Calibri"/>
          <w:b/>
          <w:bCs/>
          <w:szCs w:val="24"/>
          <w:lang w:eastAsia="zh-CN"/>
        </w:rPr>
        <w:t>和</w:t>
      </w:r>
      <w:r w:rsidR="006677CB">
        <w:rPr>
          <w:rFonts w:hAnsi="Calibri" w:hint="eastAsia"/>
          <w:b/>
          <w:bCs/>
          <w:szCs w:val="24"/>
          <w:lang w:eastAsia="zh-CN"/>
        </w:rPr>
        <w:t>15</w:t>
      </w:r>
      <w:r w:rsidR="006677CB" w:rsidRPr="00BF5243">
        <w:rPr>
          <w:rFonts w:hAnsi="Calibri"/>
          <w:b/>
          <w:bCs/>
          <w:szCs w:val="24"/>
          <w:lang w:eastAsia="zh-CN"/>
        </w:rPr>
        <w:t>日</w:t>
      </w:r>
      <w:r w:rsidR="006677CB" w:rsidRPr="00BF5243">
        <w:rPr>
          <w:rFonts w:hAnsi="Calibri"/>
          <w:szCs w:val="24"/>
          <w:lang w:eastAsia="zh-CN"/>
        </w:rPr>
        <w:t>进行，包括</w:t>
      </w:r>
      <w:r w:rsidR="006677CB" w:rsidRPr="00BF5243">
        <w:rPr>
          <w:rFonts w:hAnsiTheme="majorBidi"/>
          <w:spacing w:val="6"/>
          <w:lang w:eastAsia="zh-CN"/>
        </w:rPr>
        <w:t>H.701</w:t>
      </w:r>
      <w:r w:rsidR="006677CB" w:rsidRPr="00BF5243">
        <w:rPr>
          <w:spacing w:val="6"/>
          <w:lang w:eastAsia="zh-CN"/>
        </w:rPr>
        <w:t>（错误恢复）、</w:t>
      </w:r>
      <w:r w:rsidR="006677CB" w:rsidRPr="00BF5243">
        <w:rPr>
          <w:rFonts w:hAnsiTheme="majorBidi"/>
          <w:spacing w:val="6"/>
          <w:lang w:eastAsia="zh-CN"/>
        </w:rPr>
        <w:t>H.721</w:t>
      </w:r>
      <w:r w:rsidR="006677CB" w:rsidRPr="00BF5243">
        <w:rPr>
          <w:spacing w:val="6"/>
          <w:lang w:eastAsia="zh-CN"/>
        </w:rPr>
        <w:t>（</w:t>
      </w:r>
      <w:r w:rsidR="006677CB" w:rsidRPr="00BF5243">
        <w:rPr>
          <w:rFonts w:hAnsiTheme="majorBidi"/>
          <w:spacing w:val="6"/>
          <w:lang w:eastAsia="zh-CN"/>
        </w:rPr>
        <w:t>IPTV</w:t>
      </w:r>
      <w:r w:rsidR="006677CB" w:rsidRPr="00BF5243">
        <w:rPr>
          <w:spacing w:val="6"/>
          <w:lang w:eastAsia="zh-CN"/>
        </w:rPr>
        <w:t>终端）、</w:t>
      </w:r>
      <w:r w:rsidR="006677CB" w:rsidRPr="00BF5243">
        <w:rPr>
          <w:rFonts w:hAnsiTheme="majorBidi"/>
          <w:spacing w:val="6"/>
          <w:lang w:eastAsia="zh-CN"/>
        </w:rPr>
        <w:t>H.740</w:t>
      </w:r>
      <w:r w:rsidR="006677CB" w:rsidRPr="00BF5243">
        <w:rPr>
          <w:spacing w:val="6"/>
          <w:lang w:eastAsia="zh-CN"/>
        </w:rPr>
        <w:t>（收视率调查）、</w:t>
      </w:r>
      <w:r w:rsidR="006677CB" w:rsidRPr="00BF5243">
        <w:rPr>
          <w:rFonts w:hAnsiTheme="majorBidi"/>
          <w:spacing w:val="6"/>
          <w:lang w:eastAsia="zh-CN"/>
        </w:rPr>
        <w:t>H.750</w:t>
      </w:r>
      <w:r w:rsidR="006677CB" w:rsidRPr="00BF5243">
        <w:rPr>
          <w:spacing w:val="6"/>
          <w:lang w:eastAsia="zh-CN"/>
        </w:rPr>
        <w:t>（元数据）、</w:t>
      </w:r>
      <w:r w:rsidR="006677CB" w:rsidRPr="00BF5243">
        <w:rPr>
          <w:rFonts w:hAnsiTheme="majorBidi"/>
          <w:spacing w:val="6"/>
          <w:lang w:eastAsia="zh-CN"/>
        </w:rPr>
        <w:t>H.761</w:t>
      </w:r>
      <w:r w:rsidR="006677CB" w:rsidRPr="00BF5243">
        <w:rPr>
          <w:spacing w:val="6"/>
          <w:lang w:eastAsia="zh-CN"/>
        </w:rPr>
        <w:t>（</w:t>
      </w:r>
      <w:proofErr w:type="spellStart"/>
      <w:r w:rsidR="006677CB" w:rsidRPr="00BF5243">
        <w:rPr>
          <w:rFonts w:hAnsiTheme="majorBidi"/>
          <w:spacing w:val="6"/>
          <w:lang w:eastAsia="zh-CN"/>
        </w:rPr>
        <w:t>Ginga</w:t>
      </w:r>
      <w:proofErr w:type="spellEnd"/>
      <w:r w:rsidR="006677CB" w:rsidRPr="00BF5243">
        <w:rPr>
          <w:rFonts w:hAnsiTheme="majorBidi"/>
          <w:spacing w:val="6"/>
          <w:lang w:eastAsia="zh-CN"/>
        </w:rPr>
        <w:t>-NCL</w:t>
      </w:r>
      <w:r w:rsidR="006677CB" w:rsidRPr="00BF5243">
        <w:rPr>
          <w:spacing w:val="6"/>
          <w:lang w:eastAsia="zh-CN"/>
        </w:rPr>
        <w:t>）、</w:t>
      </w:r>
      <w:r w:rsidR="006677CB" w:rsidRPr="00BF5243">
        <w:rPr>
          <w:rFonts w:hAnsiTheme="majorBidi"/>
          <w:spacing w:val="6"/>
          <w:lang w:eastAsia="zh-CN"/>
        </w:rPr>
        <w:t>H.762</w:t>
      </w:r>
      <w:r w:rsidR="006677CB" w:rsidRPr="00BF5243">
        <w:rPr>
          <w:spacing w:val="6"/>
          <w:lang w:eastAsia="zh-CN"/>
        </w:rPr>
        <w:t>（轻量级交互多媒体）和</w:t>
      </w:r>
      <w:r w:rsidR="006677CB" w:rsidRPr="00BF5243">
        <w:rPr>
          <w:rFonts w:hAnsiTheme="majorBidi"/>
          <w:spacing w:val="6"/>
          <w:lang w:eastAsia="zh-CN"/>
        </w:rPr>
        <w:t>H.770</w:t>
      </w:r>
      <w:r w:rsidR="006677CB">
        <w:rPr>
          <w:spacing w:val="6"/>
          <w:lang w:eastAsia="zh-CN"/>
        </w:rPr>
        <w:t>（业务发现）。测试结果报告将被纳入标准制定进程。测试活动仅限</w:t>
      </w:r>
      <w:r w:rsidR="006677CB" w:rsidRPr="00BF5243">
        <w:rPr>
          <w:spacing w:val="6"/>
          <w:lang w:eastAsia="zh-CN"/>
        </w:rPr>
        <w:t>执行</w:t>
      </w:r>
      <w:r w:rsidR="006677CB" w:rsidRPr="00BF5243">
        <w:rPr>
          <w:rFonts w:hAnsiTheme="majorBidi"/>
          <w:szCs w:val="24"/>
          <w:lang w:eastAsia="zh-CN"/>
        </w:rPr>
        <w:t>ITU-T IPTV</w:t>
      </w:r>
      <w:r w:rsidR="006677CB" w:rsidRPr="00BF5243">
        <w:rPr>
          <w:rFonts w:hAnsi="Calibri"/>
          <w:szCs w:val="24"/>
          <w:lang w:eastAsia="zh-CN"/>
        </w:rPr>
        <w:t>系列标准的组织的工程师参加。</w:t>
      </w:r>
    </w:p>
    <w:p w:rsidR="00541722" w:rsidRPr="00BF5243" w:rsidRDefault="006817A7" w:rsidP="007B775C">
      <w:pPr>
        <w:rPr>
          <w:rFonts w:hAnsiTheme="majorBidi"/>
          <w:lang w:eastAsia="zh-CN"/>
        </w:rPr>
      </w:pPr>
      <w:r>
        <w:rPr>
          <w:rFonts w:hAnsi="Calibri" w:hint="eastAsia"/>
          <w:szCs w:val="24"/>
          <w:lang w:eastAsia="zh-CN"/>
        </w:rPr>
        <w:t>4</w:t>
      </w:r>
      <w:r>
        <w:rPr>
          <w:rFonts w:hAnsi="Calibri" w:hint="eastAsia"/>
          <w:szCs w:val="24"/>
          <w:lang w:eastAsia="zh-CN"/>
        </w:rPr>
        <w:tab/>
      </w:r>
      <w:r w:rsidR="006677CB" w:rsidRPr="00ED78AE">
        <w:rPr>
          <w:rFonts w:hAnsiTheme="majorBidi"/>
          <w:b/>
          <w:bCs/>
          <w:szCs w:val="24"/>
          <w:lang w:eastAsia="zh-CN"/>
        </w:rPr>
        <w:t>2010</w:t>
      </w:r>
      <w:r w:rsidR="006677CB" w:rsidRPr="00BF5243">
        <w:rPr>
          <w:rFonts w:hAnsi="Calibri"/>
          <w:b/>
          <w:bCs/>
          <w:lang w:eastAsia="zh-CN"/>
        </w:rPr>
        <w:t>年</w:t>
      </w:r>
      <w:r w:rsidR="006677CB">
        <w:rPr>
          <w:rFonts w:hAnsiTheme="majorBidi" w:hint="eastAsia"/>
          <w:b/>
          <w:bCs/>
          <w:lang w:eastAsia="zh-CN"/>
        </w:rPr>
        <w:t>12</w:t>
      </w:r>
      <w:r w:rsidR="006677CB" w:rsidRPr="00BF5243">
        <w:rPr>
          <w:rFonts w:hAnsi="Calibri"/>
          <w:b/>
          <w:bCs/>
          <w:lang w:eastAsia="zh-CN"/>
        </w:rPr>
        <w:t>月</w:t>
      </w:r>
      <w:r w:rsidR="00265CFC">
        <w:rPr>
          <w:rFonts w:hAnsiTheme="majorBidi" w:hint="eastAsia"/>
          <w:b/>
          <w:bCs/>
          <w:lang w:eastAsia="zh-CN"/>
        </w:rPr>
        <w:t>16</w:t>
      </w:r>
      <w:r w:rsidR="00265CFC">
        <w:rPr>
          <w:rFonts w:hAnsiTheme="majorBidi" w:hint="eastAsia"/>
          <w:b/>
          <w:bCs/>
          <w:lang w:eastAsia="zh-CN"/>
        </w:rPr>
        <w:t>和</w:t>
      </w:r>
      <w:r w:rsidR="00265CFC">
        <w:rPr>
          <w:rFonts w:hAnsiTheme="majorBidi" w:hint="eastAsia"/>
          <w:b/>
          <w:bCs/>
          <w:lang w:eastAsia="zh-CN"/>
        </w:rPr>
        <w:t>17</w:t>
      </w:r>
      <w:r w:rsidR="006677CB" w:rsidRPr="00BF5243">
        <w:rPr>
          <w:rFonts w:hAnsi="Calibri"/>
          <w:b/>
          <w:bCs/>
          <w:lang w:eastAsia="zh-CN"/>
        </w:rPr>
        <w:t>日</w:t>
      </w:r>
      <w:r w:rsidR="006677CB" w:rsidRPr="00BF5243">
        <w:rPr>
          <w:rFonts w:hAnsi="Calibri"/>
          <w:lang w:eastAsia="zh-CN"/>
        </w:rPr>
        <w:t>将为</w:t>
      </w:r>
      <w:r w:rsidR="006677CB" w:rsidRPr="00BF5243">
        <w:rPr>
          <w:rFonts w:hAnsi="Calibri"/>
          <w:b/>
          <w:bCs/>
          <w:lang w:eastAsia="zh-CN"/>
        </w:rPr>
        <w:t>现场展示</w:t>
      </w:r>
      <w:r w:rsidR="006677CB" w:rsidRPr="00BF5243">
        <w:rPr>
          <w:rFonts w:hAnsi="Calibri"/>
          <w:lang w:eastAsia="zh-CN"/>
        </w:rPr>
        <w:t>，由参与</w:t>
      </w:r>
      <w:r w:rsidR="006677CB">
        <w:rPr>
          <w:rFonts w:hAnsi="Calibri" w:hint="eastAsia"/>
          <w:lang w:eastAsia="zh-CN"/>
        </w:rPr>
        <w:t>活动的</w:t>
      </w:r>
      <w:r w:rsidR="006677CB" w:rsidRPr="00BF5243">
        <w:rPr>
          <w:rFonts w:hAnsi="Calibri"/>
          <w:lang w:eastAsia="zh-CN"/>
        </w:rPr>
        <w:t>组织展示其</w:t>
      </w:r>
      <w:r w:rsidR="006677CB" w:rsidRPr="00BF5243">
        <w:rPr>
          <w:rFonts w:hAnsiTheme="majorBidi"/>
          <w:lang w:eastAsia="zh-CN"/>
        </w:rPr>
        <w:t>IPTV</w:t>
      </w:r>
      <w:r w:rsidR="006677CB" w:rsidRPr="00BF5243">
        <w:rPr>
          <w:rFonts w:hAnsi="Calibri"/>
          <w:lang w:eastAsia="zh-CN"/>
        </w:rPr>
        <w:t>产品的互操作性。现场展示向公众开放。</w:t>
      </w:r>
    </w:p>
    <w:p w:rsidR="00541722" w:rsidRPr="00BF5243" w:rsidRDefault="00531394" w:rsidP="004F1E38">
      <w:pPr>
        <w:rPr>
          <w:rFonts w:hAnsiTheme="majorBidi"/>
          <w:szCs w:val="24"/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</w:r>
      <w:r w:rsidR="00265CFC">
        <w:rPr>
          <w:rFonts w:hint="eastAsia"/>
          <w:lang w:eastAsia="zh-CN"/>
        </w:rPr>
        <w:t>国际电联</w:t>
      </w:r>
      <w:r w:rsidR="000773AD">
        <w:rPr>
          <w:rFonts w:hint="eastAsia"/>
          <w:lang w:eastAsia="zh-CN"/>
        </w:rPr>
        <w:t>的</w:t>
      </w:r>
      <w:r w:rsidR="00265CFC" w:rsidRPr="00265CFC">
        <w:rPr>
          <w:rFonts w:hint="eastAsia"/>
          <w:szCs w:val="24"/>
          <w:lang w:val="en-US" w:eastAsia="zh-CN"/>
        </w:rPr>
        <w:t>互操作性</w:t>
      </w:r>
      <w:r w:rsidR="00265CFC">
        <w:rPr>
          <w:rFonts w:hint="eastAsia"/>
          <w:szCs w:val="24"/>
          <w:lang w:val="en-US" w:eastAsia="zh-CN"/>
        </w:rPr>
        <w:t>网页（</w:t>
      </w:r>
      <w:r w:rsidR="00265CFC" w:rsidRPr="00265CFC">
        <w:rPr>
          <w:rFonts w:hint="eastAsia"/>
          <w:b/>
          <w:bCs/>
          <w:szCs w:val="24"/>
          <w:u w:val="single"/>
          <w:lang w:val="en-US" w:eastAsia="zh-CN"/>
        </w:rPr>
        <w:t>itu.int/</w:t>
      </w:r>
      <w:proofErr w:type="spellStart"/>
      <w:r w:rsidR="00265CFC" w:rsidRPr="00265CFC">
        <w:rPr>
          <w:rFonts w:hint="eastAsia"/>
          <w:b/>
          <w:bCs/>
          <w:szCs w:val="24"/>
          <w:u w:val="single"/>
          <w:lang w:val="en-US" w:eastAsia="zh-CN"/>
        </w:rPr>
        <w:t>interop</w:t>
      </w:r>
      <w:proofErr w:type="spellEnd"/>
      <w:r w:rsidR="00265CFC">
        <w:rPr>
          <w:rFonts w:hint="eastAsia"/>
          <w:szCs w:val="24"/>
          <w:lang w:val="en-US" w:eastAsia="zh-CN"/>
        </w:rPr>
        <w:t>）将提供这次活动的有关细节，并将酌情保持更新。</w:t>
      </w:r>
    </w:p>
    <w:p w:rsidR="00541722" w:rsidRPr="00BF5243" w:rsidRDefault="00531394" w:rsidP="007B775C">
      <w:pPr>
        <w:rPr>
          <w:rFonts w:hAnsiTheme="majorBidi"/>
          <w:szCs w:val="24"/>
          <w:lang w:eastAsia="zh-CN"/>
        </w:rPr>
      </w:pPr>
      <w:r>
        <w:rPr>
          <w:rFonts w:hAnsi="Calibri" w:hint="eastAsia"/>
          <w:szCs w:val="24"/>
          <w:lang w:eastAsia="zh-CN"/>
        </w:rPr>
        <w:t>6</w:t>
      </w:r>
      <w:r>
        <w:rPr>
          <w:rFonts w:hAnsi="Calibri" w:hint="eastAsia"/>
          <w:szCs w:val="24"/>
          <w:lang w:eastAsia="zh-CN"/>
        </w:rPr>
        <w:tab/>
      </w:r>
      <w:r w:rsidR="00265CFC" w:rsidRPr="00BF5243">
        <w:rPr>
          <w:lang w:eastAsia="zh-CN"/>
        </w:rPr>
        <w:t>请监管机构、广播公司、电信公司、系统集成商、测试实验室、技术专家、大学、公众等前来参观展示活动。国际电联将编制一份专用的一对一展示</w:t>
      </w:r>
      <w:r w:rsidR="007B775C">
        <w:rPr>
          <w:rFonts w:hint="eastAsia"/>
          <w:lang w:eastAsia="zh-CN"/>
        </w:rPr>
        <w:t>预约时间</w:t>
      </w:r>
      <w:r w:rsidR="00265CFC">
        <w:rPr>
          <w:rFonts w:hint="eastAsia"/>
          <w:lang w:eastAsia="zh-CN"/>
        </w:rPr>
        <w:t>表</w:t>
      </w:r>
      <w:r w:rsidR="00265CFC" w:rsidRPr="00BF5243">
        <w:rPr>
          <w:lang w:eastAsia="zh-CN"/>
        </w:rPr>
        <w:t>。另外还有小组</w:t>
      </w:r>
      <w:r w:rsidR="00265CFC" w:rsidRPr="00BF5243">
        <w:rPr>
          <w:rFonts w:hAnsiTheme="majorBidi"/>
          <w:szCs w:val="24"/>
          <w:lang w:eastAsia="zh-CN"/>
        </w:rPr>
        <w:t>/</w:t>
      </w:r>
      <w:r w:rsidR="00265CFC" w:rsidRPr="00BF5243">
        <w:rPr>
          <w:lang w:eastAsia="zh-CN"/>
        </w:rPr>
        <w:t>公开展示会。</w:t>
      </w:r>
      <w:r w:rsidR="00265CFC" w:rsidRPr="00265CFC">
        <w:rPr>
          <w:b/>
          <w:bCs/>
          <w:lang w:eastAsia="zh-CN"/>
        </w:rPr>
        <w:t>展示活动</w:t>
      </w:r>
      <w:r w:rsidR="00265CFC" w:rsidRPr="00265CFC">
        <w:rPr>
          <w:rFonts w:hint="eastAsia"/>
          <w:b/>
          <w:bCs/>
          <w:lang w:eastAsia="zh-CN"/>
        </w:rPr>
        <w:t>将</w:t>
      </w:r>
      <w:r w:rsidR="00265CFC" w:rsidRPr="00265CFC">
        <w:rPr>
          <w:b/>
          <w:bCs/>
          <w:lang w:eastAsia="zh-CN"/>
        </w:rPr>
        <w:t>免费向参观者</w:t>
      </w:r>
      <w:r w:rsidR="00265CFC" w:rsidRPr="00BF5243">
        <w:rPr>
          <w:lang w:eastAsia="zh-CN"/>
        </w:rPr>
        <w:t>（国际电联成员和非成员）</w:t>
      </w:r>
      <w:r w:rsidR="00265CFC" w:rsidRPr="00265CFC">
        <w:rPr>
          <w:b/>
          <w:bCs/>
          <w:lang w:eastAsia="zh-CN"/>
        </w:rPr>
        <w:t>开放</w:t>
      </w:r>
      <w:r w:rsidR="00265CFC" w:rsidRPr="00BF5243">
        <w:rPr>
          <w:lang w:eastAsia="zh-CN"/>
        </w:rPr>
        <w:t>，</w:t>
      </w:r>
      <w:r w:rsidR="00265CFC" w:rsidRPr="00BF5243">
        <w:rPr>
          <w:rFonts w:hAnsiTheme="majorBidi"/>
          <w:b/>
          <w:bCs/>
          <w:color w:val="000000"/>
          <w:szCs w:val="24"/>
          <w:lang w:eastAsia="zh-CN"/>
        </w:rPr>
        <w:t>请通过</w:t>
      </w:r>
      <w:hyperlink r:id="rId12" w:history="1">
        <w:r w:rsidR="00265CFC" w:rsidRPr="00531394">
          <w:rPr>
            <w:rStyle w:val="Hyperlink"/>
            <w:rFonts w:asciiTheme="majorBidi" w:hAnsiTheme="majorBidi" w:cstheme="majorBidi"/>
            <w:b/>
            <w:bCs/>
            <w:szCs w:val="24"/>
            <w:lang w:eastAsia="zh-CN"/>
          </w:rPr>
          <w:t>intero</w:t>
        </w:r>
        <w:r w:rsidR="00265CFC" w:rsidRPr="00531394">
          <w:rPr>
            <w:rStyle w:val="Hyperlink"/>
            <w:rFonts w:asciiTheme="majorBidi" w:hAnsiTheme="majorBidi" w:cstheme="majorBidi"/>
            <w:b/>
            <w:bCs/>
            <w:szCs w:val="24"/>
            <w:lang w:eastAsia="zh-CN"/>
          </w:rPr>
          <w:t>p</w:t>
        </w:r>
        <w:r w:rsidR="00265CFC" w:rsidRPr="00531394">
          <w:rPr>
            <w:rStyle w:val="Hyperlink"/>
            <w:rFonts w:asciiTheme="majorBidi" w:hAnsiTheme="majorBidi" w:cstheme="majorBidi"/>
            <w:b/>
            <w:bCs/>
            <w:szCs w:val="24"/>
            <w:lang w:eastAsia="zh-CN"/>
          </w:rPr>
          <w:t>@itu.int</w:t>
        </w:r>
      </w:hyperlink>
      <w:r w:rsidR="00265CFC" w:rsidRPr="00BF5243">
        <w:rPr>
          <w:rFonts w:hAnsiTheme="majorBidi"/>
          <w:b/>
          <w:bCs/>
          <w:color w:val="000000"/>
          <w:szCs w:val="24"/>
          <w:lang w:eastAsia="zh-CN"/>
        </w:rPr>
        <w:t>与我们联系，</w:t>
      </w:r>
      <w:r w:rsidR="007B775C">
        <w:rPr>
          <w:rFonts w:hAnsiTheme="majorBidi" w:hint="eastAsia"/>
          <w:b/>
          <w:bCs/>
          <w:color w:val="000000"/>
          <w:szCs w:val="24"/>
          <w:lang w:eastAsia="zh-CN"/>
        </w:rPr>
        <w:t>以确保您的</w:t>
      </w:r>
      <w:r w:rsidR="00265CFC" w:rsidRPr="00BF5243">
        <w:rPr>
          <w:rFonts w:hAnsiTheme="majorBidi"/>
          <w:b/>
          <w:bCs/>
          <w:color w:val="000000"/>
          <w:szCs w:val="24"/>
          <w:lang w:eastAsia="zh-CN"/>
        </w:rPr>
        <w:t>席位</w:t>
      </w:r>
      <w:r w:rsidR="00265CFC" w:rsidRPr="00BF5243">
        <w:rPr>
          <w:rFonts w:hAnsiTheme="majorBidi"/>
          <w:color w:val="000000"/>
          <w:szCs w:val="24"/>
          <w:lang w:eastAsia="zh-CN"/>
        </w:rPr>
        <w:t>。</w:t>
      </w:r>
    </w:p>
    <w:p w:rsidR="00265CFC" w:rsidRDefault="00531394" w:rsidP="007B775C">
      <w:pPr>
        <w:rPr>
          <w:lang w:eastAsia="zh-CN"/>
        </w:rPr>
      </w:pPr>
      <w:r>
        <w:rPr>
          <w:rFonts w:hAnsi="Calibri" w:hint="eastAsia"/>
          <w:szCs w:val="24"/>
          <w:lang w:eastAsia="zh-CN"/>
        </w:rPr>
        <w:lastRenderedPageBreak/>
        <w:t>7</w:t>
      </w:r>
      <w:r>
        <w:rPr>
          <w:rFonts w:hAnsi="Calibri" w:hint="eastAsia"/>
          <w:szCs w:val="24"/>
          <w:lang w:eastAsia="zh-CN"/>
        </w:rPr>
        <w:tab/>
      </w:r>
      <w:r w:rsidR="00265CFC" w:rsidRPr="00BF5243">
        <w:rPr>
          <w:rFonts w:hAnsi="Calibri"/>
          <w:szCs w:val="24"/>
          <w:lang w:eastAsia="zh-CN"/>
        </w:rPr>
        <w:t>国际电联第</w:t>
      </w:r>
      <w:r w:rsidR="00D652CC">
        <w:rPr>
          <w:rFonts w:hAnsiTheme="majorBidi" w:hint="eastAsia"/>
          <w:szCs w:val="24"/>
          <w:lang w:eastAsia="zh-CN"/>
        </w:rPr>
        <w:t>3</w:t>
      </w:r>
      <w:r w:rsidR="00265CFC" w:rsidRPr="00BF5243">
        <w:rPr>
          <w:rFonts w:hAnsi="Calibri"/>
          <w:szCs w:val="24"/>
          <w:lang w:eastAsia="zh-CN"/>
        </w:rPr>
        <w:t>届</w:t>
      </w:r>
      <w:r w:rsidR="00265CFC" w:rsidRPr="00BF5243">
        <w:rPr>
          <w:rFonts w:hAnsiTheme="majorBidi"/>
          <w:szCs w:val="24"/>
          <w:lang w:eastAsia="zh-CN"/>
        </w:rPr>
        <w:t>IPTV</w:t>
      </w:r>
      <w:r w:rsidR="00265CFC" w:rsidRPr="00BF5243">
        <w:rPr>
          <w:rFonts w:hAnsi="Calibri"/>
          <w:szCs w:val="24"/>
          <w:lang w:eastAsia="zh-CN"/>
        </w:rPr>
        <w:t>互操作性活动立足于</w:t>
      </w:r>
      <w:r w:rsidR="00265CFC" w:rsidRPr="00BF5243">
        <w:rPr>
          <w:rFonts w:hAnsiTheme="majorBidi"/>
          <w:szCs w:val="24"/>
          <w:lang w:eastAsia="zh-CN"/>
        </w:rPr>
        <w:t>2010</w:t>
      </w:r>
      <w:r w:rsidR="00265CFC" w:rsidRPr="00BF5243">
        <w:rPr>
          <w:rFonts w:hAnsi="Calibri"/>
          <w:szCs w:val="24"/>
          <w:lang w:eastAsia="zh-CN"/>
        </w:rPr>
        <w:t>年</w:t>
      </w:r>
      <w:r w:rsidR="00265CFC" w:rsidRPr="00BF5243">
        <w:rPr>
          <w:rFonts w:hAnsiTheme="majorBidi"/>
          <w:szCs w:val="24"/>
          <w:lang w:eastAsia="zh-CN"/>
        </w:rPr>
        <w:t>7</w:t>
      </w:r>
      <w:r w:rsidR="00265CFC" w:rsidRPr="00BF5243">
        <w:rPr>
          <w:rFonts w:hAnsi="Calibri"/>
          <w:szCs w:val="24"/>
          <w:lang w:eastAsia="zh-CN"/>
        </w:rPr>
        <w:t>月在日内瓦</w:t>
      </w:r>
      <w:r w:rsidR="00265CFC">
        <w:rPr>
          <w:rFonts w:hAnsi="Calibri" w:hint="eastAsia"/>
          <w:szCs w:val="24"/>
          <w:lang w:eastAsia="zh-CN"/>
        </w:rPr>
        <w:t>以及</w:t>
      </w:r>
      <w:r w:rsidR="00265CFC">
        <w:rPr>
          <w:rFonts w:hAnsi="Calibri" w:hint="eastAsia"/>
          <w:szCs w:val="24"/>
          <w:lang w:eastAsia="zh-CN"/>
        </w:rPr>
        <w:t>2010</w:t>
      </w:r>
      <w:r w:rsidR="00265CFC">
        <w:rPr>
          <w:rFonts w:hAnsi="Calibri" w:hint="eastAsia"/>
          <w:szCs w:val="24"/>
          <w:lang w:eastAsia="zh-CN"/>
        </w:rPr>
        <w:t>年</w:t>
      </w:r>
      <w:r w:rsidR="00265CFC">
        <w:rPr>
          <w:rFonts w:hAnsi="Calibri" w:hint="eastAsia"/>
          <w:szCs w:val="24"/>
          <w:lang w:eastAsia="zh-CN"/>
        </w:rPr>
        <w:t>9</w:t>
      </w:r>
      <w:r w:rsidR="00265CFC">
        <w:rPr>
          <w:rFonts w:hAnsi="Calibri" w:hint="eastAsia"/>
          <w:szCs w:val="24"/>
          <w:lang w:eastAsia="zh-CN"/>
        </w:rPr>
        <w:t>月在新加坡</w:t>
      </w:r>
      <w:r w:rsidR="00265CFC" w:rsidRPr="00BF5243">
        <w:rPr>
          <w:rFonts w:hAnsi="Calibri"/>
          <w:szCs w:val="24"/>
          <w:lang w:eastAsia="zh-CN"/>
        </w:rPr>
        <w:t>举办</w:t>
      </w:r>
      <w:r w:rsidR="00265CFC">
        <w:rPr>
          <w:rFonts w:hAnsi="Calibri" w:hint="eastAsia"/>
          <w:szCs w:val="24"/>
          <w:lang w:eastAsia="zh-CN"/>
        </w:rPr>
        <w:t>的</w:t>
      </w:r>
      <w:r w:rsidR="00265CFC" w:rsidRPr="00BF5243">
        <w:rPr>
          <w:rFonts w:hAnsi="Calibri"/>
          <w:szCs w:val="24"/>
          <w:lang w:eastAsia="zh-CN"/>
        </w:rPr>
        <w:t>国际电联第</w:t>
      </w:r>
      <w:r w:rsidR="00265CFC" w:rsidRPr="00BF5243">
        <w:rPr>
          <w:rFonts w:hAnsiTheme="majorBidi"/>
          <w:szCs w:val="24"/>
          <w:lang w:eastAsia="zh-CN"/>
        </w:rPr>
        <w:t>1</w:t>
      </w:r>
      <w:r w:rsidR="00265CFC">
        <w:rPr>
          <w:rFonts w:hAnsi="Calibri" w:hint="eastAsia"/>
          <w:szCs w:val="24"/>
          <w:lang w:eastAsia="zh-CN"/>
        </w:rPr>
        <w:t>和第</w:t>
      </w:r>
      <w:r w:rsidR="00265CFC">
        <w:rPr>
          <w:rFonts w:hAnsi="Calibri" w:hint="eastAsia"/>
          <w:szCs w:val="24"/>
          <w:lang w:eastAsia="zh-CN"/>
        </w:rPr>
        <w:t>2</w:t>
      </w:r>
      <w:r w:rsidR="00265CFC">
        <w:rPr>
          <w:rFonts w:hAnsi="Calibri" w:hint="eastAsia"/>
          <w:szCs w:val="24"/>
          <w:lang w:eastAsia="zh-CN"/>
        </w:rPr>
        <w:t>届</w:t>
      </w:r>
      <w:r w:rsidR="00265CFC" w:rsidRPr="00BF5243">
        <w:rPr>
          <w:rFonts w:hAnsi="Calibri"/>
          <w:szCs w:val="24"/>
          <w:lang w:eastAsia="zh-CN"/>
        </w:rPr>
        <w:t>互操作性活动的成功。</w:t>
      </w:r>
      <w:r w:rsidR="007B775C">
        <w:rPr>
          <w:rFonts w:hAnsi="Calibri" w:hint="eastAsia"/>
          <w:szCs w:val="24"/>
          <w:lang w:eastAsia="zh-CN"/>
        </w:rPr>
        <w:t>有关前两</w:t>
      </w:r>
      <w:r w:rsidR="00D652CC">
        <w:rPr>
          <w:rFonts w:hAnsi="Calibri" w:hint="eastAsia"/>
          <w:szCs w:val="24"/>
          <w:lang w:eastAsia="zh-CN"/>
        </w:rPr>
        <w:t>届</w:t>
      </w:r>
      <w:r w:rsidR="00D652CC" w:rsidRPr="00BF5243">
        <w:rPr>
          <w:rFonts w:hAnsi="Calibri"/>
          <w:szCs w:val="24"/>
          <w:lang w:eastAsia="zh-CN"/>
        </w:rPr>
        <w:t>互操作性活动的</w:t>
      </w:r>
      <w:r w:rsidR="00D652CC">
        <w:rPr>
          <w:rFonts w:hAnsi="Calibri" w:hint="eastAsia"/>
          <w:szCs w:val="24"/>
          <w:lang w:eastAsia="zh-CN"/>
        </w:rPr>
        <w:t>成果以及</w:t>
      </w:r>
      <w:r w:rsidR="00265CFC" w:rsidRPr="00BF5243">
        <w:rPr>
          <w:lang w:eastAsia="zh-CN"/>
        </w:rPr>
        <w:t>简短的精彩视频</w:t>
      </w:r>
      <w:r w:rsidR="007B775C">
        <w:rPr>
          <w:rFonts w:hint="eastAsia"/>
          <w:lang w:eastAsia="zh-CN"/>
        </w:rPr>
        <w:t>，可访问</w:t>
      </w:r>
      <w:r w:rsidR="00D652CC">
        <w:rPr>
          <w:rFonts w:hint="eastAsia"/>
          <w:lang w:eastAsia="zh-CN"/>
        </w:rPr>
        <w:t>国际电联的</w:t>
      </w:r>
      <w:r w:rsidR="00D652CC" w:rsidRPr="00BF5243">
        <w:rPr>
          <w:rFonts w:hAnsiTheme="majorBidi"/>
          <w:color w:val="000000"/>
          <w:szCs w:val="24"/>
          <w:lang w:eastAsia="zh-CN"/>
        </w:rPr>
        <w:t>互操作性</w:t>
      </w:r>
      <w:r w:rsidR="00D652CC">
        <w:rPr>
          <w:rFonts w:hAnsiTheme="majorBidi" w:hint="eastAsia"/>
          <w:color w:val="000000"/>
          <w:szCs w:val="24"/>
          <w:lang w:eastAsia="zh-CN"/>
        </w:rPr>
        <w:t>网页</w:t>
      </w:r>
      <w:r w:rsidR="00265CFC" w:rsidRPr="00BF5243">
        <w:rPr>
          <w:lang w:eastAsia="zh-CN"/>
        </w:rPr>
        <w:t>：</w:t>
      </w:r>
      <w:r w:rsidR="00D652CC" w:rsidRPr="00265CFC">
        <w:rPr>
          <w:rFonts w:hint="eastAsia"/>
          <w:b/>
          <w:bCs/>
          <w:szCs w:val="24"/>
          <w:u w:val="single"/>
          <w:lang w:val="en-US" w:eastAsia="zh-CN"/>
        </w:rPr>
        <w:t>itu.int/</w:t>
      </w:r>
      <w:proofErr w:type="spellStart"/>
      <w:r w:rsidR="00D652CC" w:rsidRPr="00265CFC">
        <w:rPr>
          <w:rFonts w:hint="eastAsia"/>
          <w:b/>
          <w:bCs/>
          <w:szCs w:val="24"/>
          <w:u w:val="single"/>
          <w:lang w:val="en-US" w:eastAsia="zh-CN"/>
        </w:rPr>
        <w:t>interop</w:t>
      </w:r>
      <w:proofErr w:type="spellEnd"/>
      <w:r w:rsidR="00D652CC" w:rsidRPr="00D652CC">
        <w:rPr>
          <w:rFonts w:hint="eastAsia"/>
          <w:szCs w:val="24"/>
          <w:lang w:val="en-US" w:eastAsia="zh-CN"/>
        </w:rPr>
        <w:t>。</w:t>
      </w:r>
    </w:p>
    <w:p w:rsidR="00265CFC" w:rsidRDefault="00265CFC" w:rsidP="00737545">
      <w:pPr>
        <w:rPr>
          <w:lang w:eastAsia="zh-CN"/>
        </w:rPr>
      </w:pP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ab/>
      </w:r>
      <w:r w:rsidR="007B775C">
        <w:rPr>
          <w:rFonts w:hint="eastAsia"/>
          <w:lang w:eastAsia="zh-CN"/>
        </w:rPr>
        <w:t>有关海关</w:t>
      </w:r>
      <w:r w:rsidR="00737545">
        <w:rPr>
          <w:rFonts w:hint="eastAsia"/>
          <w:lang w:eastAsia="zh-CN"/>
        </w:rPr>
        <w:t>和</w:t>
      </w:r>
      <w:r w:rsidR="007B775C">
        <w:rPr>
          <w:rFonts w:hint="eastAsia"/>
          <w:lang w:eastAsia="zh-CN"/>
        </w:rPr>
        <w:t>酒店信息</w:t>
      </w:r>
      <w:r w:rsidR="00737545">
        <w:rPr>
          <w:rFonts w:hint="eastAsia"/>
          <w:lang w:eastAsia="zh-CN"/>
        </w:rPr>
        <w:t>以</w:t>
      </w:r>
      <w:r w:rsidR="007B775C">
        <w:rPr>
          <w:rFonts w:hint="eastAsia"/>
          <w:lang w:eastAsia="zh-CN"/>
        </w:rPr>
        <w:t>及其他有益的信息，见</w:t>
      </w:r>
      <w:r w:rsidR="007B775C">
        <w:rPr>
          <w:rFonts w:hint="eastAsia"/>
          <w:szCs w:val="24"/>
          <w:lang w:val="en-US" w:eastAsia="zh-CN"/>
        </w:rPr>
        <w:t>：</w:t>
      </w:r>
      <w:r w:rsidRPr="00265CFC">
        <w:rPr>
          <w:rFonts w:hint="eastAsia"/>
          <w:b/>
          <w:bCs/>
          <w:szCs w:val="24"/>
          <w:u w:val="single"/>
          <w:lang w:val="en-US" w:eastAsia="zh-CN"/>
        </w:rPr>
        <w:t>itu.int/</w:t>
      </w:r>
      <w:proofErr w:type="spellStart"/>
      <w:r w:rsidRPr="00265CFC">
        <w:rPr>
          <w:rFonts w:hint="eastAsia"/>
          <w:b/>
          <w:bCs/>
          <w:szCs w:val="24"/>
          <w:u w:val="single"/>
          <w:lang w:val="en-US" w:eastAsia="zh-CN"/>
        </w:rPr>
        <w:t>interop</w:t>
      </w:r>
      <w:proofErr w:type="spellEnd"/>
      <w:r>
        <w:rPr>
          <w:rFonts w:hint="eastAsia"/>
          <w:lang w:eastAsia="zh-CN"/>
        </w:rPr>
        <w:t>。</w:t>
      </w:r>
    </w:p>
    <w:p w:rsidR="00914CE9" w:rsidRPr="003A1136" w:rsidRDefault="00265CFC" w:rsidP="007B775C">
      <w:pPr>
        <w:rPr>
          <w:rFonts w:hAnsiTheme="majorBidi"/>
          <w:color w:val="000000"/>
          <w:szCs w:val="24"/>
          <w:lang w:eastAsia="zh-CN"/>
        </w:rPr>
      </w:pP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ab/>
      </w:r>
      <w:r w:rsidR="00541722" w:rsidRPr="00BF5243">
        <w:rPr>
          <w:rFonts w:hAnsiTheme="majorBidi"/>
          <w:color w:val="000000"/>
          <w:szCs w:val="24"/>
          <w:lang w:eastAsia="zh-CN"/>
        </w:rPr>
        <w:t>欢迎您就国际电联互操作性活动做出反馈和贡献。如需任何进一步的资料，请通过</w:t>
      </w:r>
      <w:r w:rsidR="00035704">
        <w:fldChar w:fldCharType="begin"/>
      </w:r>
      <w:r w:rsidR="00035704">
        <w:rPr>
          <w:lang w:eastAsia="zh-CN"/>
        </w:rPr>
        <w:instrText>HYPERLINK "mailto:interop@itu.int"</w:instrText>
      </w:r>
      <w:r w:rsidR="00035704">
        <w:fldChar w:fldCharType="separate"/>
      </w:r>
      <w:r w:rsidR="00541722" w:rsidRPr="00BF5243">
        <w:rPr>
          <w:rStyle w:val="Hyperlink"/>
          <w:rFonts w:asciiTheme="majorBidi" w:hAnsiTheme="majorBidi" w:cstheme="majorBidi"/>
          <w:szCs w:val="24"/>
          <w:lang w:eastAsia="zh-CN"/>
        </w:rPr>
        <w:t>interop</w:t>
      </w:r>
      <w:r w:rsidR="00541722" w:rsidRPr="00BF5243">
        <w:rPr>
          <w:rStyle w:val="Hyperlink"/>
          <w:rFonts w:asciiTheme="majorBidi" w:hAnsiTheme="majorBidi" w:cstheme="majorBidi"/>
          <w:szCs w:val="24"/>
          <w:lang w:eastAsia="zh-CN"/>
        </w:rPr>
        <w:t>@</w:t>
      </w:r>
      <w:r w:rsidR="00541722" w:rsidRPr="00BF5243">
        <w:rPr>
          <w:rStyle w:val="Hyperlink"/>
          <w:rFonts w:asciiTheme="majorBidi" w:hAnsiTheme="majorBidi" w:cstheme="majorBidi"/>
          <w:szCs w:val="24"/>
          <w:lang w:eastAsia="zh-CN"/>
        </w:rPr>
        <w:t>itu.int</w:t>
      </w:r>
      <w:r w:rsidR="00035704">
        <w:fldChar w:fldCharType="end"/>
      </w:r>
      <w:r w:rsidR="00541722" w:rsidRPr="00BF5243">
        <w:rPr>
          <w:rFonts w:hAnsiTheme="majorBidi"/>
          <w:color w:val="000000"/>
          <w:szCs w:val="24"/>
          <w:lang w:eastAsia="zh-CN"/>
        </w:rPr>
        <w:t>与我联系。</w:t>
      </w:r>
    </w:p>
    <w:p w:rsidR="00541722" w:rsidRPr="00BF5243" w:rsidRDefault="00541722" w:rsidP="007B775C">
      <w:pPr>
        <w:pStyle w:val="Normalaftertitle"/>
        <w:rPr>
          <w:lang w:eastAsia="zh-CN"/>
        </w:rPr>
      </w:pPr>
      <w:r w:rsidRPr="00BF5243">
        <w:rPr>
          <w:lang w:eastAsia="zh-CN"/>
        </w:rPr>
        <w:t>顺致敬意！</w:t>
      </w:r>
    </w:p>
    <w:p w:rsidR="00541722" w:rsidRPr="00BF5243" w:rsidRDefault="00541722" w:rsidP="00BC7EE5">
      <w:pPr>
        <w:rPr>
          <w:lang w:eastAsia="zh-CN"/>
        </w:rPr>
      </w:pPr>
    </w:p>
    <w:p w:rsidR="00541722" w:rsidRPr="00BF5243" w:rsidRDefault="00541722" w:rsidP="00BC7EE5">
      <w:pPr>
        <w:rPr>
          <w:lang w:eastAsia="zh-CN"/>
        </w:rPr>
      </w:pPr>
    </w:p>
    <w:p w:rsidR="00541722" w:rsidRDefault="00541722" w:rsidP="00BC7EE5">
      <w:pPr>
        <w:rPr>
          <w:lang w:eastAsia="zh-CN"/>
        </w:rPr>
      </w:pPr>
    </w:p>
    <w:p w:rsidR="00531394" w:rsidRPr="00BF5243" w:rsidRDefault="00531394" w:rsidP="00BC7EE5">
      <w:pPr>
        <w:rPr>
          <w:lang w:eastAsia="zh-CN"/>
        </w:rPr>
      </w:pPr>
    </w:p>
    <w:p w:rsidR="00541722" w:rsidRPr="00BF5243" w:rsidRDefault="00541722" w:rsidP="00BC7EE5">
      <w:pPr>
        <w:rPr>
          <w:lang w:eastAsia="zh-CN"/>
        </w:rPr>
      </w:pPr>
      <w:r w:rsidRPr="00BF5243">
        <w:rPr>
          <w:lang w:eastAsia="zh-CN"/>
        </w:rPr>
        <w:t>电信标准化局主任</w:t>
      </w:r>
    </w:p>
    <w:p w:rsidR="00CC1092" w:rsidRDefault="00541722" w:rsidP="00BC7EE5">
      <w:pPr>
        <w:spacing w:before="0" w:after="20"/>
        <w:rPr>
          <w:lang w:eastAsia="zh-CN"/>
        </w:rPr>
      </w:pPr>
      <w:r w:rsidRPr="00BF5243">
        <w:rPr>
          <w:lang w:eastAsia="zh-CN"/>
        </w:rPr>
        <w:t>马尔科姆</w:t>
      </w:r>
      <w:r w:rsidR="00944FA2" w:rsidRPr="003B0AE6">
        <w:rPr>
          <w:b/>
          <w:sz w:val="22"/>
          <w:lang w:val="fr-FR" w:eastAsia="zh-CN"/>
        </w:rPr>
        <w:t>∙</w:t>
      </w:r>
      <w:r w:rsidRPr="00BF5243">
        <w:rPr>
          <w:lang w:eastAsia="zh-CN"/>
        </w:rPr>
        <w:t>琼森</w:t>
      </w:r>
    </w:p>
    <w:p w:rsidR="00CC1092" w:rsidRDefault="00CC1092" w:rsidP="00BC7EE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</w:p>
    <w:p w:rsidR="00CC1092" w:rsidRDefault="00CC1092" w:rsidP="00BC7EE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</w:p>
    <w:p w:rsidR="00CC1092" w:rsidRDefault="00CC1092" w:rsidP="00BC7EE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eastAsia="zh-CN"/>
        </w:rPr>
      </w:pPr>
      <w:r w:rsidRPr="00CC1092">
        <w:rPr>
          <w:rFonts w:ascii="Calibri" w:hAnsi="Calibri" w:hint="eastAsia"/>
          <w:b/>
          <w:bCs/>
          <w:szCs w:val="24"/>
          <w:lang w:eastAsia="zh-CN"/>
        </w:rPr>
        <w:t>附件：</w:t>
      </w:r>
      <w:r w:rsidRPr="004077F7">
        <w:rPr>
          <w:rFonts w:ascii="Calibri" w:hAnsi="Calibri"/>
          <w:szCs w:val="24"/>
          <w:lang w:eastAsia="zh-CN"/>
        </w:rPr>
        <w:t>1</w:t>
      </w:r>
      <w:r>
        <w:rPr>
          <w:rFonts w:ascii="Calibri" w:hAnsi="Calibri" w:hint="eastAsia"/>
          <w:szCs w:val="24"/>
          <w:lang w:eastAsia="zh-CN"/>
        </w:rPr>
        <w:t>件</w:t>
      </w:r>
    </w:p>
    <w:p w:rsidR="00CC1092" w:rsidRDefault="00CC1092" w:rsidP="00BC7EE5">
      <w:pPr>
        <w:tabs>
          <w:tab w:val="clear" w:pos="794"/>
          <w:tab w:val="clear" w:pos="1191"/>
          <w:tab w:val="clear" w:pos="1588"/>
          <w:tab w:val="clear" w:pos="1985"/>
        </w:tabs>
        <w:spacing w:before="0" w:line="480" w:lineRule="auto"/>
        <w:rPr>
          <w:lang w:eastAsia="zh-CN"/>
        </w:rPr>
      </w:pPr>
      <w:r>
        <w:rPr>
          <w:lang w:eastAsia="zh-CN"/>
        </w:rPr>
        <w:br w:type="page"/>
      </w:r>
    </w:p>
    <w:p w:rsidR="00CC1092" w:rsidRDefault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</w:p>
    <w:p w:rsidR="00CC1092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="Calibri" w:hAnsi="Calibri"/>
          <w:szCs w:val="24"/>
          <w:lang w:eastAsia="zh-CN"/>
        </w:rPr>
      </w:pPr>
      <w:r w:rsidRPr="004077F7">
        <w:rPr>
          <w:rFonts w:ascii="Calibri" w:hAnsi="Calibri"/>
          <w:szCs w:val="24"/>
          <w:lang w:eastAsia="zh-CN"/>
        </w:rPr>
        <w:t>ANNEX 1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(to TSB Circular 145)</w:t>
      </w:r>
    </w:p>
    <w:p w:rsidR="00CC1092" w:rsidRPr="004D28C5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1E65DB">
        <w:rPr>
          <w:rFonts w:ascii="Calibri" w:hAnsi="Calibri"/>
          <w:b/>
          <w:bCs/>
          <w:sz w:val="28"/>
          <w:szCs w:val="28"/>
          <w:u w:val="single"/>
        </w:rPr>
        <w:t>Visa requests for the 3</w:t>
      </w:r>
      <w:r w:rsidRPr="001E65DB">
        <w:rPr>
          <w:rFonts w:ascii="Calibri" w:hAnsi="Calibri"/>
          <w:b/>
          <w:bCs/>
          <w:sz w:val="28"/>
          <w:szCs w:val="28"/>
          <w:u w:val="single"/>
          <w:vertAlign w:val="superscript"/>
        </w:rPr>
        <w:t>rd</w:t>
      </w:r>
      <w:r w:rsidRPr="001E65DB">
        <w:rPr>
          <w:rFonts w:ascii="Calibri" w:hAnsi="Calibri"/>
          <w:b/>
          <w:bCs/>
          <w:sz w:val="28"/>
          <w:szCs w:val="28"/>
          <w:u w:val="single"/>
        </w:rPr>
        <w:t xml:space="preserve"> ITU IPTV </w:t>
      </w:r>
      <w:proofErr w:type="spellStart"/>
      <w:r w:rsidRPr="001E65DB">
        <w:rPr>
          <w:rFonts w:ascii="Calibri" w:hAnsi="Calibri"/>
          <w:b/>
          <w:bCs/>
          <w:sz w:val="28"/>
          <w:szCs w:val="28"/>
          <w:u w:val="single"/>
        </w:rPr>
        <w:t>Interop</w:t>
      </w:r>
      <w:proofErr w:type="spellEnd"/>
      <w:r w:rsidRPr="001E65DB">
        <w:rPr>
          <w:rFonts w:ascii="Calibri" w:hAnsi="Calibri"/>
          <w:b/>
          <w:bCs/>
          <w:sz w:val="28"/>
          <w:szCs w:val="28"/>
          <w:u w:val="single"/>
        </w:rPr>
        <w:t xml:space="preserve"> Event in India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="Calibri" w:hAnsi="Calibri"/>
          <w:szCs w:val="24"/>
          <w:u w:val="single"/>
        </w:rPr>
      </w:pPr>
    </w:p>
    <w:p w:rsidR="00CC1092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>
        <w:rPr>
          <w:rFonts w:ascii="Calibri" w:hAnsi="Calibri"/>
          <w:szCs w:val="24"/>
          <w:lang w:val="en-US" w:eastAsia="zh-CN"/>
        </w:rPr>
        <w:t>The procedure to get a visa involves two steps.</w:t>
      </w:r>
    </w:p>
    <w:p w:rsidR="00CC1092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</w:p>
    <w:p w:rsidR="00CC1092" w:rsidRPr="004D28C5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bCs/>
          <w:sz w:val="28"/>
          <w:szCs w:val="28"/>
          <w:lang w:val="en-US" w:eastAsia="zh-CN"/>
        </w:rPr>
      </w:pPr>
      <w:r w:rsidRPr="001E65DB">
        <w:rPr>
          <w:rFonts w:ascii="Calibri" w:hAnsi="Calibri"/>
          <w:b/>
          <w:bCs/>
          <w:sz w:val="28"/>
          <w:szCs w:val="28"/>
          <w:lang w:val="en-US" w:eastAsia="zh-CN"/>
        </w:rPr>
        <w:t>1</w:t>
      </w:r>
      <w:r w:rsidRPr="001E65DB">
        <w:rPr>
          <w:rFonts w:ascii="Calibri" w:hAnsi="Calibri"/>
          <w:b/>
          <w:bCs/>
          <w:sz w:val="28"/>
          <w:szCs w:val="28"/>
          <w:vertAlign w:val="superscript"/>
          <w:lang w:val="en-US" w:eastAsia="zh-CN"/>
        </w:rPr>
        <w:t>st</w:t>
      </w:r>
      <w:r w:rsidRPr="001E65DB">
        <w:rPr>
          <w:rFonts w:ascii="Calibri" w:hAnsi="Calibri"/>
          <w:b/>
          <w:bCs/>
          <w:sz w:val="28"/>
          <w:szCs w:val="28"/>
          <w:lang w:val="en-US" w:eastAsia="zh-CN"/>
        </w:rPr>
        <w:t xml:space="preserve"> step:  Request for the visa support letter</w:t>
      </w:r>
    </w:p>
    <w:p w:rsidR="00CC1092" w:rsidRPr="004D28C5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b/>
          <w:bCs/>
          <w:szCs w:val="24"/>
          <w:lang w:val="en-US" w:eastAsia="zh-CN"/>
        </w:rPr>
      </w:pPr>
      <w:r>
        <w:rPr>
          <w:rFonts w:ascii="Calibri" w:hAnsi="Calibri"/>
          <w:szCs w:val="24"/>
          <w:lang w:val="en-US" w:eastAsia="zh-CN"/>
        </w:rPr>
        <w:t xml:space="preserve">Before contacting the Indian embassy or consulate of your country, you need a visa support letter from the Indian host of the </w:t>
      </w:r>
      <w:proofErr w:type="spellStart"/>
      <w:r>
        <w:rPr>
          <w:rFonts w:ascii="Calibri" w:hAnsi="Calibri"/>
          <w:szCs w:val="24"/>
          <w:lang w:val="en-US" w:eastAsia="zh-CN"/>
        </w:rPr>
        <w:t>Interop</w:t>
      </w:r>
      <w:proofErr w:type="spellEnd"/>
      <w:r>
        <w:rPr>
          <w:rFonts w:ascii="Calibri" w:hAnsi="Calibri"/>
          <w:szCs w:val="24"/>
          <w:lang w:val="en-US" w:eastAsia="zh-CN"/>
        </w:rPr>
        <w:t xml:space="preserve"> event. In order to get the visa support letter, please send an email to the following two contacts: </w:t>
      </w:r>
    </w:p>
    <w:p w:rsidR="00CC1092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b/>
          <w:bCs/>
          <w:szCs w:val="24"/>
          <w:lang w:val="en-US" w:eastAsia="zh-CN"/>
        </w:rPr>
      </w:pPr>
      <w:r>
        <w:rPr>
          <w:rFonts w:ascii="Calibri" w:hAnsi="Calibri"/>
          <w:b/>
          <w:bCs/>
          <w:szCs w:val="24"/>
          <w:lang w:val="en-US" w:eastAsia="zh-CN"/>
        </w:rPr>
        <w:t xml:space="preserve">Prof. </w:t>
      </w:r>
      <w:proofErr w:type="spellStart"/>
      <w:r w:rsidRPr="00313E1F">
        <w:rPr>
          <w:rFonts w:ascii="Calibri" w:hAnsi="Calibri"/>
          <w:b/>
          <w:bCs/>
          <w:szCs w:val="24"/>
          <w:lang w:val="en-US" w:eastAsia="zh-CN"/>
        </w:rPr>
        <w:t>Kailash</w:t>
      </w:r>
      <w:proofErr w:type="spellEnd"/>
      <w:r w:rsidRPr="00313E1F">
        <w:rPr>
          <w:rFonts w:ascii="Calibri" w:hAnsi="Calibri"/>
          <w:b/>
          <w:bCs/>
          <w:szCs w:val="24"/>
          <w:lang w:val="en-US" w:eastAsia="zh-CN"/>
        </w:rPr>
        <w:t xml:space="preserve"> J </w:t>
      </w:r>
      <w:proofErr w:type="spellStart"/>
      <w:r w:rsidRPr="00313E1F">
        <w:rPr>
          <w:rFonts w:ascii="Calibri" w:hAnsi="Calibri"/>
          <w:b/>
          <w:bCs/>
          <w:szCs w:val="24"/>
          <w:lang w:val="en-US" w:eastAsia="zh-CN"/>
        </w:rPr>
        <w:t>Karande</w:t>
      </w:r>
      <w:proofErr w:type="spellEnd"/>
    </w:p>
    <w:p w:rsidR="00CC1092" w:rsidRPr="00592A88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zCs w:val="24"/>
          <w:lang w:val="en-US" w:eastAsia="zh-CN"/>
        </w:rPr>
      </w:pPr>
      <w:r w:rsidRPr="00592A88">
        <w:rPr>
          <w:rFonts w:ascii="Calibri" w:hAnsi="Calibri"/>
          <w:szCs w:val="24"/>
          <w:lang w:val="en-US" w:eastAsia="zh-CN"/>
        </w:rPr>
        <w:t>kailashkarande@yahoo.co.in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+91-02114-304441 / +91-09324504016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b/>
          <w:bCs/>
          <w:szCs w:val="24"/>
          <w:lang w:val="en-US" w:eastAsia="zh-CN"/>
        </w:rPr>
      </w:pPr>
      <w:r w:rsidRPr="004077F7">
        <w:rPr>
          <w:rFonts w:ascii="Calibri" w:hAnsi="Calibri"/>
          <w:b/>
          <w:bCs/>
          <w:szCs w:val="24"/>
          <w:lang w:val="en-US" w:eastAsia="zh-CN"/>
        </w:rPr>
        <w:t xml:space="preserve">Prof. Dr. S. D. </w:t>
      </w:r>
      <w:proofErr w:type="spellStart"/>
      <w:r w:rsidRPr="004077F7">
        <w:rPr>
          <w:rFonts w:ascii="Calibri" w:hAnsi="Calibri"/>
          <w:b/>
          <w:bCs/>
          <w:szCs w:val="24"/>
          <w:lang w:val="en-US" w:eastAsia="zh-CN"/>
        </w:rPr>
        <w:t>Markande</w:t>
      </w:r>
      <w:proofErr w:type="spellEnd"/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sdmarkande@hotmail.com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+9120-32518689 / +919422517315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zCs w:val="24"/>
          <w:lang w:val="en-US" w:eastAsia="zh-CN"/>
        </w:rPr>
      </w:pPr>
      <w:r>
        <w:rPr>
          <w:rFonts w:ascii="Calibri" w:hAnsi="Calibri"/>
          <w:szCs w:val="24"/>
          <w:lang w:val="en-US" w:eastAsia="zh-CN"/>
        </w:rPr>
        <w:t xml:space="preserve">Your </w:t>
      </w:r>
      <w:r w:rsidRPr="004077F7">
        <w:rPr>
          <w:rFonts w:ascii="Calibri" w:hAnsi="Calibri"/>
          <w:szCs w:val="24"/>
          <w:lang w:val="en-US" w:eastAsia="zh-CN"/>
        </w:rPr>
        <w:t xml:space="preserve">request </w:t>
      </w:r>
      <w:r>
        <w:rPr>
          <w:rFonts w:ascii="Calibri" w:hAnsi="Calibri"/>
          <w:szCs w:val="24"/>
          <w:lang w:val="en-US" w:eastAsia="zh-CN"/>
        </w:rPr>
        <w:t xml:space="preserve">needs to </w:t>
      </w:r>
      <w:r w:rsidRPr="004077F7">
        <w:rPr>
          <w:rFonts w:ascii="Calibri" w:hAnsi="Calibri"/>
          <w:szCs w:val="24"/>
          <w:lang w:val="en-US" w:eastAsia="zh-CN"/>
        </w:rPr>
        <w:t xml:space="preserve">include </w:t>
      </w:r>
      <w:r w:rsidRPr="001E65DB">
        <w:rPr>
          <w:rFonts w:ascii="Calibri" w:hAnsi="Calibri"/>
          <w:b/>
          <w:bCs/>
          <w:szCs w:val="24"/>
          <w:lang w:val="en-US" w:eastAsia="zh-CN"/>
        </w:rPr>
        <w:t>a copy of the passport</w:t>
      </w:r>
      <w:r w:rsidRPr="004077F7">
        <w:rPr>
          <w:rFonts w:ascii="Calibri" w:hAnsi="Calibri"/>
          <w:szCs w:val="24"/>
          <w:lang w:val="en-US" w:eastAsia="zh-CN"/>
        </w:rPr>
        <w:t xml:space="preserve"> and the following information: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1. Name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2. Surname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3. Date and Place of Birth: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4. Nationality: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5. Date of Arrival: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6. Date of Departure: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7. Passport Number: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8. Date of passport issue:</w:t>
      </w:r>
    </w:p>
    <w:p w:rsidR="00CC1092" w:rsidRPr="004077F7" w:rsidRDefault="00CC1092" w:rsidP="00CC1092">
      <w:pPr>
        <w:spacing w:before="0"/>
        <w:rPr>
          <w:rFonts w:ascii="Calibri" w:hAnsi="Calibri"/>
          <w:szCs w:val="24"/>
        </w:rPr>
      </w:pPr>
      <w:r w:rsidRPr="004077F7">
        <w:rPr>
          <w:rFonts w:ascii="Calibri" w:hAnsi="Calibri"/>
          <w:szCs w:val="24"/>
          <w:lang w:val="en-US" w:eastAsia="zh-CN"/>
        </w:rPr>
        <w:t>9. Date of passport expiry:</w:t>
      </w:r>
    </w:p>
    <w:p w:rsidR="00CC1092" w:rsidRPr="004D28C5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eastAsia="zh-CN"/>
        </w:rPr>
      </w:pPr>
    </w:p>
    <w:p w:rsidR="00CC1092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 w:cs="Verdana"/>
          <w:szCs w:val="24"/>
        </w:rPr>
      </w:pPr>
      <w:r>
        <w:rPr>
          <w:rFonts w:ascii="Calibri" w:hAnsi="Calibri" w:cs="Verdana"/>
          <w:szCs w:val="24"/>
        </w:rPr>
        <w:t xml:space="preserve">The Indian host strongly recommends that you send the email </w:t>
      </w:r>
      <w:r w:rsidRPr="001E65DB">
        <w:rPr>
          <w:rFonts w:ascii="Calibri" w:hAnsi="Calibri" w:cs="Verdana"/>
          <w:b/>
          <w:bCs/>
          <w:szCs w:val="24"/>
          <w:u w:val="single"/>
        </w:rPr>
        <w:t xml:space="preserve">two months </w:t>
      </w:r>
      <w:r>
        <w:rPr>
          <w:rFonts w:ascii="Calibri" w:hAnsi="Calibri" w:cs="Verdana"/>
          <w:b/>
          <w:bCs/>
          <w:szCs w:val="24"/>
          <w:u w:val="single"/>
        </w:rPr>
        <w:t xml:space="preserve">prior to </w:t>
      </w:r>
      <w:r w:rsidRPr="001E65DB">
        <w:rPr>
          <w:rFonts w:ascii="Calibri" w:hAnsi="Calibri" w:cs="Verdana"/>
          <w:b/>
          <w:bCs/>
          <w:szCs w:val="24"/>
          <w:u w:val="single"/>
        </w:rPr>
        <w:t>the event, i.e., 15 October 2010</w:t>
      </w:r>
      <w:r>
        <w:rPr>
          <w:rFonts w:ascii="Calibri" w:hAnsi="Calibri" w:cs="Verdana"/>
          <w:b/>
          <w:bCs/>
          <w:szCs w:val="24"/>
        </w:rPr>
        <w:t>,</w:t>
      </w:r>
      <w:r w:rsidRPr="00313E1F">
        <w:rPr>
          <w:rFonts w:ascii="Calibri" w:hAnsi="Calibri" w:cs="Verdana"/>
          <w:szCs w:val="24"/>
        </w:rPr>
        <w:t xml:space="preserve"> in order to allow enough time for visa processing by the Indian authorities.</w:t>
      </w:r>
    </w:p>
    <w:p w:rsidR="00CC1092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zCs w:val="24"/>
          <w:lang w:val="en-US" w:eastAsia="zh-CN"/>
        </w:rPr>
      </w:pPr>
      <w:r>
        <w:rPr>
          <w:rFonts w:ascii="Calibri" w:hAnsi="Calibri"/>
          <w:szCs w:val="24"/>
          <w:lang w:val="en-US" w:eastAsia="zh-CN"/>
        </w:rPr>
        <w:t xml:space="preserve">You will then receive the visa support letter </w:t>
      </w:r>
      <w:r w:rsidRPr="004169CD">
        <w:rPr>
          <w:rFonts w:ascii="Calibri" w:hAnsi="Calibri"/>
          <w:szCs w:val="24"/>
          <w:lang w:val="en-US" w:eastAsia="zh-CN"/>
        </w:rPr>
        <w:t>via email</w:t>
      </w:r>
      <w:r>
        <w:rPr>
          <w:rFonts w:ascii="Calibri" w:hAnsi="Calibri"/>
          <w:szCs w:val="24"/>
          <w:lang w:val="en-US" w:eastAsia="zh-CN"/>
        </w:rPr>
        <w:t xml:space="preserve"> .</w:t>
      </w:r>
    </w:p>
    <w:p w:rsidR="00CC1092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</w:p>
    <w:p w:rsidR="00CC1092" w:rsidRPr="004D28C5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bCs/>
          <w:sz w:val="28"/>
          <w:szCs w:val="28"/>
          <w:lang w:val="en-US" w:eastAsia="zh-CN"/>
        </w:rPr>
      </w:pPr>
      <w:r w:rsidRPr="001E65DB">
        <w:rPr>
          <w:rFonts w:ascii="Calibri" w:hAnsi="Calibri"/>
          <w:b/>
          <w:bCs/>
          <w:sz w:val="28"/>
          <w:szCs w:val="28"/>
          <w:lang w:val="en-US" w:eastAsia="zh-CN"/>
        </w:rPr>
        <w:t>2</w:t>
      </w:r>
      <w:r w:rsidRPr="001E65DB">
        <w:rPr>
          <w:rFonts w:ascii="Calibri" w:hAnsi="Calibri"/>
          <w:b/>
          <w:bCs/>
          <w:sz w:val="28"/>
          <w:szCs w:val="28"/>
          <w:vertAlign w:val="superscript"/>
          <w:lang w:val="en-US" w:eastAsia="zh-CN"/>
        </w:rPr>
        <w:t>nd</w:t>
      </w:r>
      <w:r w:rsidRPr="001E65DB">
        <w:rPr>
          <w:rFonts w:ascii="Calibri" w:hAnsi="Calibri"/>
          <w:b/>
          <w:bCs/>
          <w:sz w:val="28"/>
          <w:szCs w:val="28"/>
          <w:lang w:val="en-US" w:eastAsia="zh-CN"/>
        </w:rPr>
        <w:t xml:space="preserve"> step: Visa request at the </w:t>
      </w:r>
      <w:smartTag w:uri="urn:schemas-microsoft-com:office:smarttags" w:element="country-region">
        <w:r w:rsidRPr="001E65DB">
          <w:rPr>
            <w:rFonts w:ascii="Calibri" w:hAnsi="Calibri"/>
            <w:b/>
            <w:bCs/>
            <w:sz w:val="28"/>
            <w:szCs w:val="28"/>
            <w:lang w:val="en-US" w:eastAsia="zh-CN"/>
          </w:rPr>
          <w:t>India</w:t>
        </w:r>
      </w:smartTag>
      <w:r w:rsidRPr="001E65DB">
        <w:rPr>
          <w:rFonts w:ascii="Calibri" w:hAnsi="Calibri"/>
          <w:b/>
          <w:bCs/>
          <w:sz w:val="28"/>
          <w:szCs w:val="28"/>
          <w:lang w:val="en-US" w:eastAsia="zh-CN"/>
        </w:rPr>
        <w:t xml:space="preserve"> embassy or consulate of your country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zCs w:val="24"/>
          <w:lang w:val="en-US" w:eastAsia="zh-CN"/>
        </w:rPr>
      </w:pPr>
      <w:r>
        <w:rPr>
          <w:rFonts w:ascii="Calibri" w:hAnsi="Calibri"/>
          <w:szCs w:val="24"/>
          <w:lang w:val="en-US" w:eastAsia="zh-CN"/>
        </w:rPr>
        <w:t xml:space="preserve">Once you have received the visa support letter, please </w:t>
      </w:r>
      <w:r w:rsidRPr="004077F7">
        <w:rPr>
          <w:rFonts w:ascii="Calibri" w:hAnsi="Calibri"/>
          <w:szCs w:val="24"/>
          <w:lang w:val="en-US" w:eastAsia="zh-CN"/>
        </w:rPr>
        <w:t xml:space="preserve">contact the Indian embassy or consulate in </w:t>
      </w:r>
      <w:r>
        <w:rPr>
          <w:rFonts w:ascii="Calibri" w:hAnsi="Calibri"/>
          <w:szCs w:val="24"/>
          <w:lang w:val="en-US" w:eastAsia="zh-CN"/>
        </w:rPr>
        <w:t xml:space="preserve">your </w:t>
      </w:r>
      <w:r w:rsidRPr="004077F7">
        <w:rPr>
          <w:rFonts w:ascii="Calibri" w:hAnsi="Calibri"/>
          <w:szCs w:val="24"/>
          <w:lang w:val="en-US" w:eastAsia="zh-CN"/>
        </w:rPr>
        <w:t>country.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In general the requirements to get the visa are: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 xml:space="preserve">• Valid passport or other travel document recognized by the </w:t>
      </w:r>
      <w:smartTag w:uri="urn:schemas-microsoft-com:office:smarttags" w:element="country-region">
        <w:r w:rsidRPr="004077F7">
          <w:rPr>
            <w:rFonts w:ascii="Calibri" w:hAnsi="Calibri"/>
            <w:szCs w:val="24"/>
            <w:lang w:val="en-US" w:eastAsia="zh-CN"/>
          </w:rPr>
          <w:t>India</w:t>
        </w:r>
      </w:smartTag>
      <w:r w:rsidRPr="004077F7">
        <w:rPr>
          <w:rFonts w:ascii="Calibri" w:hAnsi="Calibri"/>
          <w:szCs w:val="24"/>
          <w:lang w:val="en-US" w:eastAsia="zh-CN"/>
        </w:rPr>
        <w:t xml:space="preserve"> government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>• Application form (provided by the consulate)</w:t>
      </w:r>
    </w:p>
    <w:p w:rsidR="00CC1092" w:rsidRPr="004077F7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4077F7">
        <w:rPr>
          <w:rFonts w:ascii="Calibri" w:hAnsi="Calibri"/>
          <w:szCs w:val="24"/>
          <w:lang w:val="en-US" w:eastAsia="zh-CN"/>
        </w:rPr>
        <w:t xml:space="preserve">• 2 photographs 4 </w:t>
      </w:r>
      <w:r>
        <w:rPr>
          <w:rFonts w:ascii="Calibri" w:hAnsi="Calibri"/>
          <w:szCs w:val="24"/>
          <w:lang w:val="en-US" w:eastAsia="zh-CN"/>
        </w:rPr>
        <w:t xml:space="preserve">cm </w:t>
      </w:r>
      <w:r w:rsidRPr="004077F7">
        <w:rPr>
          <w:rFonts w:ascii="Calibri" w:hAnsi="Calibri"/>
          <w:szCs w:val="24"/>
          <w:lang w:val="en-US" w:eastAsia="zh-CN"/>
        </w:rPr>
        <w:t>x 4</w:t>
      </w:r>
      <w:r>
        <w:rPr>
          <w:rFonts w:ascii="Calibri" w:hAnsi="Calibri"/>
          <w:szCs w:val="24"/>
          <w:lang w:val="en-US" w:eastAsia="zh-CN"/>
        </w:rPr>
        <w:t xml:space="preserve"> cm </w:t>
      </w:r>
    </w:p>
    <w:p w:rsidR="00CC1092" w:rsidRPr="00313E1F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313E1F">
        <w:rPr>
          <w:rFonts w:ascii="Calibri" w:hAnsi="Calibri"/>
          <w:szCs w:val="24"/>
          <w:lang w:val="en-US" w:eastAsia="zh-CN"/>
        </w:rPr>
        <w:t>• Roundtrip ticket</w:t>
      </w:r>
    </w:p>
    <w:p w:rsidR="00CC1092" w:rsidRPr="00313E1F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313E1F">
        <w:rPr>
          <w:rFonts w:ascii="Calibri" w:hAnsi="Calibri"/>
          <w:szCs w:val="24"/>
          <w:lang w:val="en-US" w:eastAsia="zh-CN"/>
        </w:rPr>
        <w:t>• Payment of consular fee</w:t>
      </w:r>
    </w:p>
    <w:p w:rsidR="00CC1092" w:rsidRPr="004D28C5" w:rsidRDefault="00CC1092" w:rsidP="00CC109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val="en-US" w:eastAsia="zh-CN"/>
        </w:rPr>
      </w:pPr>
      <w:r w:rsidRPr="001E65DB">
        <w:rPr>
          <w:rFonts w:ascii="Calibri" w:hAnsi="Calibri"/>
          <w:szCs w:val="24"/>
          <w:lang w:val="en-US" w:eastAsia="zh-CN"/>
        </w:rPr>
        <w:t xml:space="preserve">• </w:t>
      </w:r>
      <w:r>
        <w:rPr>
          <w:rFonts w:ascii="Calibri" w:hAnsi="Calibri"/>
          <w:szCs w:val="24"/>
          <w:lang w:val="en-US" w:eastAsia="zh-CN"/>
        </w:rPr>
        <w:t>V</w:t>
      </w:r>
      <w:r w:rsidRPr="001E65DB">
        <w:rPr>
          <w:rFonts w:ascii="Calibri" w:hAnsi="Calibri"/>
          <w:szCs w:val="24"/>
          <w:lang w:val="en-US" w:eastAsia="zh-CN"/>
        </w:rPr>
        <w:t>isa support letter</w:t>
      </w:r>
    </w:p>
    <w:p w:rsidR="009E6839" w:rsidRDefault="009E6839">
      <w:pPr>
        <w:jc w:val="center"/>
      </w:pPr>
      <w:r>
        <w:t>______________</w:t>
      </w:r>
    </w:p>
    <w:p w:rsidR="00A521E8" w:rsidRPr="004F2E69" w:rsidRDefault="00A521E8" w:rsidP="004F2E69">
      <w:pPr>
        <w:spacing w:before="0" w:after="20"/>
        <w:rPr>
          <w:lang w:eastAsia="zh-CN"/>
        </w:rPr>
      </w:pPr>
    </w:p>
    <w:p w:rsidR="00A407BE" w:rsidRPr="00BF5243" w:rsidRDefault="00A407BE" w:rsidP="000D422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rStyle w:val="PageNumber"/>
          <w:rFonts w:asciiTheme="majorBidi" w:hAnsiTheme="majorBidi" w:cstheme="majorBidi"/>
          <w:sz w:val="2"/>
          <w:szCs w:val="2"/>
          <w:lang w:eastAsia="zh-CN"/>
        </w:rPr>
      </w:pPr>
    </w:p>
    <w:sectPr w:rsidR="00A407BE" w:rsidRPr="00BF5243" w:rsidSect="00155E10">
      <w:headerReference w:type="default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567" w:right="1276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56" w:rsidRDefault="00CF4A56">
      <w:r>
        <w:separator/>
      </w:r>
    </w:p>
  </w:endnote>
  <w:endnote w:type="continuationSeparator" w:id="0">
    <w:p w:rsidR="00CF4A56" w:rsidRDefault="00CF4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E38" w:rsidRDefault="004F1E38" w:rsidP="004F1E38">
    <w:pPr>
      <w:pStyle w:val="Footer"/>
      <w:rPr>
        <w:lang w:val="fr-CH"/>
      </w:rPr>
    </w:pPr>
    <w:r>
      <w:rPr>
        <w:lang w:val="fr-CH"/>
      </w:rPr>
      <w:t>ITU-T\BUREAU\CIRC\145C.DOC</w:t>
    </w:r>
  </w:p>
  <w:p w:rsidR="00CF4A56" w:rsidRPr="004F1E38" w:rsidRDefault="00CF4A56" w:rsidP="004F1E38">
    <w:pPr>
      <w:pStyle w:val="Footer"/>
      <w:rPr>
        <w:szCs w:val="16"/>
        <w:lang w:val="fr-CH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56" w:rsidRDefault="00CF4A56" w:rsidP="000F352A">
    <w:pPr>
      <w:pStyle w:val="Footer"/>
    </w:pPr>
    <w:r w:rsidRPr="00AE03C4">
      <w:rPr>
        <w:lang w:val="en-US"/>
      </w:rPr>
      <w:object w:dxaOrig="9549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7.75pt;height:38.25pt" o:ole="">
          <v:imagedata r:id="rId1" o:title=""/>
        </v:shape>
        <o:OLEObject Type="Embed" ProgID="Word.Document.8" ShapeID="_x0000_i1025" DrawAspect="Content" ObjectID="_1349074075" r:id="rId2">
          <o:FieldCodes>\s</o:FieldCodes>
        </o:OLEObject>
      </w:objec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56" w:rsidRDefault="00CF4A56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CF4A56" w:rsidRDefault="00CF4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56" w:rsidRDefault="00CF4A56" w:rsidP="00A521E8">
    <w:pPr>
      <w:pStyle w:val="Header"/>
    </w:pPr>
    <w:r>
      <w:t xml:space="preserve">- </w:t>
    </w:r>
    <w:fldSimple w:instr="PAGE">
      <w:r w:rsidR="004F1E38">
        <w:rPr>
          <w:noProof/>
        </w:rPr>
        <w:t>2</w:t>
      </w:r>
    </w:fldSimple>
    <w:r>
      <w:t xml:space="preserve"> -</w:t>
    </w:r>
  </w:p>
  <w:p w:rsidR="00CF4A56" w:rsidRPr="00AE03C4" w:rsidRDefault="00CF4A56" w:rsidP="00A521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56" w:rsidRDefault="00CF4A56" w:rsidP="00376160">
    <w:pPr>
      <w:pStyle w:val="Header"/>
    </w:pPr>
  </w:p>
  <w:p w:rsidR="00CF4A56" w:rsidRPr="00AE03C4" w:rsidRDefault="00CF4A56" w:rsidP="003761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5F7"/>
    <w:multiLevelType w:val="hybridMultilevel"/>
    <w:tmpl w:val="456CC26E"/>
    <w:lvl w:ilvl="0" w:tplc="2C040FA4">
      <w:start w:val="13"/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9631320"/>
    <w:multiLevelType w:val="hybridMultilevel"/>
    <w:tmpl w:val="14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B358D"/>
    <w:multiLevelType w:val="multilevel"/>
    <w:tmpl w:val="402C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E5E90"/>
    <w:multiLevelType w:val="hybridMultilevel"/>
    <w:tmpl w:val="AC3CE61A"/>
    <w:lvl w:ilvl="0" w:tplc="9C70F6F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B399D"/>
    <w:multiLevelType w:val="multilevel"/>
    <w:tmpl w:val="0B8401D4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5">
    <w:nsid w:val="5FA04905"/>
    <w:multiLevelType w:val="multilevel"/>
    <w:tmpl w:val="256A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20B26"/>
    <w:multiLevelType w:val="multilevel"/>
    <w:tmpl w:val="BF7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68ED2616"/>
    <w:multiLevelType w:val="hybridMultilevel"/>
    <w:tmpl w:val="C0EEE81C"/>
    <w:lvl w:ilvl="0" w:tplc="C40E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24298"/>
    <w:rsid w:val="00001E99"/>
    <w:rsid w:val="0000209B"/>
    <w:rsid w:val="000219D7"/>
    <w:rsid w:val="0003276C"/>
    <w:rsid w:val="00035704"/>
    <w:rsid w:val="00045DAD"/>
    <w:rsid w:val="000460F4"/>
    <w:rsid w:val="00065140"/>
    <w:rsid w:val="000672D7"/>
    <w:rsid w:val="000773AD"/>
    <w:rsid w:val="00087543"/>
    <w:rsid w:val="00097D9F"/>
    <w:rsid w:val="000A403A"/>
    <w:rsid w:val="000A7D6D"/>
    <w:rsid w:val="000B5A57"/>
    <w:rsid w:val="000D050F"/>
    <w:rsid w:val="000D2950"/>
    <w:rsid w:val="000D422C"/>
    <w:rsid w:val="000D76B8"/>
    <w:rsid w:val="000F352A"/>
    <w:rsid w:val="00102407"/>
    <w:rsid w:val="00107352"/>
    <w:rsid w:val="001360A8"/>
    <w:rsid w:val="001517FE"/>
    <w:rsid w:val="00155E10"/>
    <w:rsid w:val="001579CD"/>
    <w:rsid w:val="00165D3D"/>
    <w:rsid w:val="0018419B"/>
    <w:rsid w:val="0019652F"/>
    <w:rsid w:val="00196B93"/>
    <w:rsid w:val="001A4E09"/>
    <w:rsid w:val="001D68D4"/>
    <w:rsid w:val="001D6C08"/>
    <w:rsid w:val="001E381A"/>
    <w:rsid w:val="001E78B0"/>
    <w:rsid w:val="0020651D"/>
    <w:rsid w:val="002067B7"/>
    <w:rsid w:val="00213A6A"/>
    <w:rsid w:val="00216C8F"/>
    <w:rsid w:val="00221113"/>
    <w:rsid w:val="002372C7"/>
    <w:rsid w:val="00262EC6"/>
    <w:rsid w:val="00265CFC"/>
    <w:rsid w:val="0027568A"/>
    <w:rsid w:val="0028502B"/>
    <w:rsid w:val="00293589"/>
    <w:rsid w:val="00294C1C"/>
    <w:rsid w:val="002958F2"/>
    <w:rsid w:val="002A1603"/>
    <w:rsid w:val="002C352D"/>
    <w:rsid w:val="002D2D2B"/>
    <w:rsid w:val="002D729D"/>
    <w:rsid w:val="002E2EBC"/>
    <w:rsid w:val="002E5E46"/>
    <w:rsid w:val="002F3D1A"/>
    <w:rsid w:val="00301E70"/>
    <w:rsid w:val="003103A8"/>
    <w:rsid w:val="00313A41"/>
    <w:rsid w:val="00322A03"/>
    <w:rsid w:val="003307E4"/>
    <w:rsid w:val="0033229B"/>
    <w:rsid w:val="00335F94"/>
    <w:rsid w:val="003440F8"/>
    <w:rsid w:val="0034771B"/>
    <w:rsid w:val="0035387F"/>
    <w:rsid w:val="00354E58"/>
    <w:rsid w:val="00362B4A"/>
    <w:rsid w:val="00376160"/>
    <w:rsid w:val="00376F72"/>
    <w:rsid w:val="003772C6"/>
    <w:rsid w:val="00384263"/>
    <w:rsid w:val="003A1136"/>
    <w:rsid w:val="003B2EAA"/>
    <w:rsid w:val="003C1689"/>
    <w:rsid w:val="003C29A4"/>
    <w:rsid w:val="003C307C"/>
    <w:rsid w:val="003C5E30"/>
    <w:rsid w:val="003E7209"/>
    <w:rsid w:val="003F2A86"/>
    <w:rsid w:val="00400CE9"/>
    <w:rsid w:val="00402633"/>
    <w:rsid w:val="00444683"/>
    <w:rsid w:val="00444E8F"/>
    <w:rsid w:val="00453A10"/>
    <w:rsid w:val="00457E98"/>
    <w:rsid w:val="0046534B"/>
    <w:rsid w:val="004814B6"/>
    <w:rsid w:val="00487F05"/>
    <w:rsid w:val="00492CAB"/>
    <w:rsid w:val="00494127"/>
    <w:rsid w:val="004B38AB"/>
    <w:rsid w:val="004C5BE0"/>
    <w:rsid w:val="004C7C62"/>
    <w:rsid w:val="004D18C4"/>
    <w:rsid w:val="004D1AA9"/>
    <w:rsid w:val="004F0865"/>
    <w:rsid w:val="004F1E38"/>
    <w:rsid w:val="004F2E69"/>
    <w:rsid w:val="004F5A58"/>
    <w:rsid w:val="0051354C"/>
    <w:rsid w:val="00513E52"/>
    <w:rsid w:val="00523169"/>
    <w:rsid w:val="005245A6"/>
    <w:rsid w:val="00531394"/>
    <w:rsid w:val="00535E76"/>
    <w:rsid w:val="00541722"/>
    <w:rsid w:val="00554CDC"/>
    <w:rsid w:val="005566F1"/>
    <w:rsid w:val="00556DFC"/>
    <w:rsid w:val="0056275D"/>
    <w:rsid w:val="00565247"/>
    <w:rsid w:val="0057364C"/>
    <w:rsid w:val="0057683C"/>
    <w:rsid w:val="00577870"/>
    <w:rsid w:val="0059013B"/>
    <w:rsid w:val="00594AB2"/>
    <w:rsid w:val="005960B2"/>
    <w:rsid w:val="005A2C29"/>
    <w:rsid w:val="005D0F8C"/>
    <w:rsid w:val="005D4C26"/>
    <w:rsid w:val="005E1427"/>
    <w:rsid w:val="005E6E47"/>
    <w:rsid w:val="0063236A"/>
    <w:rsid w:val="0065705C"/>
    <w:rsid w:val="006677CB"/>
    <w:rsid w:val="00672E81"/>
    <w:rsid w:val="006817A7"/>
    <w:rsid w:val="00682E1A"/>
    <w:rsid w:val="00684933"/>
    <w:rsid w:val="00686A90"/>
    <w:rsid w:val="00690BE6"/>
    <w:rsid w:val="006A60C8"/>
    <w:rsid w:val="006A736A"/>
    <w:rsid w:val="006A7CA2"/>
    <w:rsid w:val="006C7801"/>
    <w:rsid w:val="006D09B3"/>
    <w:rsid w:val="006D2657"/>
    <w:rsid w:val="006E74AA"/>
    <w:rsid w:val="006F15D5"/>
    <w:rsid w:val="006F4DFC"/>
    <w:rsid w:val="00712974"/>
    <w:rsid w:val="00714CA7"/>
    <w:rsid w:val="00721FB2"/>
    <w:rsid w:val="00737527"/>
    <w:rsid w:val="00737545"/>
    <w:rsid w:val="007433BD"/>
    <w:rsid w:val="007609AA"/>
    <w:rsid w:val="00761B39"/>
    <w:rsid w:val="00773371"/>
    <w:rsid w:val="00790D94"/>
    <w:rsid w:val="007B775C"/>
    <w:rsid w:val="007B781C"/>
    <w:rsid w:val="007B7970"/>
    <w:rsid w:val="007D3346"/>
    <w:rsid w:val="007E6BBA"/>
    <w:rsid w:val="007F5A21"/>
    <w:rsid w:val="007F6E04"/>
    <w:rsid w:val="00805A0F"/>
    <w:rsid w:val="00830DA6"/>
    <w:rsid w:val="00846420"/>
    <w:rsid w:val="00864F93"/>
    <w:rsid w:val="00874ECF"/>
    <w:rsid w:val="00883207"/>
    <w:rsid w:val="0089488D"/>
    <w:rsid w:val="008949B5"/>
    <w:rsid w:val="008A62C1"/>
    <w:rsid w:val="008C700D"/>
    <w:rsid w:val="008D772C"/>
    <w:rsid w:val="008E2C66"/>
    <w:rsid w:val="008E44B7"/>
    <w:rsid w:val="008E5FCC"/>
    <w:rsid w:val="00911F92"/>
    <w:rsid w:val="00914CE9"/>
    <w:rsid w:val="00923B56"/>
    <w:rsid w:val="009344D1"/>
    <w:rsid w:val="00944FA2"/>
    <w:rsid w:val="009572BA"/>
    <w:rsid w:val="009622EC"/>
    <w:rsid w:val="00963D75"/>
    <w:rsid w:val="009753FC"/>
    <w:rsid w:val="00981A4C"/>
    <w:rsid w:val="009A2542"/>
    <w:rsid w:val="009B464B"/>
    <w:rsid w:val="009B5159"/>
    <w:rsid w:val="009D73E5"/>
    <w:rsid w:val="009E6839"/>
    <w:rsid w:val="00A15D02"/>
    <w:rsid w:val="00A16B69"/>
    <w:rsid w:val="00A21A10"/>
    <w:rsid w:val="00A31BE4"/>
    <w:rsid w:val="00A3203D"/>
    <w:rsid w:val="00A32BB1"/>
    <w:rsid w:val="00A373FC"/>
    <w:rsid w:val="00A37CEC"/>
    <w:rsid w:val="00A407BE"/>
    <w:rsid w:val="00A521E8"/>
    <w:rsid w:val="00A54D21"/>
    <w:rsid w:val="00A64F42"/>
    <w:rsid w:val="00AA5543"/>
    <w:rsid w:val="00AB54D2"/>
    <w:rsid w:val="00AC68F3"/>
    <w:rsid w:val="00AD25E5"/>
    <w:rsid w:val="00AD495B"/>
    <w:rsid w:val="00AF49DA"/>
    <w:rsid w:val="00B31537"/>
    <w:rsid w:val="00B47231"/>
    <w:rsid w:val="00B522D7"/>
    <w:rsid w:val="00B56986"/>
    <w:rsid w:val="00B750C1"/>
    <w:rsid w:val="00B96FD8"/>
    <w:rsid w:val="00BB0EE7"/>
    <w:rsid w:val="00BC75EE"/>
    <w:rsid w:val="00BC7EE5"/>
    <w:rsid w:val="00BD30D2"/>
    <w:rsid w:val="00BE6FB9"/>
    <w:rsid w:val="00BF2511"/>
    <w:rsid w:val="00BF5243"/>
    <w:rsid w:val="00C015CA"/>
    <w:rsid w:val="00C029DE"/>
    <w:rsid w:val="00C02C5C"/>
    <w:rsid w:val="00C06160"/>
    <w:rsid w:val="00C07AB0"/>
    <w:rsid w:val="00C13C4A"/>
    <w:rsid w:val="00C320BD"/>
    <w:rsid w:val="00C35CD8"/>
    <w:rsid w:val="00C6182E"/>
    <w:rsid w:val="00C762CC"/>
    <w:rsid w:val="00C83335"/>
    <w:rsid w:val="00C86543"/>
    <w:rsid w:val="00C868BD"/>
    <w:rsid w:val="00C927AC"/>
    <w:rsid w:val="00C94B0C"/>
    <w:rsid w:val="00CB49CB"/>
    <w:rsid w:val="00CC1092"/>
    <w:rsid w:val="00CD4D5F"/>
    <w:rsid w:val="00CF0141"/>
    <w:rsid w:val="00CF1C46"/>
    <w:rsid w:val="00CF4A56"/>
    <w:rsid w:val="00CF67A8"/>
    <w:rsid w:val="00D005E3"/>
    <w:rsid w:val="00D01C47"/>
    <w:rsid w:val="00D070F1"/>
    <w:rsid w:val="00D07107"/>
    <w:rsid w:val="00D10934"/>
    <w:rsid w:val="00D15300"/>
    <w:rsid w:val="00D15C99"/>
    <w:rsid w:val="00D24298"/>
    <w:rsid w:val="00D258F2"/>
    <w:rsid w:val="00D375F1"/>
    <w:rsid w:val="00D55E4F"/>
    <w:rsid w:val="00D614A2"/>
    <w:rsid w:val="00D6409C"/>
    <w:rsid w:val="00D652CC"/>
    <w:rsid w:val="00D673C1"/>
    <w:rsid w:val="00D924EA"/>
    <w:rsid w:val="00DA300E"/>
    <w:rsid w:val="00DE39A0"/>
    <w:rsid w:val="00DF365A"/>
    <w:rsid w:val="00E016F6"/>
    <w:rsid w:val="00E04A9E"/>
    <w:rsid w:val="00E1779A"/>
    <w:rsid w:val="00E25CDC"/>
    <w:rsid w:val="00E443F0"/>
    <w:rsid w:val="00E51CB8"/>
    <w:rsid w:val="00E57A3C"/>
    <w:rsid w:val="00E75EED"/>
    <w:rsid w:val="00E900E6"/>
    <w:rsid w:val="00EB3F4E"/>
    <w:rsid w:val="00EB62DC"/>
    <w:rsid w:val="00ED78AE"/>
    <w:rsid w:val="00EF3195"/>
    <w:rsid w:val="00F15ED0"/>
    <w:rsid w:val="00F22A8D"/>
    <w:rsid w:val="00F23760"/>
    <w:rsid w:val="00F26F98"/>
    <w:rsid w:val="00F3199A"/>
    <w:rsid w:val="00F362BD"/>
    <w:rsid w:val="00F44FEB"/>
    <w:rsid w:val="00F62F25"/>
    <w:rsid w:val="00F74773"/>
    <w:rsid w:val="00F87D38"/>
    <w:rsid w:val="00FA43D1"/>
    <w:rsid w:val="00FA4D64"/>
    <w:rsid w:val="00FB228C"/>
    <w:rsid w:val="00FC35CC"/>
    <w:rsid w:val="00FD2523"/>
    <w:rsid w:val="00FD2D1A"/>
    <w:rsid w:val="00FD7939"/>
    <w:rsid w:val="00FE3453"/>
    <w:rsid w:val="00FF4751"/>
    <w:rsid w:val="00FF51DE"/>
    <w:rsid w:val="00FF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762C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762C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762C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762C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762C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762C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762C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762C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762C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C762CC"/>
  </w:style>
  <w:style w:type="paragraph" w:styleId="TOC7">
    <w:name w:val="toc 7"/>
    <w:basedOn w:val="TOC3"/>
    <w:next w:val="Normal"/>
    <w:semiHidden/>
    <w:rsid w:val="00C762CC"/>
  </w:style>
  <w:style w:type="paragraph" w:styleId="TOC6">
    <w:name w:val="toc 6"/>
    <w:basedOn w:val="TOC3"/>
    <w:next w:val="Normal"/>
    <w:semiHidden/>
    <w:rsid w:val="00C762CC"/>
  </w:style>
  <w:style w:type="paragraph" w:styleId="TOC5">
    <w:name w:val="toc 5"/>
    <w:basedOn w:val="TOC3"/>
    <w:next w:val="Normal"/>
    <w:semiHidden/>
    <w:rsid w:val="00C762CC"/>
  </w:style>
  <w:style w:type="paragraph" w:styleId="TOC4">
    <w:name w:val="toc 4"/>
    <w:basedOn w:val="TOC3"/>
    <w:next w:val="Normal"/>
    <w:semiHidden/>
    <w:rsid w:val="00C762CC"/>
  </w:style>
  <w:style w:type="paragraph" w:styleId="TOC3">
    <w:name w:val="toc 3"/>
    <w:basedOn w:val="TOC2"/>
    <w:next w:val="Normal"/>
    <w:semiHidden/>
    <w:rsid w:val="00C762CC"/>
    <w:pPr>
      <w:spacing w:before="80"/>
    </w:pPr>
  </w:style>
  <w:style w:type="paragraph" w:styleId="TOC2">
    <w:name w:val="toc 2"/>
    <w:basedOn w:val="TOC1"/>
    <w:next w:val="Normal"/>
    <w:semiHidden/>
    <w:rsid w:val="00C762CC"/>
    <w:pPr>
      <w:spacing w:before="120"/>
    </w:pPr>
  </w:style>
  <w:style w:type="paragraph" w:styleId="TOC1">
    <w:name w:val="toc 1"/>
    <w:basedOn w:val="Normal"/>
    <w:semiHidden/>
    <w:rsid w:val="00C762CC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762CC"/>
    <w:pPr>
      <w:ind w:left="1698"/>
    </w:pPr>
  </w:style>
  <w:style w:type="paragraph" w:styleId="Index6">
    <w:name w:val="index 6"/>
    <w:basedOn w:val="Normal"/>
    <w:next w:val="Normal"/>
    <w:semiHidden/>
    <w:rsid w:val="00C762CC"/>
    <w:pPr>
      <w:ind w:left="1415"/>
    </w:pPr>
  </w:style>
  <w:style w:type="paragraph" w:styleId="Index5">
    <w:name w:val="index 5"/>
    <w:basedOn w:val="Normal"/>
    <w:next w:val="Normal"/>
    <w:semiHidden/>
    <w:rsid w:val="00C762CC"/>
    <w:pPr>
      <w:ind w:left="1132"/>
    </w:pPr>
  </w:style>
  <w:style w:type="paragraph" w:styleId="Index4">
    <w:name w:val="index 4"/>
    <w:basedOn w:val="Normal"/>
    <w:next w:val="Normal"/>
    <w:semiHidden/>
    <w:rsid w:val="00C762CC"/>
    <w:pPr>
      <w:ind w:left="851"/>
    </w:pPr>
  </w:style>
  <w:style w:type="paragraph" w:styleId="Index3">
    <w:name w:val="index 3"/>
    <w:basedOn w:val="Normal"/>
    <w:next w:val="Normal"/>
    <w:semiHidden/>
    <w:rsid w:val="00C762CC"/>
    <w:pPr>
      <w:ind w:left="567"/>
    </w:pPr>
  </w:style>
  <w:style w:type="paragraph" w:styleId="Index2">
    <w:name w:val="index 2"/>
    <w:basedOn w:val="Normal"/>
    <w:next w:val="Normal"/>
    <w:semiHidden/>
    <w:rsid w:val="00C762CC"/>
    <w:pPr>
      <w:ind w:left="284"/>
    </w:pPr>
  </w:style>
  <w:style w:type="paragraph" w:styleId="Index1">
    <w:name w:val="index 1"/>
    <w:basedOn w:val="Normal"/>
    <w:next w:val="Normal"/>
    <w:semiHidden/>
    <w:rsid w:val="00C762CC"/>
  </w:style>
  <w:style w:type="character" w:styleId="LineNumber">
    <w:name w:val="line number"/>
    <w:basedOn w:val="DefaultParagraphFont"/>
    <w:rsid w:val="00C762CC"/>
  </w:style>
  <w:style w:type="paragraph" w:styleId="IndexHeading">
    <w:name w:val="index heading"/>
    <w:basedOn w:val="Normal"/>
    <w:next w:val="Normal"/>
    <w:semiHidden/>
    <w:rsid w:val="00C762CC"/>
  </w:style>
  <w:style w:type="paragraph" w:styleId="Footer">
    <w:name w:val="footer"/>
    <w:basedOn w:val="Normal"/>
    <w:link w:val="FooterChar"/>
    <w:rsid w:val="00C762C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"/>
    <w:basedOn w:val="Normal"/>
    <w:rsid w:val="00C762C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C762CC"/>
    <w:rPr>
      <w:position w:val="6"/>
      <w:sz w:val="16"/>
    </w:rPr>
  </w:style>
  <w:style w:type="paragraph" w:styleId="FootnoteText">
    <w:name w:val="footnote text"/>
    <w:basedOn w:val="Normal"/>
    <w:semiHidden/>
    <w:rsid w:val="00C762C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762CC"/>
    <w:pPr>
      <w:ind w:left="794"/>
    </w:pPr>
  </w:style>
  <w:style w:type="paragraph" w:customStyle="1" w:styleId="TableLegend">
    <w:name w:val="Table_Legend"/>
    <w:basedOn w:val="TableText"/>
    <w:rsid w:val="00C762CC"/>
    <w:pPr>
      <w:spacing w:before="120"/>
    </w:pPr>
  </w:style>
  <w:style w:type="paragraph" w:customStyle="1" w:styleId="TableText">
    <w:name w:val="Table_Text"/>
    <w:basedOn w:val="Normal"/>
    <w:rsid w:val="00C7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762C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762C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762CC"/>
    <w:pPr>
      <w:spacing w:before="80"/>
      <w:ind w:left="794" w:hanging="794"/>
    </w:pPr>
  </w:style>
  <w:style w:type="paragraph" w:customStyle="1" w:styleId="enumlev2">
    <w:name w:val="enumlev2"/>
    <w:basedOn w:val="enumlev1"/>
    <w:rsid w:val="00C762CC"/>
    <w:pPr>
      <w:ind w:left="1191" w:hanging="397"/>
    </w:pPr>
  </w:style>
  <w:style w:type="paragraph" w:customStyle="1" w:styleId="enumlev3">
    <w:name w:val="enumlev3"/>
    <w:basedOn w:val="enumlev2"/>
    <w:rsid w:val="00C762CC"/>
    <w:pPr>
      <w:ind w:left="1588"/>
    </w:pPr>
  </w:style>
  <w:style w:type="paragraph" w:customStyle="1" w:styleId="TableHead">
    <w:name w:val="Table_Head"/>
    <w:basedOn w:val="TableText"/>
    <w:rsid w:val="00C762C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762C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762CC"/>
    <w:pPr>
      <w:spacing w:before="480"/>
    </w:pPr>
  </w:style>
  <w:style w:type="paragraph" w:customStyle="1" w:styleId="FigureTitle">
    <w:name w:val="Figure_Title"/>
    <w:basedOn w:val="TableTitle"/>
    <w:next w:val="Normal"/>
    <w:rsid w:val="00C762C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762C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762CC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C762C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762CC"/>
  </w:style>
  <w:style w:type="paragraph" w:customStyle="1" w:styleId="AppendixRef">
    <w:name w:val="Appendix_Ref"/>
    <w:basedOn w:val="AnnexRef"/>
    <w:next w:val="AppendixTitle"/>
    <w:rsid w:val="00C762CC"/>
  </w:style>
  <w:style w:type="paragraph" w:customStyle="1" w:styleId="AppendixTitle">
    <w:name w:val="Appendix_Title"/>
    <w:basedOn w:val="AnnexTitle"/>
    <w:next w:val="Normalaftertitle"/>
    <w:rsid w:val="00C762CC"/>
  </w:style>
  <w:style w:type="paragraph" w:customStyle="1" w:styleId="RefTitle">
    <w:name w:val="Ref_Title"/>
    <w:basedOn w:val="Normal"/>
    <w:next w:val="RefText"/>
    <w:rsid w:val="00C762C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762CC"/>
    <w:pPr>
      <w:ind w:left="794" w:hanging="794"/>
    </w:pPr>
  </w:style>
  <w:style w:type="paragraph" w:customStyle="1" w:styleId="Equation">
    <w:name w:val="Equation"/>
    <w:basedOn w:val="Normal"/>
    <w:rsid w:val="00C762C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762C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762CC"/>
    <w:pPr>
      <w:spacing w:before="320"/>
    </w:pPr>
  </w:style>
  <w:style w:type="paragraph" w:customStyle="1" w:styleId="call">
    <w:name w:val="call"/>
    <w:basedOn w:val="Normal"/>
    <w:next w:val="Normal"/>
    <w:rsid w:val="00C762C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762C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762C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762C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762C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762C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762C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762C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762CC"/>
  </w:style>
  <w:style w:type="paragraph" w:customStyle="1" w:styleId="ITUbureau">
    <w:name w:val="ITU_bureau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762C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762CC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7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762C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762C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C762CC"/>
    <w:rPr>
      <w:color w:val="0000FF"/>
      <w:u w:val="single"/>
    </w:rPr>
  </w:style>
  <w:style w:type="paragraph" w:customStyle="1" w:styleId="Qlist">
    <w:name w:val="Qlis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762CC"/>
    <w:pPr>
      <w:tabs>
        <w:tab w:val="left" w:pos="397"/>
      </w:tabs>
    </w:pPr>
  </w:style>
  <w:style w:type="paragraph" w:customStyle="1" w:styleId="FirstFooter">
    <w:name w:val="FirstFooter"/>
    <w:basedOn w:val="Footer"/>
    <w:rsid w:val="00C762C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C762CC"/>
  </w:style>
  <w:style w:type="paragraph" w:styleId="BodyText0">
    <w:name w:val="Body Text"/>
    <w:basedOn w:val="Normal"/>
    <w:rsid w:val="00C762CC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C762CC"/>
  </w:style>
  <w:style w:type="paragraph" w:customStyle="1" w:styleId="AnnexNo">
    <w:name w:val="Annex_No"/>
    <w:basedOn w:val="Normal"/>
    <w:next w:val="Normal"/>
    <w:rsid w:val="00C7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C762CC"/>
    <w:rPr>
      <w:color w:val="800080"/>
      <w:u w:val="single"/>
    </w:rPr>
  </w:style>
  <w:style w:type="paragraph" w:styleId="BodyTextIndent">
    <w:name w:val="Body Text Indent"/>
    <w:basedOn w:val="Normal"/>
    <w:rsid w:val="00C762CC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styleId="Strong">
    <w:name w:val="Strong"/>
    <w:basedOn w:val="DefaultParagraphFont"/>
    <w:qFormat/>
    <w:rsid w:val="00A521E8"/>
    <w:rPr>
      <w:b/>
      <w:bCs/>
    </w:rPr>
  </w:style>
  <w:style w:type="paragraph" w:styleId="Subtitle">
    <w:name w:val="Subtitle"/>
    <w:basedOn w:val="Normal"/>
    <w:qFormat/>
    <w:rsid w:val="00A521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eastAsia="Times New Roman" w:hAnsi="Comic Sans MS"/>
      <w:sz w:val="30"/>
      <w:lang w:val="en-US" w:eastAsia="el-GR"/>
    </w:rPr>
  </w:style>
  <w:style w:type="paragraph" w:styleId="Title">
    <w:name w:val="Title"/>
    <w:basedOn w:val="Normal"/>
    <w:qFormat/>
    <w:rsid w:val="00A521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eastAsia="Times New Roman" w:hAnsi="Comic Sans MS"/>
      <w:sz w:val="28"/>
      <w:lang w:val="en-US" w:eastAsia="el-GR"/>
    </w:rPr>
  </w:style>
  <w:style w:type="paragraph" w:styleId="NormalWeb">
    <w:name w:val="Normal (Web)"/>
    <w:basedOn w:val="Normal"/>
    <w:rsid w:val="002E2EB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paragraph" w:styleId="Caption">
    <w:name w:val="caption"/>
    <w:basedOn w:val="Normal"/>
    <w:next w:val="Normal"/>
    <w:qFormat/>
    <w:rsid w:val="00155E1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lang w:val="en-US"/>
    </w:rPr>
  </w:style>
  <w:style w:type="paragraph" w:styleId="ListParagraph">
    <w:name w:val="List Paragraph"/>
    <w:basedOn w:val="Normal"/>
    <w:uiPriority w:val="99"/>
    <w:qFormat/>
    <w:rsid w:val="00155E10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155E10"/>
    <w:rPr>
      <w:i/>
      <w:iCs/>
    </w:rPr>
  </w:style>
  <w:style w:type="paragraph" w:styleId="BalloonText">
    <w:name w:val="Balloon Text"/>
    <w:basedOn w:val="Normal"/>
    <w:link w:val="BalloonTextChar"/>
    <w:rsid w:val="008A62C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62C1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F1E38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erop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l/T-RES/publications.aspx?lang=en&amp;parent=T-RES-T.76-200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terop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07F2-B8CC-40D7-AEA7-88448A56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1882</Characters>
  <Application>Microsoft Office Word</Application>
  <DocSecurity>4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3027</CharactersWithSpaces>
  <SharedDoc>false</SharedDoc>
  <HLinks>
    <vt:vector size="42" baseType="variant">
      <vt:variant>
        <vt:i4>1966192</vt:i4>
      </vt:variant>
      <vt:variant>
        <vt:i4>18</vt:i4>
      </vt:variant>
      <vt:variant>
        <vt:i4>0</vt:i4>
      </vt:variant>
      <vt:variant>
        <vt:i4>5</vt:i4>
      </vt:variant>
      <vt:variant>
        <vt:lpwstr>mailto:l.dealwis@cto.int</vt:lpwstr>
      </vt:variant>
      <vt:variant>
        <vt:lpwstr/>
      </vt:variant>
      <vt:variant>
        <vt:i4>4587551</vt:i4>
      </vt:variant>
      <vt:variant>
        <vt:i4>15</vt:i4>
      </vt:variant>
      <vt:variant>
        <vt:i4>0</vt:i4>
      </vt:variant>
      <vt:variant>
        <vt:i4>5</vt:i4>
      </vt:variant>
      <vt:variant>
        <vt:lpwstr>http://www.events.cto.int/default.aspx?event=CTOForum2010</vt:lpwstr>
      </vt:variant>
      <vt:variant>
        <vt:lpwstr/>
      </vt:variant>
      <vt:variant>
        <vt:i4>5374039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http://www.itu.int/ITU-T/worksem/joint/CTO/index.html</vt:lpwstr>
      </vt:variant>
      <vt:variant>
        <vt:lpwstr/>
      </vt:variant>
      <vt:variant>
        <vt:i4>1179775</vt:i4>
      </vt:variant>
      <vt:variant>
        <vt:i4>9</vt:i4>
      </vt:variant>
      <vt:variant>
        <vt:i4>0</vt:i4>
      </vt:variant>
      <vt:variant>
        <vt:i4>5</vt:i4>
      </vt:variant>
      <vt:variant>
        <vt:lpwstr>http://www1.hilton.com/en_US/hi/hotel/COLHITW-Hilton-Colombo-hotel/index.do</vt:lpwstr>
      </vt:variant>
      <vt:variant>
        <vt:lpwstr/>
      </vt:variant>
      <vt:variant>
        <vt:i4>5374039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http://www.itu.int/ITU-T/worksem/joint/CTO/index.html</vt:lpwstr>
      </vt:variant>
      <vt:variant>
        <vt:lpwstr/>
      </vt:variant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http://www.itu.int/ITU-T/worksem/joint/CTO/programme.html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2010-10-20T08:01:00Z</cp:lastPrinted>
  <dcterms:created xsi:type="dcterms:W3CDTF">2010-10-20T08:02:00Z</dcterms:created>
  <dcterms:modified xsi:type="dcterms:W3CDTF">2010-10-20T08:02:00Z</dcterms:modified>
</cp:coreProperties>
</file>