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3827"/>
        <w:gridCol w:w="2976"/>
        <w:gridCol w:w="3120"/>
      </w:tblGrid>
      <w:tr w:rsidR="009A61F8" w:rsidRPr="00617BE4">
        <w:trPr>
          <w:cantSplit/>
        </w:trPr>
        <w:tc>
          <w:tcPr>
            <w:tcW w:w="3827" w:type="dxa"/>
            <w:vAlign w:val="center"/>
          </w:tcPr>
          <w:p w:rsidR="009A61F8" w:rsidRPr="00BB168F" w:rsidRDefault="009A61F8" w:rsidP="00C56944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مكتب </w:t>
            </w:r>
            <w:proofErr w:type="spellStart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تقييس</w:t>
            </w:r>
            <w:proofErr w:type="spellEnd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 الاتصالات</w:t>
            </w:r>
          </w:p>
        </w:tc>
        <w:tc>
          <w:tcPr>
            <w:tcW w:w="6096" w:type="dxa"/>
            <w:gridSpan w:val="2"/>
            <w:vAlign w:val="center"/>
          </w:tcPr>
          <w:p w:rsidR="009A61F8" w:rsidRPr="00C56944" w:rsidRDefault="009E072F" w:rsidP="00614F3F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>
                  <wp:extent cx="1819275" cy="7524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944" w:rsidRPr="00617BE4">
        <w:trPr>
          <w:cantSplit/>
        </w:trPr>
        <w:tc>
          <w:tcPr>
            <w:tcW w:w="6803" w:type="dxa"/>
            <w:gridSpan w:val="2"/>
          </w:tcPr>
          <w:p w:rsidR="00C56944" w:rsidRPr="00617BE4" w:rsidRDefault="00C56944" w:rsidP="00C56944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C56944" w:rsidRPr="00617BE4" w:rsidRDefault="00C56944" w:rsidP="00C56944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C56944" w:rsidRPr="00642F8E" w:rsidRDefault="00C56944">
      <w:pPr>
        <w:rPr>
          <w:sz w:val="16"/>
          <w:szCs w:val="16"/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E32073" w:rsidTr="00D84854">
        <w:trPr>
          <w:cantSplit/>
          <w:trHeight w:val="340"/>
          <w:jc w:val="center"/>
        </w:trPr>
        <w:tc>
          <w:tcPr>
            <w:tcW w:w="1533" w:type="dxa"/>
          </w:tcPr>
          <w:p w:rsidR="00E32073" w:rsidRDefault="00E32073" w:rsidP="00642F8E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  <w:tc>
          <w:tcPr>
            <w:tcW w:w="3340" w:type="dxa"/>
          </w:tcPr>
          <w:p w:rsidR="00E32073" w:rsidRDefault="00E32073" w:rsidP="00642F8E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E32073" w:rsidRDefault="00E32073" w:rsidP="00642F8E">
            <w:pPr>
              <w:tabs>
                <w:tab w:val="left" w:pos="4111"/>
              </w:tabs>
              <w:spacing w:before="20" w:after="240" w:line="300" w:lineRule="exact"/>
              <w:ind w:left="57"/>
              <w:rPr>
                <w:sz w:val="21"/>
                <w:szCs w:val="28"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 xml:space="preserve">جنيف، </w:t>
            </w:r>
            <w:r w:rsidR="00B76C6F">
              <w:rPr>
                <w:sz w:val="21"/>
                <w:szCs w:val="28"/>
                <w:lang w:bidi="ar-EG"/>
              </w:rPr>
              <w:t>5</w:t>
            </w:r>
            <w:r w:rsidR="00B76C6F">
              <w:rPr>
                <w:rFonts w:hint="cs"/>
                <w:sz w:val="21"/>
                <w:szCs w:val="28"/>
                <w:rtl/>
                <w:lang w:bidi="ar-EG"/>
              </w:rPr>
              <w:t xml:space="preserve"> أغسطس </w:t>
            </w:r>
            <w:r w:rsidR="00B76C6F">
              <w:rPr>
                <w:sz w:val="21"/>
                <w:szCs w:val="28"/>
                <w:lang w:bidi="ar-EG"/>
              </w:rPr>
              <w:t>2010</w:t>
            </w:r>
          </w:p>
        </w:tc>
      </w:tr>
      <w:tr w:rsidR="00E32073" w:rsidTr="00D84854">
        <w:trPr>
          <w:cantSplit/>
          <w:trHeight w:val="340"/>
          <w:jc w:val="center"/>
        </w:trPr>
        <w:tc>
          <w:tcPr>
            <w:tcW w:w="1533" w:type="dxa"/>
          </w:tcPr>
          <w:p w:rsidR="00E32073" w:rsidRDefault="00E32073" w:rsidP="00642F8E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المرجع:</w:t>
            </w:r>
          </w:p>
        </w:tc>
        <w:tc>
          <w:tcPr>
            <w:tcW w:w="3340" w:type="dxa"/>
          </w:tcPr>
          <w:p w:rsidR="00E32073" w:rsidRPr="00586F78" w:rsidRDefault="00E32073" w:rsidP="00B76C6F">
            <w:pPr>
              <w:jc w:val="left"/>
              <w:rPr>
                <w:rtl/>
                <w:lang w:bidi="ar-EG"/>
              </w:rPr>
            </w:pPr>
            <w:r w:rsidRPr="00D34A31">
              <w:rPr>
                <w:b/>
                <w:bCs/>
              </w:rPr>
              <w:t xml:space="preserve">TSB Circular </w:t>
            </w:r>
            <w:r w:rsidR="00B76C6F">
              <w:rPr>
                <w:b/>
                <w:bCs/>
              </w:rPr>
              <w:t>131</w:t>
            </w:r>
            <w:r w:rsidRPr="00586F78">
              <w:br/>
              <w:t xml:space="preserve">COM </w:t>
            </w:r>
            <w:r w:rsidR="00B76C6F">
              <w:t>16</w:t>
            </w:r>
            <w:r w:rsidRPr="00586F78">
              <w:t>/</w:t>
            </w:r>
            <w:r w:rsidR="00B76C6F">
              <w:t>SC</w:t>
            </w:r>
          </w:p>
        </w:tc>
        <w:tc>
          <w:tcPr>
            <w:tcW w:w="4760" w:type="dxa"/>
          </w:tcPr>
          <w:p w:rsidR="00E32073" w:rsidRDefault="00E32073" w:rsidP="00642F8E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>إلى إدارات الدول الأعضاء في الاتحاد</w:t>
            </w:r>
          </w:p>
          <w:p w:rsidR="00E32073" w:rsidRDefault="00E32073" w:rsidP="00642F8E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  <w:rPr>
                <w:sz w:val="21"/>
                <w:szCs w:val="28"/>
              </w:rPr>
            </w:pPr>
          </w:p>
        </w:tc>
      </w:tr>
      <w:tr w:rsidR="00E32073" w:rsidTr="00D84854">
        <w:trPr>
          <w:cantSplit/>
          <w:jc w:val="center"/>
        </w:trPr>
        <w:tc>
          <w:tcPr>
            <w:tcW w:w="1533" w:type="dxa"/>
          </w:tcPr>
          <w:p w:rsidR="00E32073" w:rsidRDefault="00E32073" w:rsidP="00642F8E">
            <w:pPr>
              <w:spacing w:before="0" w:line="300" w:lineRule="exact"/>
              <w:ind w:left="57"/>
              <w:rPr>
                <w:sz w:val="21"/>
                <w:szCs w:val="28"/>
                <w:rtl/>
                <w:lang w:bidi="ar-SY"/>
              </w:rPr>
            </w:pPr>
          </w:p>
        </w:tc>
        <w:tc>
          <w:tcPr>
            <w:tcW w:w="3340" w:type="dxa"/>
          </w:tcPr>
          <w:p w:rsidR="00E32073" w:rsidRDefault="00E32073" w:rsidP="00642F8E">
            <w:pPr>
              <w:tabs>
                <w:tab w:val="left" w:pos="4111"/>
              </w:tabs>
              <w:spacing w:before="0" w:line="300" w:lineRule="exact"/>
              <w:ind w:left="57"/>
              <w:jc w:val="left"/>
              <w:rPr>
                <w:sz w:val="21"/>
                <w:szCs w:val="28"/>
              </w:rPr>
            </w:pPr>
          </w:p>
        </w:tc>
        <w:tc>
          <w:tcPr>
            <w:tcW w:w="4760" w:type="dxa"/>
          </w:tcPr>
          <w:p w:rsidR="00E32073" w:rsidRDefault="00E32073" w:rsidP="00642F8E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b/>
                <w:bCs/>
                <w:sz w:val="21"/>
                <w:szCs w:val="28"/>
                <w:rtl/>
              </w:rPr>
            </w:pPr>
          </w:p>
        </w:tc>
      </w:tr>
      <w:tr w:rsidR="00E32073" w:rsidTr="00D84854">
        <w:trPr>
          <w:cantSplit/>
          <w:jc w:val="center"/>
        </w:trPr>
        <w:tc>
          <w:tcPr>
            <w:tcW w:w="1533" w:type="dxa"/>
          </w:tcPr>
          <w:p w:rsidR="00E32073" w:rsidRDefault="00E32073" w:rsidP="00642F8E">
            <w:pPr>
              <w:spacing w:before="20" w:after="60" w:line="300" w:lineRule="exact"/>
              <w:ind w:left="5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hint="cs"/>
                <w:sz w:val="21"/>
                <w:szCs w:val="28"/>
                <w:rtl/>
              </w:rPr>
              <w:t>:</w:t>
            </w:r>
          </w:p>
          <w:p w:rsidR="00E32073" w:rsidRDefault="00E32073" w:rsidP="00642F8E">
            <w:pPr>
              <w:spacing w:before="20" w:after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الفاكس:</w:t>
            </w:r>
          </w:p>
          <w:p w:rsidR="00E32073" w:rsidRDefault="00E32073" w:rsidP="00642F8E">
            <w:pPr>
              <w:spacing w:before="20" w:after="60" w:line="300" w:lineRule="exact"/>
              <w:ind w:left="57"/>
              <w:jc w:val="left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E32073" w:rsidRPr="00A55B28" w:rsidRDefault="00E529E7" w:rsidP="00E529E7">
            <w:pPr>
              <w:tabs>
                <w:tab w:val="right" w:pos="1499"/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  <w:rtl/>
              </w:rPr>
            </w:pPr>
            <w:r>
              <w:rPr>
                <w:sz w:val="21"/>
                <w:szCs w:val="28"/>
              </w:rPr>
              <w:tab/>
            </w:r>
            <w:r w:rsidR="00E32073">
              <w:rPr>
                <w:sz w:val="21"/>
                <w:szCs w:val="28"/>
              </w:rPr>
              <w:t xml:space="preserve">+41 </w:t>
            </w:r>
            <w:r w:rsidR="00E32073" w:rsidRPr="00A55B28">
              <w:rPr>
                <w:sz w:val="21"/>
                <w:szCs w:val="28"/>
              </w:rPr>
              <w:t xml:space="preserve">22 730 </w:t>
            </w:r>
            <w:r w:rsidR="00E411E9">
              <w:rPr>
                <w:sz w:val="21"/>
                <w:szCs w:val="28"/>
              </w:rPr>
              <w:t>6805</w:t>
            </w:r>
          </w:p>
          <w:p w:rsidR="00E32073" w:rsidRPr="00A55B28" w:rsidRDefault="00E32073" w:rsidP="00264241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sz w:val="21"/>
                <w:szCs w:val="28"/>
                <w:rtl/>
                <w:lang w:bidi="ar-EG"/>
              </w:rPr>
            </w:pPr>
            <w:r w:rsidRPr="00A55B28">
              <w:rPr>
                <w:sz w:val="21"/>
                <w:szCs w:val="28"/>
              </w:rPr>
              <w:t>+41 22 730 5853</w:t>
            </w:r>
          </w:p>
          <w:p w:rsidR="00E32073" w:rsidRPr="00E567BD" w:rsidRDefault="00587FB3" w:rsidP="00E567BD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1"/>
              </w:rPr>
            </w:pPr>
            <w:hyperlink r:id="rId7" w:history="1">
              <w:r w:rsidR="00E567BD" w:rsidRPr="00E567BD">
                <w:rPr>
                  <w:rStyle w:val="Hyperlink"/>
                  <w:sz w:val="21"/>
                  <w:szCs w:val="21"/>
                  <w:lang w:val="en-GB"/>
                </w:rPr>
                <w:t>tsbsg16@itu.int</w:t>
              </w:r>
            </w:hyperlink>
          </w:p>
        </w:tc>
        <w:tc>
          <w:tcPr>
            <w:tcW w:w="4760" w:type="dxa"/>
          </w:tcPr>
          <w:p w:rsidR="00E32073" w:rsidRDefault="00E32073" w:rsidP="00642F8E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b/>
                <w:bCs/>
                <w:sz w:val="21"/>
                <w:szCs w:val="28"/>
                <w:rtl/>
              </w:rPr>
            </w:pPr>
            <w:r>
              <w:rPr>
                <w:rFonts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E32073" w:rsidRDefault="00E32073" w:rsidP="00F95C64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 xml:space="preserve">أعضاء قطاع </w:t>
            </w:r>
            <w:proofErr w:type="spellStart"/>
            <w:r>
              <w:rPr>
                <w:rFonts w:hint="cs"/>
                <w:sz w:val="21"/>
                <w:szCs w:val="28"/>
                <w:rtl/>
              </w:rPr>
              <w:t>تقييس</w:t>
            </w:r>
            <w:proofErr w:type="spellEnd"/>
            <w:r>
              <w:rPr>
                <w:rFonts w:hint="cs"/>
                <w:sz w:val="21"/>
                <w:szCs w:val="28"/>
                <w:rtl/>
              </w:rPr>
              <w:t xml:space="preserve"> الاتصالات؛</w:t>
            </w:r>
          </w:p>
          <w:p w:rsidR="00E32073" w:rsidRDefault="00E32073" w:rsidP="00F95C64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 xml:space="preserve">المنتسبين </w:t>
            </w:r>
            <w:r>
              <w:rPr>
                <w:rFonts w:hint="cs"/>
                <w:sz w:val="21"/>
                <w:szCs w:val="28"/>
                <w:rtl/>
              </w:rPr>
              <w:t>إلى</w:t>
            </w:r>
            <w:r>
              <w:rPr>
                <w:sz w:val="21"/>
                <w:szCs w:val="28"/>
                <w:rtl/>
              </w:rPr>
              <w:t xml:space="preserve"> قطاع </w:t>
            </w:r>
            <w:proofErr w:type="spellStart"/>
            <w:r>
              <w:rPr>
                <w:sz w:val="21"/>
                <w:szCs w:val="28"/>
                <w:rtl/>
              </w:rPr>
              <w:t>تقييس</w:t>
            </w:r>
            <w:proofErr w:type="spellEnd"/>
            <w:r>
              <w:rPr>
                <w:sz w:val="21"/>
                <w:szCs w:val="28"/>
                <w:rtl/>
              </w:rPr>
              <w:t xml:space="preserve"> الاتصالات</w:t>
            </w:r>
            <w:r>
              <w:rPr>
                <w:rFonts w:hint="cs"/>
                <w:sz w:val="21"/>
                <w:szCs w:val="28"/>
                <w:rtl/>
              </w:rPr>
              <w:t>؛</w:t>
            </w:r>
          </w:p>
          <w:p w:rsidR="00E32073" w:rsidRDefault="00E32073" w:rsidP="00F95C64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 xml:space="preserve">رئيس لجنة الدراسات </w:t>
            </w:r>
            <w:r w:rsidR="00B76C6F">
              <w:rPr>
                <w:sz w:val="21"/>
                <w:szCs w:val="28"/>
              </w:rPr>
              <w:t>16</w:t>
            </w:r>
            <w:r>
              <w:rPr>
                <w:rFonts w:hint="cs"/>
                <w:sz w:val="21"/>
                <w:szCs w:val="28"/>
                <w:rtl/>
              </w:rPr>
              <w:t xml:space="preserve"> ونوابه؛</w:t>
            </w:r>
          </w:p>
          <w:p w:rsidR="00E32073" w:rsidRDefault="00E32073" w:rsidP="00F95C64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hint="cs"/>
                <w:sz w:val="21"/>
                <w:szCs w:val="28"/>
                <w:rtl/>
              </w:rPr>
              <w:t>؛</w:t>
            </w:r>
          </w:p>
          <w:p w:rsidR="00E32073" w:rsidRDefault="00E32073" w:rsidP="00F95C64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 xml:space="preserve">مدير مكتب الاتصالات </w:t>
            </w:r>
            <w:proofErr w:type="spellStart"/>
            <w:r>
              <w:rPr>
                <w:sz w:val="21"/>
                <w:szCs w:val="28"/>
                <w:rtl/>
              </w:rPr>
              <w:t>الراديوية</w:t>
            </w:r>
            <w:proofErr w:type="spellEnd"/>
          </w:p>
        </w:tc>
      </w:tr>
    </w:tbl>
    <w:p w:rsidR="00064EC5" w:rsidRDefault="009F4B09" w:rsidP="00B76C6F">
      <w:pPr>
        <w:spacing w:before="240"/>
        <w:ind w:left="924" w:hanging="924"/>
        <w:rPr>
          <w:b/>
          <w:bCs/>
          <w:rtl/>
          <w:lang w:bidi="ar-EG"/>
        </w:rPr>
      </w:pPr>
      <w:bookmarkStart w:id="0" w:name="dtemplate"/>
      <w:bookmarkEnd w:id="0"/>
      <w:r w:rsidRPr="005F33FD">
        <w:rPr>
          <w:rFonts w:hint="cs"/>
          <w:rtl/>
        </w:rPr>
        <w:t>الموضوع:</w:t>
      </w:r>
      <w:r w:rsidRPr="005F33FD">
        <w:rPr>
          <w:rtl/>
        </w:rPr>
        <w:tab/>
      </w:r>
      <w:r w:rsidR="0021011A">
        <w:rPr>
          <w:rFonts w:hint="cs"/>
          <w:b/>
          <w:bCs/>
          <w:rtl/>
          <w:lang w:bidi="ar-EG"/>
        </w:rPr>
        <w:t>الموافقة على</w:t>
      </w:r>
      <w:r w:rsidR="00E32073">
        <w:rPr>
          <w:b/>
          <w:bCs/>
          <w:lang w:bidi="ar-EG"/>
        </w:rPr>
        <w:t xml:space="preserve"> </w:t>
      </w:r>
      <w:r w:rsidR="00E529E7">
        <w:rPr>
          <w:rFonts w:hint="cs"/>
          <w:b/>
          <w:bCs/>
          <w:rtl/>
          <w:lang w:bidi="ar-EG"/>
        </w:rPr>
        <w:t xml:space="preserve">المسألة </w:t>
      </w:r>
      <w:r w:rsidR="00B76C6F">
        <w:rPr>
          <w:b/>
          <w:bCs/>
          <w:lang w:bidi="ar-EG"/>
        </w:rPr>
        <w:t>5/16</w:t>
      </w:r>
      <w:r w:rsidR="00B76C6F">
        <w:rPr>
          <w:rFonts w:hint="cs"/>
          <w:b/>
          <w:bCs/>
          <w:rtl/>
          <w:lang w:bidi="ar-EG"/>
        </w:rPr>
        <w:t xml:space="preserve"> "أنظمة الحضور عن </w:t>
      </w:r>
      <w:r w:rsidR="00BB237E">
        <w:rPr>
          <w:rFonts w:hint="cs"/>
          <w:b/>
          <w:bCs/>
          <w:rtl/>
          <w:lang w:bidi="ar-EG"/>
        </w:rPr>
        <w:t>بُعد</w:t>
      </w:r>
      <w:r w:rsidR="00B76C6F">
        <w:rPr>
          <w:rFonts w:hint="cs"/>
          <w:b/>
          <w:bCs/>
          <w:rtl/>
          <w:lang w:bidi="ar-EG"/>
        </w:rPr>
        <w:t>"</w:t>
      </w:r>
    </w:p>
    <w:p w:rsidR="009F4B09" w:rsidRPr="005F33FD" w:rsidRDefault="009F4B09" w:rsidP="0082673E">
      <w:pPr>
        <w:spacing w:before="480"/>
        <w:rPr>
          <w:rtl/>
        </w:rPr>
      </w:pPr>
      <w:proofErr w:type="spellStart"/>
      <w:r w:rsidRPr="005F33FD">
        <w:rPr>
          <w:rFonts w:hint="cs"/>
          <w:rtl/>
        </w:rPr>
        <w:t>حضرات</w:t>
      </w:r>
      <w:proofErr w:type="spellEnd"/>
      <w:r w:rsidRPr="005F33FD">
        <w:rPr>
          <w:rFonts w:hint="cs"/>
          <w:rtl/>
        </w:rPr>
        <w:t xml:space="preserve"> </w:t>
      </w:r>
      <w:r w:rsidR="005D488B">
        <w:rPr>
          <w:rFonts w:hint="cs"/>
          <w:rtl/>
        </w:rPr>
        <w:t>السادة</w:t>
      </w:r>
      <w:r w:rsidR="0010144A" w:rsidRPr="0010144A">
        <w:rPr>
          <w:rFonts w:hint="cs"/>
          <w:rtl/>
        </w:rPr>
        <w:t xml:space="preserve"> </w:t>
      </w:r>
      <w:r w:rsidR="005D488B"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9F4B09" w:rsidRPr="005F33FD" w:rsidRDefault="00FA6851" w:rsidP="00BB237E">
      <w:pPr>
        <w:rPr>
          <w:rtl/>
          <w:lang w:bidi="ar-EG"/>
        </w:rPr>
      </w:pPr>
      <w:r>
        <w:rPr>
          <w:rFonts w:hint="cs"/>
          <w:rtl/>
        </w:rPr>
        <w:t xml:space="preserve">تحية طيبة </w:t>
      </w:r>
      <w:r w:rsidR="00BB237E">
        <w:rPr>
          <w:rFonts w:hint="cs"/>
          <w:rtl/>
        </w:rPr>
        <w:t>وبعد</w:t>
      </w:r>
      <w:r>
        <w:rPr>
          <w:rFonts w:hint="cs"/>
          <w:rtl/>
        </w:rPr>
        <w:t>،</w:t>
      </w:r>
    </w:p>
    <w:p w:rsidR="009F4B09" w:rsidRPr="00586F78" w:rsidRDefault="009F4B09" w:rsidP="00263B9E">
      <w:pPr>
        <w:rPr>
          <w:rtl/>
        </w:rPr>
      </w:pPr>
      <w:r w:rsidRPr="00586F78">
        <w:t>1</w:t>
      </w:r>
      <w:r w:rsidR="00A26EA0" w:rsidRPr="00586F78">
        <w:tab/>
      </w:r>
      <w:r w:rsidR="00E32073" w:rsidRPr="00586F78">
        <w:rPr>
          <w:rFonts w:hint="cs"/>
          <w:rtl/>
          <w:lang w:bidi="ar-EG"/>
        </w:rPr>
        <w:t xml:space="preserve">بناءً على طلب رئيس لجنة الدراسات </w:t>
      </w:r>
      <w:r w:rsidR="00C35C41">
        <w:rPr>
          <w:lang w:bidi="ar-EG"/>
        </w:rPr>
        <w:t>16</w:t>
      </w:r>
      <w:r w:rsidR="00E529E7">
        <w:rPr>
          <w:rFonts w:hint="cs"/>
          <w:rtl/>
          <w:lang w:bidi="ar-EG"/>
        </w:rPr>
        <w:t xml:space="preserve"> </w:t>
      </w:r>
      <w:r w:rsidR="00C35C41">
        <w:rPr>
          <w:lang w:bidi="ar-EG"/>
        </w:rPr>
        <w:t>)</w:t>
      </w:r>
      <w:proofErr w:type="spellStart"/>
      <w:r w:rsidR="00C35C41" w:rsidRPr="00C35C41">
        <w:rPr>
          <w:rFonts w:hint="cs"/>
          <w:i/>
          <w:iCs/>
          <w:rtl/>
          <w:lang w:bidi="ar-EG"/>
        </w:rPr>
        <w:t>مطاريف</w:t>
      </w:r>
      <w:proofErr w:type="spellEnd"/>
      <w:r w:rsidR="00C35C41" w:rsidRPr="00C35C41">
        <w:rPr>
          <w:rFonts w:hint="cs"/>
          <w:i/>
          <w:iCs/>
          <w:rtl/>
          <w:lang w:bidi="ar-EG"/>
        </w:rPr>
        <w:t xml:space="preserve"> الوسائط المتعددة وأنظمتها وتطبيقاتها</w:t>
      </w:r>
      <w:r w:rsidR="00C35C41">
        <w:rPr>
          <w:rFonts w:hint="cs"/>
          <w:rtl/>
          <w:lang w:bidi="ar-EG"/>
        </w:rPr>
        <w:t>)</w:t>
      </w:r>
      <w:r w:rsidR="00E32073" w:rsidRPr="00586F78">
        <w:rPr>
          <w:rFonts w:hint="cs"/>
          <w:rtl/>
          <w:lang w:bidi="ar-EG"/>
        </w:rPr>
        <w:t>، أتشرف بإبلاغكم بأن الدول الأعضاء وأعضاء القطاع الحاضرين في الاجتماع الأخير للجنة الدراسات، الذي عقد في جنيف في الفترة من</w:t>
      </w:r>
      <w:r w:rsidR="00C35C41">
        <w:rPr>
          <w:rFonts w:hint="eastAsia"/>
          <w:rtl/>
          <w:lang w:bidi="ar-EG"/>
        </w:rPr>
        <w:t> </w:t>
      </w:r>
      <w:r w:rsidR="00C35C41">
        <w:rPr>
          <w:lang w:bidi="ar-EG"/>
        </w:rPr>
        <w:t>19</w:t>
      </w:r>
      <w:r w:rsidR="00E32073" w:rsidRPr="00586F78">
        <w:rPr>
          <w:rFonts w:hint="cs"/>
          <w:rtl/>
          <w:lang w:bidi="ar-EG"/>
        </w:rPr>
        <w:t xml:space="preserve"> إلى</w:t>
      </w:r>
      <w:r w:rsidR="00263B9E">
        <w:rPr>
          <w:rFonts w:hint="eastAsia"/>
          <w:rtl/>
          <w:lang w:bidi="ar-EG"/>
        </w:rPr>
        <w:t> </w:t>
      </w:r>
      <w:r w:rsidR="00C35C41">
        <w:rPr>
          <w:lang w:bidi="ar-EG"/>
        </w:rPr>
        <w:t>30</w:t>
      </w:r>
      <w:r w:rsidR="00C35C41">
        <w:rPr>
          <w:rFonts w:hint="cs"/>
          <w:rtl/>
          <w:lang w:bidi="ar-EG"/>
        </w:rPr>
        <w:t xml:space="preserve"> يوليو </w:t>
      </w:r>
      <w:r w:rsidR="00C35C41">
        <w:rPr>
          <w:lang w:bidi="ar-EG"/>
        </w:rPr>
        <w:t>2010</w:t>
      </w:r>
      <w:r w:rsidR="00E32073" w:rsidRPr="00586F78">
        <w:rPr>
          <w:rFonts w:hint="cs"/>
          <w:rtl/>
          <w:lang w:bidi="ar-EG"/>
        </w:rPr>
        <w:t xml:space="preserve">، اتفقوا، بتوافق الآراء، وفقاً للإجراء المبين في الفقرة </w:t>
      </w:r>
      <w:r w:rsidR="00E32073" w:rsidRPr="00586F78">
        <w:rPr>
          <w:lang w:bidi="ar-EG"/>
        </w:rPr>
        <w:t>2.2.7</w:t>
      </w:r>
      <w:r w:rsidR="00E32073" w:rsidRPr="00586F78">
        <w:rPr>
          <w:rFonts w:hint="cs"/>
          <w:rtl/>
          <w:lang w:bidi="ar-EG"/>
        </w:rPr>
        <w:t xml:space="preserve"> من القسم </w:t>
      </w:r>
      <w:r w:rsidR="00E32073" w:rsidRPr="00586F78">
        <w:rPr>
          <w:lang w:bidi="ar-EG"/>
        </w:rPr>
        <w:t>7</w:t>
      </w:r>
      <w:r w:rsidR="00E32073" w:rsidRPr="00586F78">
        <w:rPr>
          <w:rFonts w:hint="cs"/>
          <w:rtl/>
          <w:lang w:bidi="ar-EG"/>
        </w:rPr>
        <w:t xml:space="preserve"> من القرار </w:t>
      </w:r>
      <w:r w:rsidR="00E32073" w:rsidRPr="00586F78">
        <w:rPr>
          <w:lang w:bidi="ar-EG"/>
        </w:rPr>
        <w:t>1</w:t>
      </w:r>
      <w:r w:rsidR="00E32073" w:rsidRPr="00586F78">
        <w:rPr>
          <w:rFonts w:hint="cs"/>
          <w:rtl/>
          <w:lang w:bidi="ar-EG"/>
        </w:rPr>
        <w:t xml:space="preserve"> للجمعية العالمية </w:t>
      </w:r>
      <w:proofErr w:type="spellStart"/>
      <w:r w:rsidR="00E32073" w:rsidRPr="00586F78">
        <w:rPr>
          <w:rFonts w:hint="cs"/>
          <w:rtl/>
          <w:lang w:bidi="ar-EG"/>
        </w:rPr>
        <w:t>لتقييس</w:t>
      </w:r>
      <w:proofErr w:type="spellEnd"/>
      <w:r w:rsidR="00E32073" w:rsidRPr="00586F78">
        <w:rPr>
          <w:rFonts w:hint="cs"/>
          <w:rtl/>
          <w:lang w:bidi="ar-EG"/>
        </w:rPr>
        <w:t xml:space="preserve"> الاتصالات (</w:t>
      </w:r>
      <w:proofErr w:type="spellStart"/>
      <w:r w:rsidR="00E529E7">
        <w:rPr>
          <w:rFonts w:hint="cs"/>
          <w:rtl/>
        </w:rPr>
        <w:t>جوهانسبرغ</w:t>
      </w:r>
      <w:proofErr w:type="spellEnd"/>
      <w:r w:rsidR="00E529E7">
        <w:rPr>
          <w:rFonts w:hint="cs"/>
          <w:rtl/>
        </w:rPr>
        <w:t xml:space="preserve">، </w:t>
      </w:r>
      <w:r w:rsidR="00E529E7">
        <w:t>2008</w:t>
      </w:r>
      <w:r w:rsidR="00E32073" w:rsidRPr="00586F78">
        <w:rPr>
          <w:rFonts w:hint="cs"/>
          <w:rtl/>
        </w:rPr>
        <w:t xml:space="preserve">)، على </w:t>
      </w:r>
      <w:r w:rsidR="00E529E7">
        <w:rPr>
          <w:rFonts w:hint="cs"/>
          <w:rtl/>
        </w:rPr>
        <w:t xml:space="preserve">الموافقة على المسألة </w:t>
      </w:r>
      <w:r w:rsidR="0015179E">
        <w:rPr>
          <w:rFonts w:hint="cs"/>
          <w:rtl/>
        </w:rPr>
        <w:t xml:space="preserve">الجديدة </w:t>
      </w:r>
      <w:r w:rsidR="00E529E7">
        <w:rPr>
          <w:rFonts w:hint="cs"/>
          <w:rtl/>
        </w:rPr>
        <w:t>التالية</w:t>
      </w:r>
      <w:r w:rsidR="00E32073" w:rsidRPr="00586F78">
        <w:rPr>
          <w:rFonts w:hint="cs"/>
          <w:rtl/>
        </w:rPr>
        <w:t>:</w:t>
      </w:r>
    </w:p>
    <w:p w:rsidR="00E32073" w:rsidRPr="002330BE" w:rsidRDefault="00E567BD" w:rsidP="00263B9E">
      <w:pPr>
        <w:ind w:left="-6"/>
        <w:rPr>
          <w:spacing w:val="-4"/>
          <w:rtl/>
          <w:lang w:bidi="ar-EG"/>
        </w:rPr>
      </w:pPr>
      <w:r>
        <w:rPr>
          <w:rFonts w:hint="cs"/>
          <w:spacing w:val="-4"/>
        </w:rPr>
        <w:sym w:font="Symbol" w:char="F0B7"/>
      </w:r>
      <w:r>
        <w:rPr>
          <w:rFonts w:hint="cs"/>
          <w:spacing w:val="-4"/>
          <w:rtl/>
        </w:rPr>
        <w:tab/>
      </w:r>
      <w:r w:rsidR="00E32073" w:rsidRPr="002330BE">
        <w:rPr>
          <w:rFonts w:hint="cs"/>
          <w:spacing w:val="-4"/>
          <w:rtl/>
        </w:rPr>
        <w:t xml:space="preserve">المسألة </w:t>
      </w:r>
      <w:r w:rsidR="000C546F">
        <w:rPr>
          <w:spacing w:val="-4"/>
        </w:rPr>
        <w:t>5/16</w:t>
      </w:r>
      <w:r w:rsidR="000C546F">
        <w:rPr>
          <w:rFonts w:hint="cs"/>
          <w:spacing w:val="-4"/>
          <w:rtl/>
          <w:lang w:bidi="ar-EG"/>
        </w:rPr>
        <w:t xml:space="preserve"> "أنظمة الحضور عن </w:t>
      </w:r>
      <w:r w:rsidR="00BB237E">
        <w:rPr>
          <w:rFonts w:hint="cs"/>
          <w:spacing w:val="-4"/>
          <w:rtl/>
          <w:lang w:bidi="ar-EG"/>
        </w:rPr>
        <w:t>بُعد</w:t>
      </w:r>
      <w:r w:rsidR="000C546F">
        <w:rPr>
          <w:rFonts w:hint="cs"/>
          <w:spacing w:val="-4"/>
          <w:rtl/>
          <w:lang w:bidi="ar-EG"/>
        </w:rPr>
        <w:t xml:space="preserve">" </w:t>
      </w:r>
      <w:r w:rsidR="00E529E7">
        <w:rPr>
          <w:rFonts w:hint="cs"/>
          <w:spacing w:val="-4"/>
          <w:rtl/>
          <w:lang w:bidi="ar-EG"/>
        </w:rPr>
        <w:t xml:space="preserve">(انظر الملحق </w:t>
      </w:r>
      <w:r w:rsidR="00E529E7">
        <w:rPr>
          <w:spacing w:val="-4"/>
          <w:lang w:bidi="ar-EG"/>
        </w:rPr>
        <w:t>1</w:t>
      </w:r>
      <w:r w:rsidR="00E529E7">
        <w:rPr>
          <w:rFonts w:hint="cs"/>
          <w:spacing w:val="-4"/>
          <w:rtl/>
          <w:lang w:bidi="ar-EG"/>
        </w:rPr>
        <w:t>)</w:t>
      </w:r>
    </w:p>
    <w:p w:rsidR="00642F8E" w:rsidRDefault="004067A6" w:rsidP="000C546F">
      <w:pPr>
        <w:rPr>
          <w:rtl/>
          <w:lang w:bidi="ar-EG"/>
        </w:rPr>
      </w:pPr>
      <w:r>
        <w:rPr>
          <w:lang w:bidi="ar-EG"/>
        </w:rPr>
        <w:t>2</w:t>
      </w:r>
      <w:r w:rsidR="00A26EA0">
        <w:rPr>
          <w:rFonts w:hint="cs"/>
          <w:rtl/>
          <w:lang w:bidi="ar-EG"/>
        </w:rPr>
        <w:tab/>
      </w:r>
      <w:r w:rsidR="00642F8E" w:rsidRPr="00642F8E">
        <w:rPr>
          <w:rFonts w:hint="cs"/>
          <w:b/>
          <w:bCs/>
          <w:rtl/>
          <w:lang w:bidi="ar-EG"/>
        </w:rPr>
        <w:t>ومن ثم</w:t>
      </w:r>
      <w:r w:rsidR="00264241">
        <w:rPr>
          <w:rFonts w:hint="cs"/>
          <w:b/>
          <w:bCs/>
          <w:rtl/>
          <w:lang w:bidi="ar-EG"/>
        </w:rPr>
        <w:t>َّ</w:t>
      </w:r>
      <w:r w:rsidR="00642F8E" w:rsidRPr="00642F8E">
        <w:rPr>
          <w:rFonts w:hint="cs"/>
          <w:b/>
          <w:bCs/>
          <w:rtl/>
          <w:lang w:bidi="ar-EG"/>
        </w:rPr>
        <w:t xml:space="preserve">، </w:t>
      </w:r>
      <w:r w:rsidR="00E529E7">
        <w:rPr>
          <w:rFonts w:hint="cs"/>
          <w:b/>
          <w:bCs/>
          <w:rtl/>
          <w:lang w:bidi="ar-EG"/>
        </w:rPr>
        <w:t xml:space="preserve">تمت الموافقة على المسألة </w:t>
      </w:r>
      <w:r w:rsidR="000C546F">
        <w:rPr>
          <w:b/>
          <w:bCs/>
          <w:lang w:bidi="ar-EG"/>
        </w:rPr>
        <w:t>5/16</w:t>
      </w:r>
      <w:r w:rsidR="00687397">
        <w:rPr>
          <w:rFonts w:hint="cs"/>
          <w:b/>
          <w:bCs/>
          <w:rtl/>
          <w:lang w:bidi="ar-EG"/>
        </w:rPr>
        <w:t xml:space="preserve"> </w:t>
      </w:r>
      <w:r w:rsidR="000C546F">
        <w:rPr>
          <w:rFonts w:hint="cs"/>
          <w:b/>
          <w:bCs/>
          <w:rtl/>
          <w:lang w:bidi="ar-EG"/>
        </w:rPr>
        <w:t xml:space="preserve">"أنظمة الحضور عن </w:t>
      </w:r>
      <w:r w:rsidR="00BB237E">
        <w:rPr>
          <w:rFonts w:hint="cs"/>
          <w:b/>
          <w:bCs/>
          <w:rtl/>
          <w:lang w:bidi="ar-EG"/>
        </w:rPr>
        <w:t>بُعد</w:t>
      </w:r>
      <w:r w:rsidR="000C546F">
        <w:rPr>
          <w:rFonts w:hint="cs"/>
          <w:b/>
          <w:bCs/>
          <w:rtl/>
          <w:lang w:bidi="ar-EG"/>
        </w:rPr>
        <w:t>".</w:t>
      </w:r>
    </w:p>
    <w:p w:rsidR="00642F8E" w:rsidRDefault="00642F8E" w:rsidP="000C546F">
      <w:pPr>
        <w:rPr>
          <w:spacing w:val="-2"/>
          <w:rtl/>
          <w:lang w:bidi="ar-EG"/>
        </w:rPr>
      </w:pPr>
      <w:r w:rsidRPr="00E529E7">
        <w:rPr>
          <w:spacing w:val="-2"/>
          <w:lang w:bidi="ar-EG"/>
        </w:rPr>
        <w:t>3</w:t>
      </w:r>
      <w:r w:rsidRPr="00E529E7">
        <w:rPr>
          <w:rFonts w:hint="cs"/>
          <w:spacing w:val="-2"/>
          <w:rtl/>
          <w:lang w:bidi="ar-EG"/>
        </w:rPr>
        <w:tab/>
        <w:t xml:space="preserve">ومن المفترض أن تخضع التوصيات الناجمة عن ذلك لعملية الموافقة البديلة </w:t>
      </w:r>
      <w:r w:rsidRPr="00E529E7">
        <w:rPr>
          <w:spacing w:val="-2"/>
          <w:lang w:bidi="ar-EG"/>
        </w:rPr>
        <w:t>(AAP)</w:t>
      </w:r>
      <w:r w:rsidRPr="00E529E7">
        <w:rPr>
          <w:rFonts w:hint="cs"/>
          <w:spacing w:val="-2"/>
          <w:rtl/>
          <w:lang w:bidi="ar-EG"/>
        </w:rPr>
        <w:t>.</w:t>
      </w:r>
    </w:p>
    <w:p w:rsidR="00687397" w:rsidRPr="00E529E7" w:rsidRDefault="00687397" w:rsidP="0089610B">
      <w:pPr>
        <w:rPr>
          <w:spacing w:val="-2"/>
          <w:rtl/>
          <w:lang w:bidi="ar-EG"/>
        </w:rPr>
      </w:pPr>
      <w:r>
        <w:rPr>
          <w:spacing w:val="-2"/>
          <w:lang w:bidi="ar-EG"/>
        </w:rPr>
        <w:t>4</w:t>
      </w:r>
      <w:r>
        <w:rPr>
          <w:rFonts w:hint="cs"/>
          <w:spacing w:val="-2"/>
          <w:rtl/>
          <w:lang w:bidi="ar-EG"/>
        </w:rPr>
        <w:tab/>
      </w:r>
      <w:r w:rsidR="0089610B">
        <w:rPr>
          <w:rFonts w:hint="cs"/>
          <w:spacing w:val="-2"/>
          <w:rtl/>
          <w:lang w:bidi="ar-EG"/>
        </w:rPr>
        <w:t xml:space="preserve">والمسألة أسندت بشكل مؤقت لفرقة العمل </w:t>
      </w:r>
      <w:r w:rsidR="0089610B">
        <w:rPr>
          <w:spacing w:val="-2"/>
          <w:lang w:bidi="ar-EG"/>
        </w:rPr>
        <w:t>2/16</w:t>
      </w:r>
      <w:r w:rsidR="0089610B">
        <w:rPr>
          <w:rFonts w:hint="cs"/>
          <w:spacing w:val="-2"/>
          <w:rtl/>
          <w:lang w:bidi="ar-EG"/>
        </w:rPr>
        <w:t xml:space="preserve"> "التطبيقات والأنظمة".</w:t>
      </w:r>
    </w:p>
    <w:p w:rsidR="009F4B09" w:rsidRPr="005F33FD" w:rsidRDefault="007A66C2" w:rsidP="00FB1373">
      <w:pPr>
        <w:spacing w:before="240"/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>
        <w:rPr>
          <w:rFonts w:hint="cs"/>
          <w:rtl/>
          <w:lang w:bidi="ar-EG"/>
        </w:rPr>
        <w:t xml:space="preserve"> التقدير و</w:t>
      </w:r>
      <w:r w:rsidRPr="005F33FD">
        <w:rPr>
          <w:rFonts w:hint="cs"/>
          <w:rtl/>
          <w:lang w:bidi="ar-EG"/>
        </w:rPr>
        <w:t>الاحترام.</w:t>
      </w:r>
    </w:p>
    <w:p w:rsidR="008165EA" w:rsidRDefault="007A66C2" w:rsidP="00FB1373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 xml:space="preserve">مدير مكتب </w:t>
      </w:r>
      <w:proofErr w:type="spellStart"/>
      <w:r w:rsidRPr="005F33FD">
        <w:rPr>
          <w:rFonts w:hint="cs"/>
          <w:rtl/>
          <w:lang w:bidi="ar-EG"/>
        </w:rPr>
        <w:t>تقييس</w:t>
      </w:r>
      <w:proofErr w:type="spellEnd"/>
      <w:r w:rsidRPr="005F33FD">
        <w:rPr>
          <w:rFonts w:hint="cs"/>
          <w:rtl/>
          <w:lang w:bidi="ar-EG"/>
        </w:rPr>
        <w:t xml:space="preserve"> الاتصالات</w:t>
      </w:r>
    </w:p>
    <w:p w:rsidR="00642F8E" w:rsidRDefault="00642F8E" w:rsidP="00795FF6">
      <w:pPr>
        <w:spacing w:before="360"/>
        <w:jc w:val="lowKashida"/>
        <w:rPr>
          <w:b/>
          <w:bCs/>
          <w:rtl/>
          <w:lang w:bidi="ar-EG"/>
        </w:rPr>
      </w:pPr>
      <w:r w:rsidRPr="00642F8E">
        <w:rPr>
          <w:rFonts w:hint="cs"/>
          <w:b/>
          <w:bCs/>
          <w:rtl/>
          <w:lang w:bidi="ar-EG"/>
        </w:rPr>
        <w:t xml:space="preserve">الملحقات: </w:t>
      </w:r>
      <w:r w:rsidR="00293F7E">
        <w:rPr>
          <w:b/>
          <w:bCs/>
          <w:lang w:bidi="ar-EG"/>
        </w:rPr>
        <w:t>1</w:t>
      </w:r>
    </w:p>
    <w:p w:rsidR="009962E5" w:rsidRDefault="009962E5" w:rsidP="00795FF6">
      <w:pPr>
        <w:spacing w:before="360"/>
        <w:jc w:val="lowKashida"/>
        <w:rPr>
          <w:b/>
          <w:bCs/>
          <w:rtl/>
          <w:lang w:bidi="ar-EG"/>
        </w:rPr>
        <w:sectPr w:rsidR="009962E5" w:rsidSect="00D848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1" w:h="16840" w:code="9"/>
          <w:pgMar w:top="1701" w:right="1134" w:bottom="1134" w:left="1134" w:header="567" w:footer="567" w:gutter="0"/>
          <w:paperSrc w:first="15" w:other="15"/>
          <w:cols w:space="720"/>
          <w:titlePg/>
          <w:docGrid w:linePitch="360"/>
        </w:sectPr>
      </w:pPr>
    </w:p>
    <w:p w:rsidR="00420D88" w:rsidRPr="00965C68" w:rsidRDefault="00C0144D" w:rsidP="00685C19">
      <w:pPr>
        <w:pStyle w:val="AnnexNotitle"/>
        <w:spacing w:before="0"/>
        <w:rPr>
          <w:rFonts w:ascii="Times New Roman"/>
          <w:b w:val="0"/>
          <w:sz w:val="22"/>
          <w:szCs w:val="30"/>
          <w:rtl/>
          <w:lang w:bidi="ar-EG"/>
        </w:rPr>
      </w:pPr>
      <w:r w:rsidRPr="00965C68">
        <w:rPr>
          <w:rFonts w:hint="cs"/>
          <w:b w:val="0"/>
          <w:bCs/>
          <w:rtl/>
          <w:lang w:bidi="ar-EG"/>
        </w:rPr>
        <w:lastRenderedPageBreak/>
        <w:t>الملحـق</w:t>
      </w:r>
      <w:r w:rsidRPr="00965C68">
        <w:rPr>
          <w:rFonts w:hint="eastAsia"/>
          <w:rtl/>
          <w:lang w:bidi="ar-EG"/>
        </w:rPr>
        <w:t> </w:t>
      </w:r>
      <w:r w:rsidR="00987990" w:rsidRPr="00965C68">
        <w:rPr>
          <w:lang w:bidi="ar-EG"/>
        </w:rPr>
        <w:t>1</w:t>
      </w:r>
      <w:r w:rsidR="00965C68">
        <w:rPr>
          <w:rFonts w:hint="cs"/>
          <w:rtl/>
          <w:lang w:bidi="ar-EG"/>
        </w:rPr>
        <w:br/>
      </w:r>
      <w:r w:rsidR="00420D88" w:rsidRPr="00965C68">
        <w:rPr>
          <w:rFonts w:ascii="Times New Roman" w:hint="cs"/>
          <w:b w:val="0"/>
          <w:sz w:val="22"/>
          <w:szCs w:val="30"/>
          <w:rtl/>
          <w:lang w:bidi="ar-EG"/>
        </w:rPr>
        <w:t xml:space="preserve">(بالرسالة المعممة </w:t>
      </w:r>
      <w:r w:rsidR="00420D88" w:rsidRPr="00965C68">
        <w:rPr>
          <w:rFonts w:ascii="Times New Roman"/>
          <w:b w:val="0"/>
          <w:sz w:val="22"/>
          <w:szCs w:val="30"/>
          <w:lang w:bidi="ar-EG"/>
        </w:rPr>
        <w:t>TSB</w:t>
      </w:r>
      <w:r w:rsidR="00420D88" w:rsidRPr="00965C68">
        <w:rPr>
          <w:rFonts w:ascii="Times New Roman"/>
          <w:b w:val="0"/>
          <w:sz w:val="22"/>
          <w:szCs w:val="30"/>
          <w:lang w:bidi="ar-EG"/>
        </w:rPr>
        <w:t> </w:t>
      </w:r>
      <w:r w:rsidR="00420D88" w:rsidRPr="00965C68">
        <w:rPr>
          <w:rFonts w:ascii="Times New Roman"/>
          <w:b w:val="0"/>
          <w:sz w:val="22"/>
          <w:szCs w:val="30"/>
          <w:lang w:bidi="ar-EG"/>
        </w:rPr>
        <w:t>131</w:t>
      </w:r>
      <w:r w:rsidR="00420D88" w:rsidRPr="00965C68">
        <w:rPr>
          <w:rFonts w:ascii="Times New Roman" w:hint="cs"/>
          <w:b w:val="0"/>
          <w:sz w:val="22"/>
          <w:szCs w:val="30"/>
          <w:rtl/>
          <w:lang w:bidi="ar-EG"/>
        </w:rPr>
        <w:t>)</w:t>
      </w:r>
    </w:p>
    <w:p w:rsidR="00420D88" w:rsidRPr="00987990" w:rsidRDefault="00420D88" w:rsidP="00E139FE">
      <w:pPr>
        <w:spacing w:before="360" w:after="240"/>
        <w:jc w:val="center"/>
        <w:rPr>
          <w:rStyle w:val="AnnexNotitleChar"/>
          <w:rtl/>
        </w:rPr>
      </w:pPr>
      <w:r w:rsidRPr="00987990">
        <w:rPr>
          <w:rStyle w:val="AnnexNotitleChar"/>
          <w:rFonts w:hint="cs"/>
          <w:rtl/>
        </w:rPr>
        <w:t xml:space="preserve">النص الجديد للمسألة </w:t>
      </w:r>
      <w:r w:rsidRPr="00987990">
        <w:rPr>
          <w:rStyle w:val="AnnexNotitleChar"/>
        </w:rPr>
        <w:t>ITU</w:t>
      </w:r>
      <w:r w:rsidRPr="00987990">
        <w:rPr>
          <w:rStyle w:val="AnnexNotitleChar"/>
        </w:rPr>
        <w:noBreakHyphen/>
        <w:t>T 5/16</w:t>
      </w:r>
      <w:r w:rsidRPr="00987990">
        <w:rPr>
          <w:rStyle w:val="AnnexNotitleChar"/>
          <w:rtl/>
        </w:rPr>
        <w:br/>
      </w:r>
      <w:r w:rsidRPr="00987990">
        <w:rPr>
          <w:rStyle w:val="AnnexNotitleChar"/>
          <w:rFonts w:hint="cs"/>
          <w:rtl/>
        </w:rPr>
        <w:t xml:space="preserve">"أنظمة الحضور عن </w:t>
      </w:r>
      <w:r w:rsidR="00BB237E" w:rsidRPr="00987990">
        <w:rPr>
          <w:rStyle w:val="AnnexNotitleChar"/>
          <w:rFonts w:hint="cs"/>
          <w:rtl/>
          <w:lang w:bidi="ar-EG"/>
        </w:rPr>
        <w:t>بُعد</w:t>
      </w:r>
      <w:r w:rsidRPr="00987990">
        <w:rPr>
          <w:rStyle w:val="AnnexNotitleChar"/>
          <w:rFonts w:hint="cs"/>
          <w:rtl/>
        </w:rPr>
        <w:t>"</w:t>
      </w:r>
    </w:p>
    <w:p w:rsidR="00BB237E" w:rsidRPr="005933D0" w:rsidRDefault="00BB237E" w:rsidP="00685C19">
      <w:pPr>
        <w:pStyle w:val="Heading1"/>
        <w:rPr>
          <w:b w:val="0"/>
          <w:bCs w:val="0"/>
          <w:sz w:val="24"/>
          <w:szCs w:val="32"/>
          <w:rtl/>
          <w:lang w:bidi="ar-EG"/>
        </w:rPr>
      </w:pPr>
      <w:r w:rsidRPr="005933D0">
        <w:rPr>
          <w:sz w:val="24"/>
          <w:szCs w:val="32"/>
          <w:lang w:bidi="ar-EG"/>
        </w:rPr>
        <w:t>1</w:t>
      </w:r>
      <w:r w:rsidRPr="005933D0">
        <w:rPr>
          <w:rFonts w:hint="cs"/>
          <w:sz w:val="24"/>
          <w:szCs w:val="32"/>
          <w:rtl/>
          <w:lang w:bidi="ar-EG"/>
        </w:rPr>
        <w:tab/>
        <w:t>الدوافع</w:t>
      </w:r>
    </w:p>
    <w:p w:rsidR="00BB237E" w:rsidRDefault="00BB237E" w:rsidP="00BB237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تمثل تقنية الحضور عن بُعد تطوراً هاماً في سوق المؤتمرات </w:t>
      </w:r>
      <w:proofErr w:type="spellStart"/>
      <w:r>
        <w:rPr>
          <w:rFonts w:hint="cs"/>
          <w:rtl/>
          <w:lang w:bidi="ar-EG"/>
        </w:rPr>
        <w:t>الفيديوية</w:t>
      </w:r>
      <w:proofErr w:type="spellEnd"/>
      <w:r>
        <w:rPr>
          <w:rFonts w:hint="cs"/>
          <w:rtl/>
          <w:lang w:bidi="ar-EG"/>
        </w:rPr>
        <w:t xml:space="preserve">. ويتوقع تسارع هذا الاتجاه نظراً لأن التطبيقات </w:t>
      </w:r>
      <w:proofErr w:type="spellStart"/>
      <w:r>
        <w:rPr>
          <w:rFonts w:hint="cs"/>
          <w:rtl/>
          <w:lang w:bidi="ar-EG"/>
        </w:rPr>
        <w:t>الفيديوية</w:t>
      </w:r>
      <w:proofErr w:type="spellEnd"/>
      <w:r>
        <w:rPr>
          <w:rFonts w:hint="cs"/>
          <w:rtl/>
          <w:lang w:bidi="ar-EG"/>
        </w:rPr>
        <w:t xml:space="preserve"> الرئيسية بدأت إبراز مزايا الحضور عن بُعد. هنالك العديد من المنتجات المتوفرة حالياً تقوم على أساس البروتوكولين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IETF SIP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ITU</w:t>
      </w:r>
      <w:r>
        <w:rPr>
          <w:lang w:bidi="ar-EG"/>
        </w:rPr>
        <w:noBreakHyphen/>
        <w:t>T H.323</w:t>
      </w:r>
      <w:r>
        <w:rPr>
          <w:rFonts w:hint="cs"/>
          <w:rtl/>
          <w:lang w:bidi="ar-EG"/>
        </w:rPr>
        <w:t>، لكنها تفتقر لإمكانية التشغيل البيني بسبب ما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يحتاج إليه هذان البروتوكولان الأساسيان من مقدرات خاصة للتمكن من تقديم تجربة حيوية للمستعمل.</w:t>
      </w:r>
    </w:p>
    <w:p w:rsidR="00BB237E" w:rsidRDefault="00BB237E" w:rsidP="00BB237E">
      <w:pPr>
        <w:rPr>
          <w:rtl/>
          <w:lang w:bidi="ar-EG"/>
        </w:rPr>
      </w:pPr>
      <w:r>
        <w:rPr>
          <w:rFonts w:hint="cs"/>
          <w:rtl/>
          <w:lang w:bidi="ar-EG"/>
        </w:rPr>
        <w:t>وقد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شجع الانتشار المتزايد لاتصالات النطاق العريض إلى جانب معرفة المستعمل المتنامية للتطبيقات </w:t>
      </w:r>
      <w:proofErr w:type="spellStart"/>
      <w:r>
        <w:rPr>
          <w:rFonts w:hint="cs"/>
          <w:rtl/>
          <w:lang w:bidi="ar-EG"/>
        </w:rPr>
        <w:t>الفيديوية</w:t>
      </w:r>
      <w:proofErr w:type="spellEnd"/>
      <w:r>
        <w:rPr>
          <w:rFonts w:hint="cs"/>
          <w:rtl/>
          <w:lang w:bidi="ar-EG"/>
        </w:rPr>
        <w:t xml:space="preserve"> والمكاسب المالية والبيئية التي توفرها أدوات المشاركة عن بُعد</w:t>
      </w:r>
      <w:r w:rsidR="008C7301">
        <w:rPr>
          <w:rFonts w:hint="cs"/>
          <w:rtl/>
          <w:lang w:bidi="ar-EG"/>
        </w:rPr>
        <w:t xml:space="preserve"> على استحداث تطبيقات من قبيل الحضور عن بعد وذلك يتطلب وضع حلول معيارية لضمان إمكانية التشغيل بين منتجات مختلفة المصدر على أساس عالمي.</w:t>
      </w:r>
    </w:p>
    <w:p w:rsidR="008C7301" w:rsidRPr="005933D0" w:rsidRDefault="008C7301" w:rsidP="00987990">
      <w:pPr>
        <w:spacing w:before="240" w:after="120"/>
        <w:rPr>
          <w:rFonts w:ascii="Times New Roman Bold" w:hAnsi="Times New Roman Bold"/>
          <w:b/>
          <w:bCs/>
          <w:sz w:val="24"/>
          <w:szCs w:val="32"/>
          <w:rtl/>
          <w:lang w:bidi="ar-EG"/>
        </w:rPr>
      </w:pPr>
      <w:r w:rsidRPr="005933D0">
        <w:rPr>
          <w:rFonts w:ascii="Times New Roman Bold" w:hAnsi="Times New Roman Bold"/>
          <w:b/>
          <w:bCs/>
          <w:sz w:val="24"/>
          <w:szCs w:val="32"/>
          <w:lang w:bidi="ar-EG"/>
        </w:rPr>
        <w:t>2</w:t>
      </w:r>
      <w:r w:rsidRPr="005933D0">
        <w:rPr>
          <w:rFonts w:ascii="Times New Roman Bold" w:hAnsi="Times New Roman Bold" w:hint="cs"/>
          <w:b/>
          <w:bCs/>
          <w:sz w:val="24"/>
          <w:szCs w:val="32"/>
          <w:rtl/>
          <w:lang w:bidi="ar-EG"/>
        </w:rPr>
        <w:tab/>
        <w:t>مواضيع الدراسة</w:t>
      </w:r>
    </w:p>
    <w:p w:rsidR="008C7301" w:rsidRDefault="008C7301" w:rsidP="00BB237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تتناول الدراسة المواضيع التالية دون أن </w:t>
      </w:r>
      <w:r w:rsidR="000B76BC">
        <w:rPr>
          <w:rFonts w:hint="cs"/>
          <w:rtl/>
          <w:lang w:bidi="ar-EG"/>
        </w:rPr>
        <w:t>تقتصر عليها:</w:t>
      </w:r>
    </w:p>
    <w:p w:rsidR="000B76BC" w:rsidRDefault="000B76BC" w:rsidP="00E139FE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 xml:space="preserve">تعريف أنظمة الحضور عن بُعد ومجال تطبيقها </w:t>
      </w:r>
    </w:p>
    <w:p w:rsidR="000B76BC" w:rsidRDefault="000B76BC" w:rsidP="00E139FE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الوظائف ومتطلبات الخدمة في أنظمة الحضور عن بُعد القابلة للتشغيل البيني</w:t>
      </w:r>
    </w:p>
    <w:p w:rsidR="000B76BC" w:rsidRDefault="000B76BC" w:rsidP="00E139FE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وضع المعايير لوسائل التشغيل البيني الكامل لأنظمة الحضور عن بُعد بما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في ذلك طرق تسهيل العرض المتسق لعدة تدفقات سمعية </w:t>
      </w:r>
      <w:proofErr w:type="spellStart"/>
      <w:r>
        <w:rPr>
          <w:rFonts w:hint="cs"/>
          <w:rtl/>
          <w:lang w:bidi="ar-EG"/>
        </w:rPr>
        <w:t>وفيديوية</w:t>
      </w:r>
      <w:proofErr w:type="spellEnd"/>
      <w:r>
        <w:rPr>
          <w:rFonts w:hint="cs"/>
          <w:rtl/>
          <w:lang w:bidi="ar-EG"/>
        </w:rPr>
        <w:t xml:space="preserve"> التي تتيح تقديم المشاركين عن بُعد بحجمهم الحقيقي رغم المسافة الظاهرة، والحفاظ على التقاء الأنظار الصحيح والإشارات المعبّرة وفي نفس الوقت توفير إشارات سمعية مكانية متسقة مع العرض </w:t>
      </w:r>
      <w:proofErr w:type="spellStart"/>
      <w:r>
        <w:rPr>
          <w:rFonts w:hint="cs"/>
          <w:rtl/>
          <w:lang w:bidi="ar-EG"/>
        </w:rPr>
        <w:t>الفيديوي</w:t>
      </w:r>
      <w:proofErr w:type="spellEnd"/>
      <w:r>
        <w:rPr>
          <w:rFonts w:hint="cs"/>
          <w:rtl/>
          <w:lang w:bidi="ar-EG"/>
        </w:rPr>
        <w:t xml:space="preserve"> وذلك مع مراعاة بيئة الاجتماع من أجل تقديم جو أكثر حيوية.</w:t>
      </w:r>
    </w:p>
    <w:p w:rsidR="000B76BC" w:rsidRDefault="00580F62" w:rsidP="00E139FE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 xml:space="preserve">وضع المعايير لوسائل التشغيل بين أنظمة الحضور عن بُعد الحالية وغيرها من الأنظمة ومنها شبكة الهاتف التقليدية والأنظمة متعددة الوسائط المتقدمة، وذلك من خلال إعداد إضافات إلى التوصية </w:t>
      </w:r>
      <w:r>
        <w:rPr>
          <w:lang w:bidi="ar-EG"/>
        </w:rPr>
        <w:t>ITU</w:t>
      </w:r>
      <w:r>
        <w:rPr>
          <w:lang w:bidi="ar-EG"/>
        </w:rPr>
        <w:noBreakHyphen/>
        <w:t>T H.246</w:t>
      </w:r>
      <w:r>
        <w:rPr>
          <w:rFonts w:hint="cs"/>
          <w:rtl/>
          <w:lang w:bidi="ar-EG"/>
        </w:rPr>
        <w:t xml:space="preserve"> وتوصيات أخرى حسب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الاقتضاء.</w:t>
      </w:r>
    </w:p>
    <w:p w:rsidR="00580F62" w:rsidRDefault="00580F62" w:rsidP="00E139FE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 xml:space="preserve">إجراء دراسات عن كيفية تحسين أنظمة الحضور عن بُعد بهدف التخفيف من الآثار السلبية لتغير المناخ والتشجيع على الآثار الإيجابية للحد من </w:t>
      </w:r>
      <w:proofErr w:type="spellStart"/>
      <w:r>
        <w:rPr>
          <w:rFonts w:hint="cs"/>
          <w:rtl/>
          <w:lang w:bidi="ar-EG"/>
        </w:rPr>
        <w:t>انبعاثات</w:t>
      </w:r>
      <w:proofErr w:type="spellEnd"/>
      <w:r>
        <w:rPr>
          <w:rFonts w:hint="cs"/>
          <w:rtl/>
          <w:lang w:bidi="ar-EG"/>
        </w:rPr>
        <w:t xml:space="preserve"> غازات الدفيئة </w:t>
      </w:r>
      <w:r>
        <w:rPr>
          <w:lang w:bidi="ar-EG"/>
        </w:rPr>
        <w:t>(GHG)</w:t>
      </w:r>
      <w:r>
        <w:rPr>
          <w:rFonts w:hint="cs"/>
          <w:rtl/>
          <w:lang w:bidi="ar-EG"/>
        </w:rPr>
        <w:t>.</w:t>
      </w:r>
    </w:p>
    <w:p w:rsidR="00580F62" w:rsidRPr="005933D0" w:rsidRDefault="00580F62" w:rsidP="00987990">
      <w:pPr>
        <w:spacing w:before="240" w:after="120"/>
        <w:rPr>
          <w:rFonts w:ascii="Times New Roman Bold" w:hAnsi="Times New Roman Bold"/>
          <w:b/>
          <w:bCs/>
          <w:sz w:val="24"/>
          <w:szCs w:val="32"/>
          <w:rtl/>
          <w:lang w:bidi="ar-EG"/>
        </w:rPr>
      </w:pPr>
      <w:r w:rsidRPr="005933D0">
        <w:rPr>
          <w:rFonts w:ascii="Times New Roman Bold" w:hAnsi="Times New Roman Bold"/>
          <w:b/>
          <w:bCs/>
          <w:sz w:val="24"/>
          <w:szCs w:val="32"/>
          <w:lang w:bidi="ar-EG"/>
        </w:rPr>
        <w:t>3</w:t>
      </w:r>
      <w:r w:rsidRPr="005933D0">
        <w:rPr>
          <w:rFonts w:ascii="Times New Roman Bold" w:hAnsi="Times New Roman Bold" w:hint="cs"/>
          <w:b/>
          <w:bCs/>
          <w:sz w:val="24"/>
          <w:szCs w:val="32"/>
          <w:rtl/>
          <w:lang w:bidi="ar-EG"/>
        </w:rPr>
        <w:tab/>
        <w:t>المهام</w:t>
      </w:r>
    </w:p>
    <w:p w:rsidR="00580F62" w:rsidRDefault="00580F62" w:rsidP="00580F62">
      <w:pPr>
        <w:rPr>
          <w:rtl/>
          <w:lang w:bidi="ar-EG"/>
        </w:rPr>
      </w:pPr>
      <w:r>
        <w:rPr>
          <w:rFonts w:hint="cs"/>
          <w:rtl/>
          <w:lang w:bidi="ar-EG"/>
        </w:rPr>
        <w:t>تتناول الدراسة المهام التالية دون أن تقتصر عليها:</w:t>
      </w:r>
    </w:p>
    <w:p w:rsidR="00580F62" w:rsidRDefault="00B902BF" w:rsidP="00E139FE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 xml:space="preserve">تحديد الخدمات والوظائف التي من شأنها توفير إمكانية التشغيل البيني لأنظمة الحضور عن بُعد من الجيل الحالي التي تستعمل البروتوكولات القائمة من قبيل </w:t>
      </w:r>
      <w:r>
        <w:rPr>
          <w:lang w:bidi="ar-EG"/>
        </w:rPr>
        <w:t>ITU</w:t>
      </w:r>
      <w:r>
        <w:rPr>
          <w:lang w:bidi="ar-EG"/>
        </w:rPr>
        <w:noBreakHyphen/>
        <w:t>T H.323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SIP</w:t>
      </w:r>
      <w:r>
        <w:rPr>
          <w:rFonts w:hint="cs"/>
          <w:rtl/>
          <w:lang w:bidi="ar-EG"/>
        </w:rPr>
        <w:t>.</w:t>
      </w:r>
    </w:p>
    <w:p w:rsidR="00B902BF" w:rsidRDefault="003132DA" w:rsidP="00E139FE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 xml:space="preserve">تحديد التعديلات و/أو الإضافات الضرورية إلى البروتوكولات القائمة من أجل توفير الحضور عن بُعد، وذلك بالتعاون مع هيئات </w:t>
      </w:r>
      <w:proofErr w:type="spellStart"/>
      <w:r>
        <w:rPr>
          <w:rFonts w:hint="cs"/>
          <w:rtl/>
          <w:lang w:bidi="ar-EG"/>
        </w:rPr>
        <w:t>التقييس</w:t>
      </w:r>
      <w:proofErr w:type="spellEnd"/>
      <w:r>
        <w:rPr>
          <w:rFonts w:hint="cs"/>
          <w:rtl/>
          <w:lang w:bidi="ar-EG"/>
        </w:rPr>
        <w:t xml:space="preserve"> الأخرى والمنتديات والاتحادات حسب الاقتضاء.</w:t>
      </w:r>
    </w:p>
    <w:p w:rsidR="003132DA" w:rsidRDefault="003132DA" w:rsidP="00E139FE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-</w:t>
      </w:r>
      <w:r>
        <w:rPr>
          <w:rFonts w:hint="cs"/>
          <w:rtl/>
          <w:lang w:bidi="ar-EG"/>
        </w:rPr>
        <w:tab/>
      </w:r>
      <w:r w:rsidR="00DC2EA3">
        <w:rPr>
          <w:rFonts w:hint="cs"/>
          <w:rtl/>
          <w:lang w:bidi="ar-EG"/>
        </w:rPr>
        <w:t>تعديل و/أو توسيع البروتوكولات القائمة في إطار مسؤوليات لجنة الدراسات</w:t>
      </w:r>
      <w:r w:rsidR="00DC2EA3">
        <w:rPr>
          <w:rFonts w:hint="eastAsia"/>
          <w:rtl/>
          <w:lang w:bidi="ar-EG"/>
        </w:rPr>
        <w:t> </w:t>
      </w:r>
      <w:r w:rsidR="00DC2EA3">
        <w:rPr>
          <w:lang w:bidi="ar-EG"/>
        </w:rPr>
        <w:t>16</w:t>
      </w:r>
      <w:r w:rsidR="00DC2EA3">
        <w:rPr>
          <w:rFonts w:hint="cs"/>
          <w:rtl/>
          <w:lang w:bidi="ar-EG"/>
        </w:rPr>
        <w:t xml:space="preserve"> لقطاع </w:t>
      </w:r>
      <w:proofErr w:type="spellStart"/>
      <w:r w:rsidR="00DC2EA3">
        <w:rPr>
          <w:rFonts w:hint="cs"/>
          <w:rtl/>
          <w:lang w:bidi="ar-EG"/>
        </w:rPr>
        <w:t>تقييس</w:t>
      </w:r>
      <w:proofErr w:type="spellEnd"/>
      <w:r w:rsidR="00DC2EA3">
        <w:rPr>
          <w:rFonts w:hint="cs"/>
          <w:rtl/>
          <w:lang w:bidi="ar-EG"/>
        </w:rPr>
        <w:t xml:space="preserve"> الاتصالات من أجل تمكين أنظمة الحضور عن بُعد القابلة للتشغيل بينياً (وخاصة توصيات السلسلة</w:t>
      </w:r>
      <w:r w:rsidR="00DC2EA3">
        <w:rPr>
          <w:rFonts w:hint="eastAsia"/>
          <w:rtl/>
          <w:lang w:bidi="ar-EG"/>
        </w:rPr>
        <w:t> </w:t>
      </w:r>
      <w:r w:rsidR="00DC2EA3">
        <w:rPr>
          <w:lang w:bidi="ar-EG"/>
        </w:rPr>
        <w:t>ITU</w:t>
      </w:r>
      <w:r w:rsidR="00DC2EA3">
        <w:rPr>
          <w:lang w:bidi="ar-EG"/>
        </w:rPr>
        <w:noBreakHyphen/>
        <w:t>T H.300</w:t>
      </w:r>
      <w:r w:rsidR="00DC2EA3">
        <w:rPr>
          <w:rFonts w:hint="cs"/>
          <w:rtl/>
          <w:lang w:bidi="ar-EG"/>
        </w:rPr>
        <w:t>).</w:t>
      </w:r>
    </w:p>
    <w:p w:rsidR="00DC2EA3" w:rsidRDefault="00185619" w:rsidP="00E139FE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 xml:space="preserve">تحديد طرائق تبادل المعلومات عن بيئة الاجتماع </w:t>
      </w:r>
      <w:proofErr w:type="spellStart"/>
      <w:r>
        <w:rPr>
          <w:rFonts w:hint="cs"/>
          <w:rtl/>
          <w:lang w:bidi="ar-EG"/>
        </w:rPr>
        <w:t>كيما</w:t>
      </w:r>
      <w:proofErr w:type="spellEnd"/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تتاح المواءمة بين البيئات المختلفة لأنظمة الحضور عن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بُعد.</w:t>
      </w:r>
    </w:p>
    <w:p w:rsidR="00185619" w:rsidRDefault="00185619" w:rsidP="00E139FE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وضع مبادئ توجيهية لتحقيق الاستخدام المطلوب للمستعمل لأنظمة الحضور عن بُعد (مثل طرائق ضبط التقاء الأنظار ونفس الإضاءة في غرف متباعدة ومستوى الصوت وإلغاء الصدى).</w:t>
      </w:r>
    </w:p>
    <w:p w:rsidR="00185619" w:rsidRDefault="00185619" w:rsidP="00E139FE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 xml:space="preserve">تحديد متطلبات </w:t>
      </w:r>
      <w:proofErr w:type="spellStart"/>
      <w:r>
        <w:rPr>
          <w:rFonts w:hint="cs"/>
          <w:rtl/>
          <w:lang w:bidi="ar-EG"/>
        </w:rPr>
        <w:t>كودكات</w:t>
      </w:r>
      <w:proofErr w:type="spellEnd"/>
      <w:r>
        <w:rPr>
          <w:rFonts w:hint="cs"/>
          <w:rtl/>
          <w:lang w:bidi="ar-EG"/>
        </w:rPr>
        <w:t xml:space="preserve"> الوسائط مع مراعاة الحاجة إلى إمكانية القياس وتعدد الوجهات وتعدد القنوات السمعية ومزج تدفقات الوسائط بما في ذلك المعالجة الفعّالة للإشارات الرقمية </w:t>
      </w:r>
      <w:proofErr w:type="spellStart"/>
      <w:r>
        <w:rPr>
          <w:rFonts w:hint="cs"/>
          <w:rtl/>
          <w:lang w:bidi="ar-EG"/>
        </w:rPr>
        <w:t>المنضغطة</w:t>
      </w:r>
      <w:proofErr w:type="spellEnd"/>
      <w:r>
        <w:rPr>
          <w:rFonts w:hint="cs"/>
          <w:rtl/>
          <w:lang w:bidi="ar-EG"/>
        </w:rPr>
        <w:t>.</w:t>
      </w:r>
    </w:p>
    <w:p w:rsidR="00185619" w:rsidRDefault="00463437" w:rsidP="00E139FE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تعزيز خصائص الاتصالات/تكنولوجيا المعلومات والاتصالات القابلة للتشغيل البيني في أنظمة الحضور عن بُعد.</w:t>
      </w:r>
    </w:p>
    <w:p w:rsidR="00463437" w:rsidRDefault="00463437" w:rsidP="00E139FE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تحديد متطلبات الجيل الثاني من أنظمة الحضور عن بُعد.</w:t>
      </w:r>
    </w:p>
    <w:p w:rsidR="00463437" w:rsidRDefault="00463437" w:rsidP="00E139FE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دراسة دور أنظمة المراقبة في أنظمة الحضور عن بُعد.</w:t>
      </w:r>
    </w:p>
    <w:p w:rsidR="00463437" w:rsidRPr="005933D0" w:rsidRDefault="005247A2" w:rsidP="00987990">
      <w:pPr>
        <w:spacing w:before="240" w:after="120"/>
        <w:rPr>
          <w:rFonts w:ascii="Times New Roman Bold" w:hAnsi="Times New Roman Bold"/>
          <w:b/>
          <w:bCs/>
          <w:sz w:val="24"/>
          <w:szCs w:val="32"/>
          <w:rtl/>
          <w:lang w:bidi="ar-EG"/>
        </w:rPr>
      </w:pPr>
      <w:r w:rsidRPr="005933D0">
        <w:rPr>
          <w:rFonts w:ascii="Times New Roman Bold" w:hAnsi="Times New Roman Bold"/>
          <w:b/>
          <w:bCs/>
          <w:sz w:val="24"/>
          <w:szCs w:val="32"/>
          <w:lang w:bidi="ar-EG"/>
        </w:rPr>
        <w:t>4</w:t>
      </w:r>
      <w:r w:rsidRPr="005933D0">
        <w:rPr>
          <w:rFonts w:ascii="Times New Roman Bold" w:hAnsi="Times New Roman Bold" w:hint="cs"/>
          <w:b/>
          <w:bCs/>
          <w:sz w:val="24"/>
          <w:szCs w:val="32"/>
          <w:rtl/>
          <w:lang w:bidi="ar-EG"/>
        </w:rPr>
        <w:tab/>
        <w:t>الروابط</w:t>
      </w:r>
    </w:p>
    <w:p w:rsidR="005247A2" w:rsidRPr="00002379" w:rsidRDefault="005247A2" w:rsidP="00580F62">
      <w:pPr>
        <w:rPr>
          <w:b/>
          <w:bCs/>
          <w:sz w:val="32"/>
          <w:szCs w:val="32"/>
          <w:rtl/>
          <w:lang w:bidi="ar-EG"/>
        </w:rPr>
      </w:pPr>
      <w:r w:rsidRPr="00002379">
        <w:rPr>
          <w:rFonts w:hint="cs"/>
          <w:b/>
          <w:bCs/>
          <w:sz w:val="32"/>
          <w:szCs w:val="32"/>
          <w:rtl/>
          <w:lang w:bidi="ar-EG"/>
        </w:rPr>
        <w:t>التوصيات:</w:t>
      </w:r>
    </w:p>
    <w:p w:rsidR="005247A2" w:rsidRDefault="005247A2" w:rsidP="00580F62">
      <w:pPr>
        <w:rPr>
          <w:rtl/>
          <w:lang w:bidi="ar-EG"/>
        </w:rPr>
      </w:pPr>
      <w:r>
        <w:rPr>
          <w:rFonts w:hint="cs"/>
          <w:rtl/>
          <w:lang w:bidi="ar-EG"/>
        </w:rPr>
        <w:t>توصيات السلسلة </w:t>
      </w:r>
      <w:r>
        <w:rPr>
          <w:lang w:bidi="ar-EG"/>
        </w:rPr>
        <w:t>H</w:t>
      </w:r>
      <w:r>
        <w:rPr>
          <w:rFonts w:hint="cs"/>
          <w:rtl/>
          <w:lang w:bidi="ar-EG"/>
        </w:rPr>
        <w:t xml:space="preserve"> والتوصيات ذات الصلة من </w:t>
      </w:r>
      <w:proofErr w:type="spellStart"/>
      <w:r>
        <w:rPr>
          <w:rFonts w:hint="cs"/>
          <w:rtl/>
          <w:lang w:bidi="ar-EG"/>
        </w:rPr>
        <w:t>السلسلات</w:t>
      </w:r>
      <w:proofErr w:type="spellEnd"/>
      <w:r>
        <w:rPr>
          <w:rFonts w:hint="cs"/>
          <w:rtl/>
          <w:lang w:bidi="ar-EG"/>
        </w:rPr>
        <w:t> </w:t>
      </w:r>
      <w:r>
        <w:rPr>
          <w:lang w:bidi="ar-EG"/>
        </w:rPr>
        <w:t>F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G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T</w:t>
      </w:r>
      <w:r>
        <w:rPr>
          <w:rFonts w:hint="cs"/>
          <w:rtl/>
          <w:lang w:bidi="ar-EG"/>
        </w:rPr>
        <w:t>.</w:t>
      </w:r>
    </w:p>
    <w:p w:rsidR="005247A2" w:rsidRPr="00002379" w:rsidRDefault="00C96F15" w:rsidP="00580F62">
      <w:pPr>
        <w:rPr>
          <w:b/>
          <w:bCs/>
          <w:sz w:val="32"/>
          <w:szCs w:val="32"/>
          <w:rtl/>
          <w:lang w:bidi="ar-EG"/>
        </w:rPr>
      </w:pPr>
      <w:r w:rsidRPr="00002379">
        <w:rPr>
          <w:rFonts w:hint="cs"/>
          <w:b/>
          <w:bCs/>
          <w:sz w:val="32"/>
          <w:szCs w:val="32"/>
          <w:rtl/>
          <w:lang w:bidi="ar-EG"/>
        </w:rPr>
        <w:t>المسائل:</w:t>
      </w:r>
    </w:p>
    <w:p w:rsidR="00C96F15" w:rsidRDefault="00EE33DA" w:rsidP="00580F62">
      <w:pPr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C96F15">
        <w:rPr>
          <w:lang w:bidi="ar-EG"/>
        </w:rPr>
        <w:t>1</w:t>
      </w:r>
      <w:r w:rsidR="00C96F15">
        <w:rPr>
          <w:rFonts w:hint="cs"/>
          <w:rtl/>
          <w:lang w:bidi="ar-EG"/>
        </w:rPr>
        <w:t xml:space="preserve"> و</w:t>
      </w:r>
      <w:r w:rsidR="00C96F15">
        <w:rPr>
          <w:lang w:bidi="ar-EG"/>
        </w:rPr>
        <w:t>2</w:t>
      </w:r>
      <w:r w:rsidR="00C96F15">
        <w:rPr>
          <w:rFonts w:hint="cs"/>
          <w:rtl/>
          <w:lang w:bidi="ar-EG"/>
        </w:rPr>
        <w:t xml:space="preserve"> و</w:t>
      </w:r>
      <w:r w:rsidR="00C96F15">
        <w:rPr>
          <w:lang w:bidi="ar-EG"/>
        </w:rPr>
        <w:t>3</w:t>
      </w:r>
      <w:r w:rsidR="00C96F15">
        <w:rPr>
          <w:rFonts w:hint="cs"/>
          <w:rtl/>
          <w:lang w:bidi="ar-EG"/>
        </w:rPr>
        <w:t xml:space="preserve"> و</w:t>
      </w:r>
      <w:r w:rsidR="00C96F15">
        <w:rPr>
          <w:lang w:bidi="ar-EG"/>
        </w:rPr>
        <w:t>4</w:t>
      </w:r>
      <w:r w:rsidR="00C96F15">
        <w:rPr>
          <w:rFonts w:hint="cs"/>
          <w:rtl/>
          <w:lang w:bidi="ar-EG"/>
        </w:rPr>
        <w:t xml:space="preserve"> و</w:t>
      </w:r>
      <w:r w:rsidR="00C96F15">
        <w:rPr>
          <w:lang w:bidi="ar-EG"/>
        </w:rPr>
        <w:t>6</w:t>
      </w:r>
      <w:r w:rsidR="00C96F15">
        <w:rPr>
          <w:rFonts w:hint="cs"/>
          <w:rtl/>
          <w:lang w:bidi="ar-EG"/>
        </w:rPr>
        <w:t xml:space="preserve"> و</w:t>
      </w:r>
      <w:r w:rsidR="00C96F15">
        <w:rPr>
          <w:lang w:bidi="ar-EG"/>
        </w:rPr>
        <w:t>7</w:t>
      </w:r>
      <w:r w:rsidR="00C96F15">
        <w:rPr>
          <w:rFonts w:hint="cs"/>
          <w:rtl/>
          <w:lang w:bidi="ar-EG"/>
        </w:rPr>
        <w:t xml:space="preserve"> و</w:t>
      </w:r>
      <w:r w:rsidR="00C96F15">
        <w:rPr>
          <w:lang w:bidi="ar-EG"/>
        </w:rPr>
        <w:t>10</w:t>
      </w:r>
      <w:r w:rsidR="00C96F15">
        <w:rPr>
          <w:rFonts w:hint="cs"/>
          <w:rtl/>
          <w:lang w:bidi="ar-EG"/>
        </w:rPr>
        <w:t xml:space="preserve"> و</w:t>
      </w:r>
      <w:r w:rsidR="00C96F15">
        <w:rPr>
          <w:lang w:bidi="ar-EG"/>
        </w:rPr>
        <w:t>12</w:t>
      </w:r>
      <w:r w:rsidR="00C96F15">
        <w:rPr>
          <w:rFonts w:hint="cs"/>
          <w:rtl/>
          <w:lang w:bidi="ar-EG"/>
        </w:rPr>
        <w:t xml:space="preserve"> و</w:t>
      </w:r>
      <w:r w:rsidR="00C96F15">
        <w:rPr>
          <w:lang w:bidi="ar-EG"/>
        </w:rPr>
        <w:t>13</w:t>
      </w:r>
      <w:r w:rsidR="00C96F15">
        <w:rPr>
          <w:rFonts w:hint="cs"/>
          <w:rtl/>
          <w:lang w:bidi="ar-EG"/>
        </w:rPr>
        <w:t xml:space="preserve"> و</w:t>
      </w:r>
      <w:r w:rsidR="00C96F15">
        <w:rPr>
          <w:lang w:bidi="ar-EG"/>
        </w:rPr>
        <w:t>16</w:t>
      </w:r>
      <w:r w:rsidR="00C96F15">
        <w:rPr>
          <w:rFonts w:hint="cs"/>
          <w:rtl/>
          <w:lang w:bidi="ar-EG"/>
        </w:rPr>
        <w:t xml:space="preserve"> و</w:t>
      </w:r>
      <w:r w:rsidR="00C96F15">
        <w:rPr>
          <w:lang w:bidi="ar-EG"/>
        </w:rPr>
        <w:t>18</w:t>
      </w:r>
      <w:r w:rsidR="00C96F15">
        <w:rPr>
          <w:rFonts w:hint="cs"/>
          <w:rtl/>
          <w:lang w:bidi="ar-EG"/>
        </w:rPr>
        <w:t xml:space="preserve"> و</w:t>
      </w:r>
      <w:r w:rsidR="00C96F15">
        <w:rPr>
          <w:lang w:bidi="ar-EG"/>
        </w:rPr>
        <w:t>22</w:t>
      </w:r>
      <w:r w:rsidR="00C96F15">
        <w:rPr>
          <w:rFonts w:hint="cs"/>
          <w:rtl/>
          <w:lang w:bidi="ar-EG"/>
        </w:rPr>
        <w:t xml:space="preserve"> و</w:t>
      </w:r>
      <w:r w:rsidR="00C96F15">
        <w:rPr>
          <w:lang w:bidi="ar-EG"/>
        </w:rPr>
        <w:t>26/16</w:t>
      </w:r>
      <w:r w:rsidR="00C96F15">
        <w:rPr>
          <w:rFonts w:hint="cs"/>
          <w:rtl/>
          <w:lang w:bidi="ar-EG"/>
        </w:rPr>
        <w:t>.</w:t>
      </w:r>
    </w:p>
    <w:p w:rsidR="00C96F15" w:rsidRPr="00002379" w:rsidRDefault="004D135B" w:rsidP="00580F62">
      <w:pPr>
        <w:rPr>
          <w:b/>
          <w:bCs/>
          <w:sz w:val="32"/>
          <w:szCs w:val="32"/>
          <w:rtl/>
          <w:lang w:bidi="ar-EG"/>
        </w:rPr>
      </w:pPr>
      <w:r w:rsidRPr="00002379">
        <w:rPr>
          <w:rFonts w:hint="cs"/>
          <w:b/>
          <w:bCs/>
          <w:sz w:val="32"/>
          <w:szCs w:val="32"/>
          <w:rtl/>
          <w:lang w:bidi="ar-EG"/>
        </w:rPr>
        <w:t>لجان الدراسات:</w:t>
      </w:r>
    </w:p>
    <w:p w:rsidR="004D135B" w:rsidRDefault="004D135B" w:rsidP="00E139FE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لجنة الدراسات 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لقطاع </w:t>
      </w:r>
      <w:proofErr w:type="spellStart"/>
      <w:r>
        <w:rPr>
          <w:rFonts w:hint="cs"/>
          <w:rtl/>
          <w:lang w:bidi="ar-EG"/>
        </w:rPr>
        <w:t>تقييس</w:t>
      </w:r>
      <w:proofErr w:type="spellEnd"/>
      <w:r>
        <w:rPr>
          <w:rFonts w:hint="cs"/>
          <w:rtl/>
          <w:lang w:bidi="ar-EG"/>
        </w:rPr>
        <w:t xml:space="preserve"> الاتصالات المعنية بمسائل البيئة وتغير المناخ</w:t>
      </w:r>
    </w:p>
    <w:p w:rsidR="004D135B" w:rsidRDefault="004D135B" w:rsidP="00E139FE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لجنة الدراسات 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لقطاع </w:t>
      </w:r>
      <w:proofErr w:type="spellStart"/>
      <w:r>
        <w:rPr>
          <w:rFonts w:hint="cs"/>
          <w:rtl/>
          <w:lang w:bidi="ar-EG"/>
        </w:rPr>
        <w:t>تقييس</w:t>
      </w:r>
      <w:proofErr w:type="spellEnd"/>
      <w:r>
        <w:rPr>
          <w:rFonts w:hint="cs"/>
          <w:rtl/>
          <w:lang w:bidi="ar-EG"/>
        </w:rPr>
        <w:t xml:space="preserve"> الاتصالات المعنية بالشبكات الكبلية ونوعية الفيديو</w:t>
      </w:r>
    </w:p>
    <w:p w:rsidR="004D135B" w:rsidRDefault="004D135B" w:rsidP="00E139FE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852263">
        <w:rPr>
          <w:rFonts w:hint="cs"/>
          <w:rtl/>
          <w:lang w:bidi="ar-EG"/>
        </w:rPr>
        <w:t>لجنة الدراسات</w:t>
      </w:r>
      <w:r w:rsidR="00852263">
        <w:rPr>
          <w:rFonts w:hint="eastAsia"/>
          <w:rtl/>
          <w:lang w:bidi="ar-EG"/>
        </w:rPr>
        <w:t> </w:t>
      </w:r>
      <w:r w:rsidR="00852263">
        <w:rPr>
          <w:lang w:bidi="ar-EG"/>
        </w:rPr>
        <w:t>11</w:t>
      </w:r>
      <w:r w:rsidR="00852263">
        <w:rPr>
          <w:rFonts w:hint="cs"/>
          <w:rtl/>
          <w:lang w:bidi="ar-EG"/>
        </w:rPr>
        <w:t xml:space="preserve"> لقطاع </w:t>
      </w:r>
      <w:proofErr w:type="spellStart"/>
      <w:r w:rsidR="00852263">
        <w:rPr>
          <w:rFonts w:hint="cs"/>
          <w:rtl/>
          <w:lang w:bidi="ar-EG"/>
        </w:rPr>
        <w:t>تقييس</w:t>
      </w:r>
      <w:proofErr w:type="spellEnd"/>
      <w:r w:rsidR="00852263">
        <w:rPr>
          <w:rFonts w:hint="cs"/>
          <w:rtl/>
          <w:lang w:bidi="ar-EG"/>
        </w:rPr>
        <w:t xml:space="preserve"> الاتصالات المعنية </w:t>
      </w:r>
      <w:proofErr w:type="spellStart"/>
      <w:r w:rsidR="00852263">
        <w:rPr>
          <w:rFonts w:hint="cs"/>
          <w:rtl/>
          <w:lang w:bidi="ar-EG"/>
        </w:rPr>
        <w:t>بالتشوير</w:t>
      </w:r>
      <w:proofErr w:type="spellEnd"/>
    </w:p>
    <w:p w:rsidR="00852263" w:rsidRDefault="00852263" w:rsidP="00E139FE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لجنة الدراسات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12</w:t>
      </w:r>
      <w:r>
        <w:rPr>
          <w:rFonts w:hint="cs"/>
          <w:rtl/>
          <w:lang w:bidi="ar-EG"/>
        </w:rPr>
        <w:t xml:space="preserve"> لقطاع </w:t>
      </w:r>
      <w:proofErr w:type="spellStart"/>
      <w:r>
        <w:rPr>
          <w:rFonts w:hint="cs"/>
          <w:rtl/>
          <w:lang w:bidi="ar-EG"/>
        </w:rPr>
        <w:t>تقييس</w:t>
      </w:r>
      <w:proofErr w:type="spellEnd"/>
      <w:r>
        <w:rPr>
          <w:rFonts w:hint="cs"/>
          <w:rtl/>
          <w:lang w:bidi="ar-EG"/>
        </w:rPr>
        <w:t xml:space="preserve"> الاتصالات المعنية بنوعية الخدمة والخبر ومنهجيات تقدير النوعية</w:t>
      </w:r>
    </w:p>
    <w:p w:rsidR="002F107B" w:rsidRDefault="002F107B" w:rsidP="00E139FE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لجنة الدراسات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13</w:t>
      </w:r>
      <w:r>
        <w:rPr>
          <w:rFonts w:hint="cs"/>
          <w:rtl/>
          <w:lang w:bidi="ar-EG"/>
        </w:rPr>
        <w:t xml:space="preserve"> لقطاع </w:t>
      </w:r>
      <w:proofErr w:type="spellStart"/>
      <w:r>
        <w:rPr>
          <w:rFonts w:hint="cs"/>
          <w:rtl/>
          <w:lang w:bidi="ar-EG"/>
        </w:rPr>
        <w:t>تقييس</w:t>
      </w:r>
      <w:proofErr w:type="spellEnd"/>
      <w:r>
        <w:rPr>
          <w:rFonts w:hint="cs"/>
          <w:rtl/>
          <w:lang w:bidi="ar-EG"/>
        </w:rPr>
        <w:t xml:space="preserve"> الاتصالات المعنية بشبكات الجيل التالي وشبكات المستقبل</w:t>
      </w:r>
    </w:p>
    <w:p w:rsidR="002F107B" w:rsidRDefault="002F107B" w:rsidP="00E139FE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لجنة الدراسات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17</w:t>
      </w:r>
      <w:r>
        <w:rPr>
          <w:rFonts w:hint="cs"/>
          <w:rtl/>
          <w:lang w:bidi="ar-EG"/>
        </w:rPr>
        <w:t xml:space="preserve"> لقطاع </w:t>
      </w:r>
      <w:proofErr w:type="spellStart"/>
      <w:r>
        <w:rPr>
          <w:rFonts w:hint="cs"/>
          <w:rtl/>
          <w:lang w:bidi="ar-EG"/>
        </w:rPr>
        <w:t>تقييس</w:t>
      </w:r>
      <w:proofErr w:type="spellEnd"/>
      <w:r>
        <w:rPr>
          <w:rFonts w:hint="cs"/>
          <w:rtl/>
          <w:lang w:bidi="ar-EG"/>
        </w:rPr>
        <w:t xml:space="preserve"> الاتصالات المعنية بالأمن واللغات</w:t>
      </w:r>
    </w:p>
    <w:p w:rsidR="002F107B" w:rsidRDefault="002F107B" w:rsidP="00EE33DA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لجنة الدراسات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6</w:t>
      </w:r>
      <w:r>
        <w:rPr>
          <w:rFonts w:hint="cs"/>
          <w:rtl/>
          <w:lang w:bidi="ar-EG"/>
        </w:rPr>
        <w:t xml:space="preserve"> لقطاع الاتصالات</w:t>
      </w:r>
      <w:r w:rsidR="00EE33DA">
        <w:rPr>
          <w:rFonts w:hint="cs"/>
          <w:rtl/>
          <w:lang w:bidi="ar-EG"/>
        </w:rPr>
        <w:t xml:space="preserve"> </w:t>
      </w:r>
      <w:proofErr w:type="spellStart"/>
      <w:r w:rsidR="00EE33DA">
        <w:rPr>
          <w:rFonts w:hint="cs"/>
          <w:rtl/>
          <w:lang w:bidi="ar-EG"/>
        </w:rPr>
        <w:t>الراديوية</w:t>
      </w:r>
      <w:proofErr w:type="spellEnd"/>
      <w:r>
        <w:rPr>
          <w:rFonts w:hint="cs"/>
          <w:rtl/>
          <w:lang w:bidi="ar-EG"/>
        </w:rPr>
        <w:t xml:space="preserve"> المعنية بالإذاعة</w:t>
      </w:r>
    </w:p>
    <w:p w:rsidR="002F107B" w:rsidRDefault="002F107B" w:rsidP="00EE33DA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لجنة الدراسات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لقطاع </w:t>
      </w:r>
      <w:r w:rsidR="00EE33DA">
        <w:rPr>
          <w:rFonts w:hint="cs"/>
          <w:rtl/>
          <w:lang w:bidi="ar-EG"/>
        </w:rPr>
        <w:t>تنمية</w:t>
      </w:r>
      <w:r>
        <w:rPr>
          <w:rFonts w:hint="cs"/>
          <w:rtl/>
          <w:lang w:bidi="ar-EG"/>
        </w:rPr>
        <w:t xml:space="preserve"> الاتصالات المعنية بالبنية التحتية للمعلومات والاتصالات وتنمية التكنولوجيا واتصالات الطوارئ والتكيف مع تغير المناخ </w:t>
      </w:r>
    </w:p>
    <w:p w:rsidR="00AD7A42" w:rsidRPr="00002379" w:rsidRDefault="00AD7A42" w:rsidP="002F107B">
      <w:pPr>
        <w:rPr>
          <w:b/>
          <w:bCs/>
          <w:sz w:val="32"/>
          <w:szCs w:val="32"/>
          <w:rtl/>
          <w:lang w:bidi="ar-EG"/>
        </w:rPr>
      </w:pPr>
      <w:r w:rsidRPr="00002379">
        <w:rPr>
          <w:rFonts w:hint="cs"/>
          <w:b/>
          <w:bCs/>
          <w:sz w:val="32"/>
          <w:szCs w:val="32"/>
          <w:rtl/>
          <w:lang w:bidi="ar-EG"/>
        </w:rPr>
        <w:t xml:space="preserve">هيئات </w:t>
      </w:r>
      <w:proofErr w:type="spellStart"/>
      <w:r w:rsidRPr="00002379">
        <w:rPr>
          <w:rFonts w:hint="cs"/>
          <w:b/>
          <w:bCs/>
          <w:sz w:val="32"/>
          <w:szCs w:val="32"/>
          <w:rtl/>
          <w:lang w:bidi="ar-EG"/>
        </w:rPr>
        <w:t>التقييس</w:t>
      </w:r>
      <w:proofErr w:type="spellEnd"/>
      <w:r w:rsidRPr="00002379">
        <w:rPr>
          <w:rFonts w:hint="cs"/>
          <w:b/>
          <w:bCs/>
          <w:sz w:val="32"/>
          <w:szCs w:val="32"/>
          <w:rtl/>
          <w:lang w:bidi="ar-EG"/>
        </w:rPr>
        <w:t xml:space="preserve"> والمنتديات والاتحادات ذات الصلة:</w:t>
      </w:r>
    </w:p>
    <w:p w:rsidR="00AD7A42" w:rsidRDefault="00AD7A42" w:rsidP="00E139FE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Pr="00EE33DA">
        <w:rPr>
          <w:lang w:bidi="ar-EG"/>
        </w:rPr>
        <w:t>ISO/IEC JTC 1/SC 29</w:t>
      </w:r>
      <w:r>
        <w:rPr>
          <w:rFonts w:hint="cs"/>
          <w:rtl/>
          <w:lang w:bidi="ar-EG"/>
        </w:rPr>
        <w:t xml:space="preserve"> بشأن تشفير الإشارات السمعية والصور والمعلومات متعددة الوسائط والموسوعية</w:t>
      </w:r>
    </w:p>
    <w:p w:rsidR="00AD7A42" w:rsidRDefault="00AD7A42" w:rsidP="00E139FE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 xml:space="preserve">الاتحاد الدولي للمؤتمرات </w:t>
      </w:r>
      <w:proofErr w:type="spellStart"/>
      <w:r>
        <w:rPr>
          <w:rFonts w:hint="cs"/>
          <w:rtl/>
          <w:lang w:bidi="ar-EG"/>
        </w:rPr>
        <w:t>البعدية</w:t>
      </w:r>
      <w:proofErr w:type="spellEnd"/>
      <w:r>
        <w:rPr>
          <w:rFonts w:hint="cs"/>
          <w:rtl/>
          <w:lang w:bidi="ar-EG"/>
        </w:rPr>
        <w:t xml:space="preserve"> متعددة الوسائط </w:t>
      </w:r>
      <w:r>
        <w:rPr>
          <w:lang w:bidi="ar-EG"/>
        </w:rPr>
        <w:t>(IMTC)</w:t>
      </w:r>
      <w:r>
        <w:rPr>
          <w:rFonts w:hint="cs"/>
          <w:rtl/>
          <w:lang w:bidi="ar-EG"/>
        </w:rPr>
        <w:t xml:space="preserve"> بشأن جوانب التشغيل البيني وتحسين التوصيات الحالية</w:t>
      </w:r>
    </w:p>
    <w:p w:rsidR="00AD7A42" w:rsidRDefault="00AD7A42" w:rsidP="00E139FE">
      <w:pPr>
        <w:spacing w:line="180" w:lineRule="auto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 xml:space="preserve">تطبيقات الفريق </w:t>
      </w:r>
      <w:r>
        <w:rPr>
          <w:lang w:bidi="ar-EG"/>
        </w:rPr>
        <w:t>IETF</w:t>
      </w:r>
      <w:r>
        <w:rPr>
          <w:rFonts w:hint="cs"/>
          <w:rtl/>
          <w:lang w:bidi="ar-EG"/>
        </w:rPr>
        <w:t xml:space="preserve"> في الوقت الفعلي والبنية التحتية </w:t>
      </w:r>
      <w:r>
        <w:rPr>
          <w:lang w:bidi="ar-EG"/>
        </w:rPr>
        <w:t>(RAI)</w:t>
      </w:r>
      <w:r>
        <w:rPr>
          <w:rFonts w:hint="cs"/>
          <w:rtl/>
          <w:lang w:bidi="ar-EG"/>
        </w:rPr>
        <w:t xml:space="preserve"> بشأن بروتوكولات المحددة من الفريق </w:t>
      </w:r>
      <w:r>
        <w:rPr>
          <w:lang w:bidi="ar-EG"/>
        </w:rPr>
        <w:t>IETF</w:t>
      </w:r>
    </w:p>
    <w:p w:rsidR="00AD7A42" w:rsidRPr="00002379" w:rsidRDefault="00AD7A42" w:rsidP="00E139FE">
      <w:pPr>
        <w:spacing w:line="180" w:lineRule="auto"/>
        <w:ind w:left="794" w:hanging="794"/>
        <w:rPr>
          <w:spacing w:val="-6"/>
          <w:rtl/>
          <w:lang w:bidi="ar-EG"/>
        </w:rPr>
      </w:pPr>
      <w:r w:rsidRPr="00002379">
        <w:rPr>
          <w:rFonts w:hint="cs"/>
          <w:spacing w:val="-6"/>
          <w:rtl/>
          <w:lang w:bidi="ar-EG"/>
        </w:rPr>
        <w:t>-</w:t>
      </w:r>
      <w:r w:rsidRPr="00002379">
        <w:rPr>
          <w:rFonts w:hint="cs"/>
          <w:spacing w:val="-6"/>
          <w:rtl/>
          <w:lang w:bidi="ar-EG"/>
        </w:rPr>
        <w:tab/>
        <w:t>منتدى التشغيل البيني الموحد للاتصالات بشأن ملامح التشغيل البيني بين المنشآت وموردي الخدمة وجماعة</w:t>
      </w:r>
      <w:r w:rsidR="00423AD9" w:rsidRPr="00002379">
        <w:rPr>
          <w:rFonts w:hint="eastAsia"/>
          <w:spacing w:val="-6"/>
          <w:rtl/>
          <w:lang w:bidi="ar-EG"/>
        </w:rPr>
        <w:t> </w:t>
      </w:r>
      <w:r w:rsidRPr="00002379">
        <w:rPr>
          <w:rFonts w:hint="cs"/>
          <w:spacing w:val="-6"/>
          <w:rtl/>
          <w:lang w:bidi="ar-EG"/>
        </w:rPr>
        <w:t>المستعملين.</w:t>
      </w:r>
    </w:p>
    <w:p w:rsidR="00423AD9" w:rsidRPr="00AD7A42" w:rsidRDefault="00423AD9" w:rsidP="00E73538">
      <w:pPr>
        <w:spacing w:before="6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423AD9" w:rsidRPr="00AD7A42" w:rsidSect="008E531F">
      <w:headerReference w:type="first" r:id="rId14"/>
      <w:footerReference w:type="first" r:id="rId15"/>
      <w:pgSz w:w="11901" w:h="16840" w:code="9"/>
      <w:pgMar w:top="1384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E36" w:rsidRDefault="00926E36">
      <w:r>
        <w:separator/>
      </w:r>
    </w:p>
  </w:endnote>
  <w:endnote w:type="continuationSeparator" w:id="0">
    <w:p w:rsidR="00926E36" w:rsidRDefault="00926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7BC" w:rsidRDefault="00A577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7BC" w:rsidRDefault="00A577BC" w:rsidP="00A577BC">
    <w:pPr>
      <w:pStyle w:val="Footer"/>
      <w:bidi w:val="0"/>
      <w:rPr>
        <w:sz w:val="18"/>
        <w:lang w:val="fr-FR"/>
      </w:rPr>
    </w:pPr>
    <w:r>
      <w:rPr>
        <w:sz w:val="18"/>
        <w:lang w:val="fr-FR"/>
      </w:rPr>
      <w:t>ITU-T\BUREAU\CIRC\0131-A.DOC</w:t>
    </w:r>
  </w:p>
  <w:p w:rsidR="00926E36" w:rsidRPr="00A577BC" w:rsidRDefault="00926E36" w:rsidP="00A577BC">
    <w:pPr>
      <w:pStyle w:val="Footer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jc w:val="center"/>
      <w:tblLayout w:type="fixed"/>
      <w:tblLook w:val="0000"/>
    </w:tblPr>
    <w:tblGrid>
      <w:gridCol w:w="10149"/>
    </w:tblGrid>
    <w:tr w:rsidR="00926E36" w:rsidRPr="00C35C41">
      <w:trPr>
        <w:jc w:val="center"/>
      </w:trPr>
      <w:tc>
        <w:tcPr>
          <w:tcW w:w="10149" w:type="dxa"/>
        </w:tcPr>
        <w:p w:rsidR="00926E36" w:rsidRPr="005E1AFF" w:rsidRDefault="00926E36" w:rsidP="005E1AFF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bidi w:val="0"/>
            <w:spacing w:line="240" w:lineRule="auto"/>
            <w:rPr>
              <w:rFonts w:ascii="Futura Lt BT" w:hAnsi="Futura Lt BT"/>
              <w:sz w:val="18"/>
              <w:lang w:val="fr-FR"/>
            </w:rPr>
          </w:pPr>
          <w:r w:rsidRPr="005E1AFF">
            <w:rPr>
              <w:rFonts w:ascii="Futura Lt BT" w:hAnsi="Futura Lt BT"/>
              <w:sz w:val="18"/>
              <w:lang w:val="fr-FR"/>
            </w:rPr>
            <w:t>Place des Nations</w:t>
          </w:r>
          <w:r w:rsidRPr="005E1AFF"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 w:rsidRPr="005E1AFF"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 w:rsidRPr="005E1AFF">
            <w:rPr>
              <w:rFonts w:ascii="Futura Lt BT" w:hAnsi="Futura Lt BT"/>
              <w:sz w:val="18"/>
              <w:lang w:val="fr-FR"/>
            </w:rPr>
            <w:t xml:space="preserve"> </w:t>
          </w:r>
          <w:r w:rsidRPr="005E1AFF">
            <w:rPr>
              <w:rFonts w:ascii="Futura Lt BT" w:hAnsi="Futura Lt BT" w:hint="cs"/>
              <w:sz w:val="18"/>
              <w:rtl/>
              <w:lang w:val="fr-FR"/>
            </w:rPr>
            <w:tab/>
          </w:r>
          <w:r w:rsidR="00965C68">
            <w:rPr>
              <w:rFonts w:ascii="Futura Lt BT" w:hAnsi="Futura Lt BT"/>
              <w:sz w:val="18"/>
              <w:rtl/>
              <w:lang w:val="fr-FR" w:bidi="ar-EG"/>
            </w:rPr>
            <w:tab/>
          </w:r>
          <w:r w:rsidR="00965C68">
            <w:rPr>
              <w:rFonts w:ascii="Futura Lt BT" w:hAnsi="Futura Lt BT" w:hint="cs"/>
              <w:sz w:val="18"/>
              <w:rtl/>
              <w:lang w:val="fr-FR" w:bidi="ar-EG"/>
            </w:rPr>
            <w:tab/>
          </w:r>
          <w:r w:rsidRPr="005E1AFF">
            <w:rPr>
              <w:rFonts w:ascii="Futura Lt BT" w:hAnsi="Futura Lt BT"/>
              <w:sz w:val="18"/>
              <w:lang w:val="fr-FR"/>
            </w:rPr>
            <w:t>+41 22 730 51 11</w:t>
          </w:r>
          <w:r w:rsidRPr="005E1AFF"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 w:rsidRPr="005E1AFF"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 w:rsidRPr="005E1AFF"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 w:rsidRPr="005E1AFF"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 w:rsidRPr="005E1AFF"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 w:rsidRPr="005E1AFF"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 w:rsidRPr="005E1AFF">
            <w:rPr>
              <w:rFonts w:ascii="Futura Lt BT" w:hAnsi="Futura Lt BT"/>
              <w:sz w:val="18"/>
              <w:lang w:val="fr-FR"/>
            </w:rPr>
            <w:tab/>
            <w:t>E-mail:</w:t>
          </w:r>
          <w:r w:rsidRPr="005E1AFF"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926E36" w:rsidRPr="005E1AFF" w:rsidRDefault="00926E36" w:rsidP="00884016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744"/>
              <w:tab w:val="left" w:pos="9284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r w:rsidRPr="005E1AFF">
            <w:rPr>
              <w:rFonts w:ascii="Futura Lt BT" w:hAnsi="Futura Lt BT"/>
              <w:sz w:val="18"/>
            </w:rPr>
            <w:t>CH-1211 Geneva 20</w:t>
          </w:r>
          <w:r w:rsidRPr="005E1AFF">
            <w:rPr>
              <w:rFonts w:ascii="Futura Lt BT" w:hAnsi="Futura Lt BT"/>
              <w:sz w:val="18"/>
            </w:rPr>
            <w:tab/>
          </w:r>
          <w:proofErr w:type="spellStart"/>
          <w:r w:rsidRPr="005E1AFF">
            <w:rPr>
              <w:rFonts w:ascii="Futura Lt BT" w:hAnsi="Futura Lt BT"/>
              <w:sz w:val="18"/>
            </w:rPr>
            <w:t>Telefax</w:t>
          </w:r>
          <w:proofErr w:type="spellEnd"/>
          <w:r w:rsidRPr="005E1AFF">
            <w:rPr>
              <w:rFonts w:ascii="Futura Lt BT" w:hAnsi="Futura Lt BT"/>
              <w:sz w:val="18"/>
            </w:rPr>
            <w:tab/>
            <w:t>Gr3:</w:t>
          </w:r>
          <w:r w:rsidRPr="005E1AFF">
            <w:rPr>
              <w:rFonts w:ascii="Futura Lt BT" w:hAnsi="Futura Lt BT"/>
              <w:sz w:val="18"/>
            </w:rPr>
            <w:tab/>
            <w:t>+41 22 733 72 56</w:t>
          </w:r>
          <w:r w:rsidRPr="005E1AFF">
            <w:rPr>
              <w:rFonts w:ascii="Futura Lt BT" w:hAnsi="Futura Lt BT"/>
              <w:sz w:val="18"/>
            </w:rPr>
            <w:tab/>
            <w:t>Telegram ITU GENEVE</w:t>
          </w:r>
          <w:r w:rsidRPr="005E1AFF">
            <w:rPr>
              <w:rFonts w:ascii="Futura Lt BT" w:hAnsi="Futura Lt BT"/>
              <w:sz w:val="18"/>
            </w:rPr>
            <w:tab/>
          </w:r>
          <w:hyperlink r:id="rId1" w:history="1">
            <w:r w:rsidRPr="005E1AFF">
              <w:rPr>
                <w:rStyle w:val="Hyperlink"/>
                <w:rFonts w:ascii="Futura Lt BT" w:hAnsi="Futura Lt BT"/>
                <w:sz w:val="18"/>
              </w:rPr>
              <w:t>www.itu.int</w:t>
            </w:r>
          </w:hyperlink>
        </w:p>
        <w:p w:rsidR="00926E36" w:rsidRPr="005E1AFF" w:rsidRDefault="00926E36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smartTag w:uri="urn:schemas-microsoft-com:office:smarttags" w:element="PlaceName">
            <w:smartTag w:uri="urn:schemas-microsoft-com:office:smarttags" w:element="PlaceType">
              <w:r w:rsidRPr="005E1AFF"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 w:rsidRPr="005E1AFF">
            <w:rPr>
              <w:rFonts w:ascii="Futura Lt BT" w:hAnsi="Futura Lt BT"/>
              <w:sz w:val="18"/>
            </w:rPr>
            <w:tab/>
          </w:r>
          <w:r w:rsidRPr="005E1AFF">
            <w:rPr>
              <w:rFonts w:ascii="Futura Lt BT" w:hAnsi="Futura Lt BT"/>
              <w:sz w:val="18"/>
            </w:rPr>
            <w:tab/>
            <w:t>Gr4:</w:t>
          </w:r>
          <w:r w:rsidRPr="005E1AFF"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926E36" w:rsidRPr="00795FF6" w:rsidRDefault="00926E36" w:rsidP="00795FF6">
    <w:pPr>
      <w:pStyle w:val="Footer"/>
      <w:tabs>
        <w:tab w:val="clear" w:pos="4703"/>
        <w:tab w:val="clear" w:pos="9406"/>
        <w:tab w:val="right" w:pos="9617"/>
      </w:tabs>
      <w:bidi w:val="0"/>
      <w:spacing w:before="0"/>
      <w:rPr>
        <w:sz w:val="2"/>
        <w:szCs w:val="2"/>
      </w:rPr>
    </w:pPr>
    <w:r w:rsidRPr="00C35C41">
      <w:rPr>
        <w:rFonts w:hint="cs"/>
        <w:sz w:val="2"/>
        <w:szCs w:val="2"/>
        <w:highlight w:val="yellow"/>
        <w:rtl/>
      </w:rPr>
      <w:t>خ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36" w:rsidRPr="00A577BC" w:rsidRDefault="00A577BC" w:rsidP="00A577BC">
    <w:pPr>
      <w:pStyle w:val="Footer"/>
      <w:bidi w:val="0"/>
      <w:rPr>
        <w:sz w:val="18"/>
        <w:lang w:val="fr-FR"/>
      </w:rPr>
    </w:pPr>
    <w:r>
      <w:rPr>
        <w:sz w:val="18"/>
        <w:lang w:val="fr-FR"/>
      </w:rPr>
      <w:t>ITU-T\BUREAU\CIRC\0131-A.DOC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E36" w:rsidRDefault="00926E36">
      <w:r>
        <w:separator/>
      </w:r>
    </w:p>
  </w:footnote>
  <w:footnote w:type="continuationSeparator" w:id="0">
    <w:p w:rsidR="00926E36" w:rsidRDefault="00926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7BC" w:rsidRDefault="00A577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36" w:rsidRDefault="00926E36" w:rsidP="008165EA">
    <w:pPr>
      <w:pStyle w:val="Header"/>
      <w:bidi w:val="0"/>
      <w:spacing w:before="0"/>
      <w:jc w:val="center"/>
    </w:pPr>
    <w:r>
      <w:t>- </w:t>
    </w:r>
    <w:r w:rsidR="00587FB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87FB3">
      <w:rPr>
        <w:rStyle w:val="PageNumber"/>
      </w:rPr>
      <w:fldChar w:fldCharType="separate"/>
    </w:r>
    <w:r w:rsidR="00BF5B00">
      <w:rPr>
        <w:rStyle w:val="PageNumber"/>
        <w:noProof/>
      </w:rPr>
      <w:t>3</w:t>
    </w:r>
    <w:r w:rsidR="00587FB3">
      <w:rPr>
        <w:rStyle w:val="PageNumber"/>
      </w:rPr>
      <w:fldChar w:fldCharType="end"/>
    </w:r>
    <w:r>
      <w:t> 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36" w:rsidRPr="009962E5" w:rsidRDefault="00926E36" w:rsidP="009962E5">
    <w:pPr>
      <w:pStyle w:val="Header"/>
      <w:jc w:val="center"/>
      <w:rPr>
        <w:rFonts w:asciiTheme="majorBidi" w:hAnsiTheme="majorBidi" w:cstheme="majorBidi"/>
        <w:sz w:val="18"/>
        <w:szCs w:val="18"/>
        <w:rtl/>
        <w:lang w:bidi="ar-EG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36" w:rsidRPr="00A577BC" w:rsidRDefault="00926E36" w:rsidP="009962E5">
    <w:pPr>
      <w:pStyle w:val="Header"/>
      <w:jc w:val="center"/>
      <w:rPr>
        <w:rFonts w:asciiTheme="majorBidi" w:hAnsiTheme="majorBidi" w:cstheme="majorBidi"/>
        <w:szCs w:val="22"/>
      </w:rPr>
    </w:pPr>
    <w:r w:rsidRPr="009962E5">
      <w:rPr>
        <w:rFonts w:asciiTheme="majorBidi" w:hAnsiTheme="majorBidi" w:cstheme="majorBidi"/>
        <w:sz w:val="18"/>
        <w:szCs w:val="18"/>
      </w:rPr>
      <w:t xml:space="preserve"> </w:t>
    </w:r>
    <w:r w:rsidRPr="00A577BC">
      <w:rPr>
        <w:rFonts w:asciiTheme="majorBidi" w:hAnsiTheme="majorBidi" w:cstheme="majorBidi"/>
        <w:szCs w:val="22"/>
      </w:rPr>
      <w:t>-</w:t>
    </w:r>
    <w:sdt>
      <w:sdtPr>
        <w:rPr>
          <w:rFonts w:asciiTheme="majorBidi" w:hAnsiTheme="majorBidi" w:cstheme="majorBidi"/>
          <w:szCs w:val="22"/>
          <w:rtl/>
        </w:rPr>
        <w:id w:val="12420509"/>
        <w:docPartObj>
          <w:docPartGallery w:val="Page Numbers (Top of Page)"/>
          <w:docPartUnique/>
        </w:docPartObj>
      </w:sdtPr>
      <w:sdtContent>
        <w:r w:rsidR="00587FB3" w:rsidRPr="00A577BC">
          <w:rPr>
            <w:rFonts w:asciiTheme="majorBidi" w:hAnsiTheme="majorBidi" w:cstheme="majorBidi"/>
            <w:szCs w:val="22"/>
          </w:rPr>
          <w:fldChar w:fldCharType="begin"/>
        </w:r>
        <w:r w:rsidRPr="00A577BC">
          <w:rPr>
            <w:rFonts w:asciiTheme="majorBidi" w:hAnsiTheme="majorBidi" w:cstheme="majorBidi"/>
            <w:szCs w:val="22"/>
          </w:rPr>
          <w:instrText xml:space="preserve"> PAGE   \* MERGEFORMAT </w:instrText>
        </w:r>
        <w:r w:rsidR="00587FB3" w:rsidRPr="00A577BC">
          <w:rPr>
            <w:rFonts w:asciiTheme="majorBidi" w:hAnsiTheme="majorBidi" w:cstheme="majorBidi"/>
            <w:szCs w:val="22"/>
          </w:rPr>
          <w:fldChar w:fldCharType="separate"/>
        </w:r>
        <w:r w:rsidR="00BF5B00">
          <w:rPr>
            <w:rFonts w:asciiTheme="majorBidi" w:hAnsiTheme="majorBidi" w:cstheme="majorBidi"/>
            <w:noProof/>
            <w:szCs w:val="22"/>
            <w:rtl/>
          </w:rPr>
          <w:t>2</w:t>
        </w:r>
        <w:r w:rsidR="00587FB3" w:rsidRPr="00A577BC">
          <w:rPr>
            <w:rFonts w:asciiTheme="majorBidi" w:hAnsiTheme="majorBidi" w:cstheme="majorBidi"/>
            <w:szCs w:val="22"/>
          </w:rPr>
          <w:fldChar w:fldCharType="end"/>
        </w:r>
        <w:r w:rsidRPr="00A577BC">
          <w:rPr>
            <w:rFonts w:asciiTheme="majorBidi" w:hAnsiTheme="majorBidi" w:cstheme="majorBidi"/>
            <w:szCs w:val="22"/>
          </w:rPr>
          <w:t xml:space="preserve"> - 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4" w:dllVersion="512" w:checkStyle="0"/>
  <w:activeWritingStyle w:appName="MSWord" w:lang="fr-FR" w:vendorID="9" w:dllVersion="512" w:checkStyle="1"/>
  <w:proofState w:spelling="clean"/>
  <w:stylePaneFormatFilter w:val="3F01"/>
  <w:defaultTabStop w:val="794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B09"/>
    <w:rsid w:val="00002379"/>
    <w:rsid w:val="000132B7"/>
    <w:rsid w:val="000578F6"/>
    <w:rsid w:val="0006455A"/>
    <w:rsid w:val="00064EC5"/>
    <w:rsid w:val="000A7621"/>
    <w:rsid w:val="000B76BC"/>
    <w:rsid w:val="000C546F"/>
    <w:rsid w:val="000D3455"/>
    <w:rsid w:val="000E10FC"/>
    <w:rsid w:val="0010144A"/>
    <w:rsid w:val="001014A9"/>
    <w:rsid w:val="00127FFE"/>
    <w:rsid w:val="0015179E"/>
    <w:rsid w:val="00180899"/>
    <w:rsid w:val="00185619"/>
    <w:rsid w:val="0019658A"/>
    <w:rsid w:val="001A5641"/>
    <w:rsid w:val="001D1DF8"/>
    <w:rsid w:val="001D39B3"/>
    <w:rsid w:val="001D3E3A"/>
    <w:rsid w:val="001D6103"/>
    <w:rsid w:val="001F6CD8"/>
    <w:rsid w:val="00203793"/>
    <w:rsid w:val="0021011A"/>
    <w:rsid w:val="0022041F"/>
    <w:rsid w:val="00224522"/>
    <w:rsid w:val="002330BE"/>
    <w:rsid w:val="00235C8A"/>
    <w:rsid w:val="00246AD0"/>
    <w:rsid w:val="00252705"/>
    <w:rsid w:val="00263B9E"/>
    <w:rsid w:val="00264241"/>
    <w:rsid w:val="00293F7E"/>
    <w:rsid w:val="002947F9"/>
    <w:rsid w:val="002B45A1"/>
    <w:rsid w:val="002C233F"/>
    <w:rsid w:val="002C5576"/>
    <w:rsid w:val="002E3F3A"/>
    <w:rsid w:val="002E591F"/>
    <w:rsid w:val="002F107B"/>
    <w:rsid w:val="00301350"/>
    <w:rsid w:val="00310129"/>
    <w:rsid w:val="00311F91"/>
    <w:rsid w:val="003132DA"/>
    <w:rsid w:val="0031346F"/>
    <w:rsid w:val="00363E8E"/>
    <w:rsid w:val="00393E7C"/>
    <w:rsid w:val="003D56B1"/>
    <w:rsid w:val="004067A6"/>
    <w:rsid w:val="00417512"/>
    <w:rsid w:val="00420D88"/>
    <w:rsid w:val="00422171"/>
    <w:rsid w:val="00423AD9"/>
    <w:rsid w:val="00425397"/>
    <w:rsid w:val="004579B5"/>
    <w:rsid w:val="004603FF"/>
    <w:rsid w:val="00463437"/>
    <w:rsid w:val="00496580"/>
    <w:rsid w:val="004A7A1A"/>
    <w:rsid w:val="004D135B"/>
    <w:rsid w:val="004E1059"/>
    <w:rsid w:val="004E4BB7"/>
    <w:rsid w:val="005247A2"/>
    <w:rsid w:val="0054515F"/>
    <w:rsid w:val="00575402"/>
    <w:rsid w:val="00575B6C"/>
    <w:rsid w:val="00580A53"/>
    <w:rsid w:val="00580F62"/>
    <w:rsid w:val="00586F78"/>
    <w:rsid w:val="00587FB3"/>
    <w:rsid w:val="00591E68"/>
    <w:rsid w:val="005933D0"/>
    <w:rsid w:val="005960F3"/>
    <w:rsid w:val="005C73C9"/>
    <w:rsid w:val="005D467E"/>
    <w:rsid w:val="005D488B"/>
    <w:rsid w:val="005E007E"/>
    <w:rsid w:val="005E1AFF"/>
    <w:rsid w:val="005F33FD"/>
    <w:rsid w:val="00605E96"/>
    <w:rsid w:val="00614F3F"/>
    <w:rsid w:val="00637FB5"/>
    <w:rsid w:val="00642F8E"/>
    <w:rsid w:val="00674542"/>
    <w:rsid w:val="006765EA"/>
    <w:rsid w:val="00685C19"/>
    <w:rsid w:val="00687397"/>
    <w:rsid w:val="00697040"/>
    <w:rsid w:val="006D49AD"/>
    <w:rsid w:val="006E73B1"/>
    <w:rsid w:val="007149A7"/>
    <w:rsid w:val="00746048"/>
    <w:rsid w:val="00757D5F"/>
    <w:rsid w:val="00775E3D"/>
    <w:rsid w:val="00795FF6"/>
    <w:rsid w:val="007A66C2"/>
    <w:rsid w:val="007A6984"/>
    <w:rsid w:val="007F0AC6"/>
    <w:rsid w:val="008165EA"/>
    <w:rsid w:val="008226F2"/>
    <w:rsid w:val="0082673E"/>
    <w:rsid w:val="00852263"/>
    <w:rsid w:val="00852573"/>
    <w:rsid w:val="00866CFB"/>
    <w:rsid w:val="00884016"/>
    <w:rsid w:val="0089610B"/>
    <w:rsid w:val="008C7301"/>
    <w:rsid w:val="008E4D09"/>
    <w:rsid w:val="008E531F"/>
    <w:rsid w:val="009015FD"/>
    <w:rsid w:val="009048A4"/>
    <w:rsid w:val="00911629"/>
    <w:rsid w:val="00915C32"/>
    <w:rsid w:val="00926E36"/>
    <w:rsid w:val="0093679C"/>
    <w:rsid w:val="00965582"/>
    <w:rsid w:val="00965C68"/>
    <w:rsid w:val="00973D3C"/>
    <w:rsid w:val="0097559C"/>
    <w:rsid w:val="0097651D"/>
    <w:rsid w:val="009776FB"/>
    <w:rsid w:val="00987990"/>
    <w:rsid w:val="009962E5"/>
    <w:rsid w:val="009A61F8"/>
    <w:rsid w:val="009B0414"/>
    <w:rsid w:val="009C4ADE"/>
    <w:rsid w:val="009E072F"/>
    <w:rsid w:val="009F4B09"/>
    <w:rsid w:val="00A26EA0"/>
    <w:rsid w:val="00A577BC"/>
    <w:rsid w:val="00A655AC"/>
    <w:rsid w:val="00A83A6D"/>
    <w:rsid w:val="00AB321E"/>
    <w:rsid w:val="00AD7A42"/>
    <w:rsid w:val="00B06EFE"/>
    <w:rsid w:val="00B10464"/>
    <w:rsid w:val="00B232BD"/>
    <w:rsid w:val="00B7558A"/>
    <w:rsid w:val="00B76C6F"/>
    <w:rsid w:val="00B805FD"/>
    <w:rsid w:val="00B85152"/>
    <w:rsid w:val="00B902BF"/>
    <w:rsid w:val="00BB237E"/>
    <w:rsid w:val="00BB3AA1"/>
    <w:rsid w:val="00BC45BA"/>
    <w:rsid w:val="00BD225D"/>
    <w:rsid w:val="00BF5B00"/>
    <w:rsid w:val="00C0144D"/>
    <w:rsid w:val="00C35C41"/>
    <w:rsid w:val="00C42FC9"/>
    <w:rsid w:val="00C56944"/>
    <w:rsid w:val="00C96833"/>
    <w:rsid w:val="00C96F15"/>
    <w:rsid w:val="00CB63B9"/>
    <w:rsid w:val="00CC30F9"/>
    <w:rsid w:val="00CE2555"/>
    <w:rsid w:val="00CF2045"/>
    <w:rsid w:val="00D07074"/>
    <w:rsid w:val="00D119B1"/>
    <w:rsid w:val="00D34A31"/>
    <w:rsid w:val="00D45212"/>
    <w:rsid w:val="00D807A7"/>
    <w:rsid w:val="00D82615"/>
    <w:rsid w:val="00D84854"/>
    <w:rsid w:val="00D86402"/>
    <w:rsid w:val="00D87242"/>
    <w:rsid w:val="00DC2EA3"/>
    <w:rsid w:val="00DE76C6"/>
    <w:rsid w:val="00E139FE"/>
    <w:rsid w:val="00E14254"/>
    <w:rsid w:val="00E24356"/>
    <w:rsid w:val="00E27501"/>
    <w:rsid w:val="00E32073"/>
    <w:rsid w:val="00E411E9"/>
    <w:rsid w:val="00E529E7"/>
    <w:rsid w:val="00E567BD"/>
    <w:rsid w:val="00E73538"/>
    <w:rsid w:val="00E76382"/>
    <w:rsid w:val="00E80F95"/>
    <w:rsid w:val="00E96B35"/>
    <w:rsid w:val="00ED30C0"/>
    <w:rsid w:val="00EE33DA"/>
    <w:rsid w:val="00EF1712"/>
    <w:rsid w:val="00F0698D"/>
    <w:rsid w:val="00F11BC4"/>
    <w:rsid w:val="00F20164"/>
    <w:rsid w:val="00F318DD"/>
    <w:rsid w:val="00F912E6"/>
    <w:rsid w:val="00F95C64"/>
    <w:rsid w:val="00F968D5"/>
    <w:rsid w:val="00FA6851"/>
    <w:rsid w:val="00FB1373"/>
    <w:rsid w:val="00FB6B6D"/>
    <w:rsid w:val="00FC4ABD"/>
    <w:rsid w:val="00FC593B"/>
    <w:rsid w:val="00FC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254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85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425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E14254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E14254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9962E5"/>
    <w:rPr>
      <w:rFonts w:cs="Traditional Arabic"/>
      <w:sz w:val="22"/>
      <w:szCs w:val="30"/>
      <w:lang w:eastAsia="en-US"/>
    </w:rPr>
  </w:style>
  <w:style w:type="paragraph" w:customStyle="1" w:styleId="AnnexNotitle">
    <w:name w:val="Annex_No &amp; title"/>
    <w:basedOn w:val="Normal"/>
    <w:next w:val="Normal"/>
    <w:rsid w:val="00965C6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685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A577BC"/>
    <w:rPr>
      <w:rFonts w:cs="Traditional Arabic"/>
      <w:sz w:val="22"/>
      <w:szCs w:val="30"/>
      <w:lang w:eastAsia="en-US"/>
    </w:rPr>
  </w:style>
  <w:style w:type="character" w:styleId="FollowedHyperlink">
    <w:name w:val="FollowedHyperlink"/>
    <w:basedOn w:val="DefaultParagraphFont"/>
    <w:rsid w:val="00BF5B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sbsg16@itu.int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Documents%20and%20Settings\bettini\Local%20Settings\Temporary%20Internet%20Files\Content.Outlook\W778SAR5\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4660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5523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2010-08-10T16:31:00Z</cp:lastPrinted>
  <dcterms:created xsi:type="dcterms:W3CDTF">2010-08-13T12:24:00Z</dcterms:created>
  <dcterms:modified xsi:type="dcterms:W3CDTF">2010-08-13T12:24:00Z</dcterms:modified>
</cp:coreProperties>
</file>