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BF2098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67205" cy="698500"/>
                  <wp:effectExtent l="19050" t="0" r="4445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FB377C">
        <w:t>20 de julio de 2010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Default="00401C20" w:rsidP="00FB377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FB377C">
              <w:rPr>
                <w:b/>
              </w:rPr>
              <w:t>125</w:t>
            </w:r>
          </w:p>
          <w:p w:rsidR="00401C20" w:rsidRDefault="00FB377C" w:rsidP="00FB377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COM 2</w:t>
            </w:r>
            <w:r w:rsidR="00401C20">
              <w:t>/</w:t>
            </w:r>
            <w:r>
              <w:t>RH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FB377C">
              <w:t xml:space="preserve"> 5887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401C20">
        <w:trPr>
          <w:cantSplit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Default="005D1CB6" w:rsidP="00FB377C">
            <w:pPr>
              <w:tabs>
                <w:tab w:val="left" w:pos="4111"/>
              </w:tabs>
              <w:spacing w:before="0"/>
              <w:ind w:left="57"/>
            </w:pPr>
            <w:hyperlink r:id="rId7" w:history="1">
              <w:r w:rsidR="00FB377C" w:rsidRPr="001E684A">
                <w:rPr>
                  <w:rStyle w:val="Hyperlink"/>
                </w:rPr>
                <w:t>tsbsg2@itu.int</w:t>
              </w:r>
            </w:hyperlink>
            <w:r w:rsidR="00B95F0A">
              <w:t xml:space="preserve"> 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401C20" w:rsidRDefault="00B95F0A" w:rsidP="00FB377C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401C20">
              <w:t xml:space="preserve">Comisión de Estudio </w:t>
            </w:r>
            <w:r w:rsidR="00FB377C">
              <w:t>2</w:t>
            </w:r>
            <w:r w:rsidR="00401C20">
              <w:t>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01C20" w:rsidRDefault="00401C20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9376"/>
      </w:tblGrid>
      <w:tr w:rsidR="00401C20" w:rsidTr="00FB377C">
        <w:trPr>
          <w:cantSplit/>
        </w:trPr>
        <w:tc>
          <w:tcPr>
            <w:tcW w:w="822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9376" w:type="dxa"/>
          </w:tcPr>
          <w:p w:rsidR="00401C20" w:rsidRDefault="00401C20" w:rsidP="00193FF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193FFE">
              <w:rPr>
                <w:b/>
              </w:rPr>
              <w:t>2</w:t>
            </w:r>
            <w:r>
              <w:rPr>
                <w:b/>
              </w:rPr>
              <w:t xml:space="preserve"> para la aprobación </w:t>
            </w:r>
            <w:r w:rsidR="00335367">
              <w:rPr>
                <w:b/>
              </w:rPr>
              <w:t>del</w:t>
            </w:r>
            <w:r>
              <w:rPr>
                <w:b/>
              </w:rPr>
              <w:t xml:space="preserve"> proyecto</w:t>
            </w:r>
            <w:r w:rsidR="00335367">
              <w:rPr>
                <w:b/>
              </w:rPr>
              <w:t xml:space="preserve"> de Recomendación revisada </w:t>
            </w:r>
            <w:r w:rsidR="00002529">
              <w:rPr>
                <w:b/>
              </w:rPr>
              <w:t xml:space="preserve">UIT-T </w:t>
            </w:r>
            <w:r w:rsidR="00193FFE">
              <w:rPr>
                <w:b/>
              </w:rPr>
              <w:t xml:space="preserve">E.164 y del proyecto </w:t>
            </w:r>
            <w:r>
              <w:rPr>
                <w:b/>
              </w:rPr>
              <w:t xml:space="preserve">de </w:t>
            </w:r>
            <w:r w:rsidR="00193FFE">
              <w:rPr>
                <w:b/>
              </w:rPr>
              <w:t xml:space="preserve">Anexo F revisado a la Recomendación UIT-T E.212, de </w:t>
            </w:r>
            <w:r>
              <w:rPr>
                <w:b/>
              </w:rPr>
              <w:t>conformidad con las disposiciones de la Resolución 1, Sección 9, de la AMNT (</w:t>
            </w:r>
            <w:r w:rsidR="00B95F0A">
              <w:rPr>
                <w:b/>
              </w:rPr>
              <w:t>Johannesburgo, 2008</w:t>
            </w:r>
            <w:r>
              <w:rPr>
                <w:b/>
              </w:rPr>
              <w:t>)</w:t>
            </w:r>
            <w:r>
              <w:rPr>
                <w:b/>
              </w:rPr>
              <w:br/>
              <w:t xml:space="preserve">Ginebra, </w:t>
            </w:r>
            <w:r w:rsidR="00193FFE">
              <w:rPr>
                <w:b/>
              </w:rPr>
              <w:t>18 de noviembre de 2010</w:t>
            </w:r>
          </w:p>
        </w:tc>
      </w:tr>
    </w:tbl>
    <w:p w:rsidR="00401C20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Default="00B95F0A">
      <w:r>
        <w:t>Muy Señora mía/Muy S</w:t>
      </w:r>
      <w:r w:rsidR="00401C20">
        <w:t>eñor mío:</w:t>
      </w:r>
    </w:p>
    <w:p w:rsidR="00401C20" w:rsidRDefault="00401C20" w:rsidP="007A388E">
      <w:r>
        <w:rPr>
          <w:bCs/>
        </w:rPr>
        <w:t>1</w:t>
      </w:r>
      <w:r>
        <w:tab/>
        <w:t>A petición del Presid</w:t>
      </w:r>
      <w:r w:rsidR="007A388E">
        <w:t>ente de la Comisión de Estudio 2</w:t>
      </w:r>
      <w:r>
        <w:t xml:space="preserve">, </w:t>
      </w:r>
      <w:r w:rsidR="007A388E" w:rsidRPr="00624393">
        <w:rPr>
          <w:i/>
        </w:rPr>
        <w:t>Aspectos operacionales del suministro de servicios y la gestión de las telecomunicaciones</w:t>
      </w:r>
      <w:r>
        <w:t xml:space="preserve">, tengo el honor de informarle que esta Comisión de Estudio, que se reunirá del </w:t>
      </w:r>
      <w:r w:rsidR="007A388E">
        <w:t>9 al 18 de noviembre de 2010</w:t>
      </w:r>
      <w:r>
        <w:t>, se propone aplicar el procedimiento descrito en la Resolución 1, Sección 9, de la AMNT (</w:t>
      </w:r>
      <w:r w:rsidR="00B95F0A">
        <w:t>Johannesburgo, 2008</w:t>
      </w:r>
      <w:r>
        <w:t xml:space="preserve">) para la </w:t>
      </w:r>
      <w:r w:rsidR="00A54E47">
        <w:t>aprobación de del proyecto de</w:t>
      </w:r>
      <w:r>
        <w:t xml:space="preserve"> Recomendación revisada y </w:t>
      </w:r>
      <w:r w:rsidR="007A388E">
        <w:t>del proyecto de Anexo revisado a una Recomendaci</w:t>
      </w:r>
      <w:r w:rsidR="007A388E" w:rsidRPr="007A388E">
        <w:t xml:space="preserve">ón </w:t>
      </w:r>
      <w:r w:rsidR="007A388E">
        <w:t>existente</w:t>
      </w:r>
      <w:r>
        <w:t xml:space="preserve"> </w:t>
      </w:r>
      <w:r w:rsidR="00A54E47">
        <w:t>mencionados arriba.</w:t>
      </w:r>
    </w:p>
    <w:p w:rsidR="00401C20" w:rsidRDefault="00401C20" w:rsidP="0075634E">
      <w:r>
        <w:rPr>
          <w:bCs/>
        </w:rPr>
        <w:t>2</w:t>
      </w:r>
      <w:r>
        <w:tab/>
        <w:t xml:space="preserve">El </w:t>
      </w:r>
      <w:r>
        <w:rPr>
          <w:b/>
        </w:rPr>
        <w:t>anexo 1</w:t>
      </w:r>
      <w:r>
        <w:t xml:space="preserve"> contiene el</w:t>
      </w:r>
      <w:r w:rsidR="001A54CC">
        <w:t xml:space="preserve"> título</w:t>
      </w:r>
      <w:r w:rsidR="00A54E47">
        <w:t xml:space="preserve"> y el</w:t>
      </w:r>
      <w:r>
        <w:t xml:space="preserve"> resumen de los proyectos de </w:t>
      </w:r>
      <w:r w:rsidR="0075634E">
        <w:t>texto</w:t>
      </w:r>
      <w:r>
        <w:t>, con indicación de los documentos en que figuran.</w:t>
      </w:r>
    </w:p>
    <w:p w:rsidR="00401C20" w:rsidRDefault="00401C20" w:rsidP="0075634E">
      <w:r>
        <w:rPr>
          <w:bCs/>
        </w:rPr>
        <w:t>3</w:t>
      </w:r>
      <w:r>
        <w:tab/>
        <w:t xml:space="preserve">Todo Estado Miembro, Miembro de Sector o Asociado de la UIT consciente de la titularidad de una patente propia o ajena que pueda cubrir total o parcialmente los elementos de los proyectos de </w:t>
      </w:r>
      <w:r w:rsidR="0075634E">
        <w:t xml:space="preserve">texto </w:t>
      </w:r>
      <w:r>
        <w:t xml:space="preserve">propuestos para aprobación debe poner esa información en conocimiento de la TSB, de conformidad con </w:t>
      </w:r>
      <w:r w:rsidR="00B43F77">
        <w:t>la política sobre patentes del UIT-T/UIT-R/ISO/CEI</w:t>
      </w:r>
      <w:r>
        <w:t>.</w:t>
      </w:r>
    </w:p>
    <w:p w:rsidR="00401C20" w:rsidRDefault="00401C20">
      <w:r>
        <w:t>Puede accederse en línea a la información disponible sobre patentes a través del sitio Web del UIT</w:t>
      </w:r>
      <w:r>
        <w:noBreakHyphen/>
        <w:t>T</w:t>
      </w:r>
      <w:r w:rsidR="00B43F77">
        <w:t xml:space="preserve"> (</w:t>
      </w:r>
      <w:hyperlink r:id="rId8" w:history="1">
        <w:r w:rsidR="00B43F77" w:rsidRPr="00F816C5">
          <w:rPr>
            <w:rStyle w:val="Hyperlink"/>
          </w:rPr>
          <w:t>www.itu.int/ITU-T/ipr/</w:t>
        </w:r>
      </w:hyperlink>
      <w:r w:rsidR="00B43F77">
        <w:t>)</w:t>
      </w:r>
      <w:r>
        <w:t>.</w:t>
      </w:r>
    </w:p>
    <w:p w:rsidR="00401C20" w:rsidRDefault="00401C20" w:rsidP="0075634E">
      <w:r>
        <w:rPr>
          <w:bCs/>
        </w:rPr>
        <w:t>4</w:t>
      </w:r>
      <w:r>
        <w:tab/>
        <w:t xml:space="preserve">Teniendo en cuenta las disposiciones de la Resolución 1, Sección 9, le agradecería que me comunicase </w:t>
      </w:r>
      <w:r>
        <w:rPr>
          <w:b/>
        </w:rPr>
        <w:t>antes</w:t>
      </w:r>
      <w:r>
        <w:t xml:space="preserve"> de las 24.00 horas UTC </w:t>
      </w:r>
      <w:r>
        <w:rPr>
          <w:b/>
        </w:rPr>
        <w:t xml:space="preserve">del </w:t>
      </w:r>
      <w:r w:rsidR="0075634E">
        <w:rPr>
          <w:b/>
        </w:rPr>
        <w:t xml:space="preserve">28 de octubre de 2010 </w:t>
      </w:r>
      <w:r>
        <w:t xml:space="preserve">si su Administración otorga a la Comisión de Estudio </w:t>
      </w:r>
      <w:r w:rsidR="0075634E">
        <w:t xml:space="preserve">2 </w:t>
      </w:r>
      <w:r>
        <w:t xml:space="preserve">la autoridad necesaria para que durante su reunión puedan considerar la aprobación de estos proyectos de </w:t>
      </w:r>
      <w:r w:rsidR="0075634E">
        <w:t>texto</w:t>
      </w:r>
      <w:r>
        <w:t>.</w:t>
      </w:r>
    </w:p>
    <w:p w:rsidR="00401C20" w:rsidRDefault="00401C20" w:rsidP="0075634E">
      <w:r>
        <w:lastRenderedPageBreak/>
        <w:t xml:space="preserve">Si algunos Estados Miembros opinan que no puede procederse a considerar la aprobación, deben indicar sus razones de desaprobación así como los posibles cambios que facilitarían el nuevo examen y la aprobación de los proyectos de </w:t>
      </w:r>
      <w:r w:rsidR="0075634E">
        <w:t>texto</w:t>
      </w:r>
      <w:r>
        <w:t>.</w:t>
      </w:r>
    </w:p>
    <w:p w:rsidR="00401C20" w:rsidRDefault="00401C20" w:rsidP="0075634E">
      <w:r>
        <w:rPr>
          <w:bCs/>
        </w:rPr>
        <w:t>5</w:t>
      </w:r>
      <w:r>
        <w:tab/>
        <w:t xml:space="preserve">Si el 70% como mínimo de las respuestas de los Estados Miembros están a favor de que se considere la aprobación de estos proyectos de </w:t>
      </w:r>
      <w:r w:rsidR="0075634E">
        <w:t xml:space="preserve">texto </w:t>
      </w:r>
      <w:r>
        <w:t xml:space="preserve">en la reunión de la Comisión de Estudio, </w:t>
      </w:r>
      <w:r>
        <w:rPr>
          <w:b/>
        </w:rPr>
        <w:t xml:space="preserve">el </w:t>
      </w:r>
      <w:r w:rsidR="0075634E">
        <w:rPr>
          <w:b/>
        </w:rPr>
        <w:t>18 de noviembre de 2010</w:t>
      </w:r>
      <w:r>
        <w:rPr>
          <w:b/>
        </w:rPr>
        <w:t xml:space="preserve"> </w:t>
      </w:r>
      <w:r>
        <w:t>se dedicará una sesión plenaria a la aplicación del procedimiento de aprobación.</w:t>
      </w:r>
    </w:p>
    <w:p w:rsidR="00401C20" w:rsidRDefault="00401C20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artículo 19, número 239, del Convenio de la UIT.</w:t>
      </w:r>
    </w:p>
    <w:p w:rsidR="00401C20" w:rsidRDefault="00401C20" w:rsidP="0075634E">
      <w:r>
        <w:rPr>
          <w:bCs/>
        </w:rPr>
        <w:t>6</w:t>
      </w:r>
      <w:r>
        <w:tab/>
        <w:t>El orden del día</w:t>
      </w:r>
      <w:r w:rsidR="00850C78">
        <w:t xml:space="preserve"> </w:t>
      </w:r>
      <w:r>
        <w:t>y toda la información pertinente sobre la reunión de la Comisión de Estudio</w:t>
      </w:r>
      <w:r w:rsidR="0075634E">
        <w:t xml:space="preserve"> 2 </w:t>
      </w:r>
      <w:r>
        <w:t xml:space="preserve">figurarán en la Carta colectiva </w:t>
      </w:r>
      <w:r w:rsidR="0075634E">
        <w:t>4/2.</w:t>
      </w:r>
    </w:p>
    <w:p w:rsidR="00401C20" w:rsidRDefault="00401C20" w:rsidP="0075634E">
      <w:r>
        <w:rPr>
          <w:bCs/>
        </w:rPr>
        <w:t>7</w:t>
      </w:r>
      <w:r>
        <w:tab/>
        <w:t>Después de la reunión, el Director de la TSB notificará por circul</w:t>
      </w:r>
      <w:r w:rsidR="0075634E">
        <w:t>ar la decisión tomada sobre esto</w:t>
      </w:r>
      <w:r>
        <w:t>s</w:t>
      </w:r>
      <w:r w:rsidR="00B96180">
        <w:t xml:space="preserve"> </w:t>
      </w:r>
      <w:r w:rsidR="0075634E">
        <w:t>textos</w:t>
      </w:r>
      <w:r>
        <w:t>. Esta información se publicará también en el Boletín de Explotación de la UIT.</w:t>
      </w:r>
    </w:p>
    <w:p w:rsidR="00401C20" w:rsidRDefault="00401C20">
      <w:pPr>
        <w:ind w:right="92"/>
      </w:pPr>
      <w:r>
        <w:t>Le saluda muy atentamente,</w:t>
      </w:r>
    </w:p>
    <w:p w:rsidR="00401C20" w:rsidRDefault="00B422BC">
      <w:pPr>
        <w:spacing w:before="1701"/>
        <w:ind w:right="91"/>
      </w:pPr>
      <w:r w:rsidRPr="00B422BC">
        <w:t>Malcolm Johnson</w:t>
      </w:r>
      <w:r w:rsidR="00401C20">
        <w:br/>
        <w:t>Director de la Oficina de</w:t>
      </w:r>
      <w:r w:rsidR="00401C20">
        <w:br/>
        <w:t>Normalización de las Telecomunicaciones</w:t>
      </w:r>
    </w:p>
    <w:p w:rsidR="00401C20" w:rsidRDefault="00401C20">
      <w:pPr>
        <w:spacing w:before="400"/>
        <w:ind w:right="91"/>
      </w:pPr>
    </w:p>
    <w:p w:rsidR="00401C20" w:rsidRPr="00E01AEE" w:rsidRDefault="00401C20">
      <w:pPr>
        <w:rPr>
          <w:bCs/>
        </w:rPr>
      </w:pPr>
      <w:r>
        <w:rPr>
          <w:b/>
        </w:rPr>
        <w:t>Anexo:</w:t>
      </w:r>
      <w:r w:rsidR="00E01AEE">
        <w:rPr>
          <w:b/>
        </w:rPr>
        <w:t xml:space="preserve"> </w:t>
      </w:r>
      <w:r w:rsidR="00E01AEE">
        <w:rPr>
          <w:bCs/>
        </w:rPr>
        <w:t>1</w:t>
      </w:r>
    </w:p>
    <w:p w:rsidR="00E01AEE" w:rsidRDefault="00E01A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650BB" w:rsidRPr="00B71198" w:rsidRDefault="00F650BB" w:rsidP="00F650BB">
      <w:pPr>
        <w:pStyle w:val="Annex"/>
      </w:pPr>
      <w:r w:rsidRPr="0089237E">
        <w:rPr>
          <w:szCs w:val="24"/>
        </w:rPr>
        <w:t>anexo 1</w:t>
      </w:r>
      <w:r w:rsidRPr="00B71198">
        <w:br/>
        <w:t>(</w:t>
      </w:r>
      <w:r w:rsidRPr="00B71198">
        <w:rPr>
          <w:caps w:val="0"/>
        </w:rPr>
        <w:t>a la Circular</w:t>
      </w:r>
      <w:r w:rsidRPr="00B71198">
        <w:t xml:space="preserve"> tsb </w:t>
      </w:r>
      <w:r>
        <w:t>125</w:t>
      </w:r>
      <w:r w:rsidRPr="00B71198">
        <w:t>)</w:t>
      </w:r>
    </w:p>
    <w:p w:rsidR="00F650BB" w:rsidRPr="00F35B1D" w:rsidRDefault="00F650BB" w:rsidP="00F650BB">
      <w:pPr>
        <w:pStyle w:val="AnnexTitle"/>
        <w:rPr>
          <w:sz w:val="28"/>
          <w:szCs w:val="28"/>
        </w:rPr>
      </w:pPr>
      <w:r w:rsidRPr="00F35B1D">
        <w:rPr>
          <w:sz w:val="28"/>
          <w:szCs w:val="28"/>
        </w:rPr>
        <w:t>Resumen y ubicación de los textos</w:t>
      </w:r>
    </w:p>
    <w:p w:rsidR="00F650BB" w:rsidRPr="00EF13CE" w:rsidRDefault="00F650BB" w:rsidP="00F650B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Nota </w:t>
      </w:r>
      <w:r w:rsidRPr="00F35B1D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Los textos completos pueden encontrarse en el Informe COM 2-R 8.</w:t>
      </w:r>
    </w:p>
    <w:p w:rsidR="00F650BB" w:rsidRPr="004E63B7" w:rsidRDefault="00F650BB" w:rsidP="00F650BB">
      <w:pPr>
        <w:pStyle w:val="Heading1"/>
        <w:rPr>
          <w:sz w:val="28"/>
          <w:szCs w:val="28"/>
          <w:lang w:val="es-ES"/>
        </w:rPr>
      </w:pPr>
      <w:r w:rsidRPr="004E63B7">
        <w:rPr>
          <w:sz w:val="28"/>
          <w:szCs w:val="28"/>
          <w:lang w:val="es-ES"/>
        </w:rPr>
        <w:t>1</w:t>
      </w:r>
      <w:r w:rsidRPr="004E63B7">
        <w:rPr>
          <w:sz w:val="28"/>
          <w:szCs w:val="28"/>
          <w:lang w:val="es-ES"/>
        </w:rPr>
        <w:tab/>
        <w:t xml:space="preserve">Proyecto de Recomendación UIT-T </w:t>
      </w:r>
      <w:r>
        <w:rPr>
          <w:sz w:val="28"/>
          <w:szCs w:val="28"/>
          <w:lang w:val="es-ES"/>
        </w:rPr>
        <w:t>E.164 (revisada)</w:t>
      </w:r>
    </w:p>
    <w:p w:rsidR="00F650BB" w:rsidRPr="00F650BB" w:rsidRDefault="00FD2A75" w:rsidP="00FD2A75">
      <w:pPr>
        <w:pStyle w:val="Rectitle0"/>
        <w:rPr>
          <w:rFonts w:eastAsia="MS Mincho"/>
          <w:b w:val="0"/>
          <w:bCs/>
          <w:caps/>
          <w:sz w:val="24"/>
          <w:szCs w:val="24"/>
          <w:lang w:val="es-ES"/>
        </w:rPr>
      </w:pPr>
      <w:r>
        <w:rPr>
          <w:rFonts w:eastAsia="MS Mincho"/>
          <w:b w:val="0"/>
          <w:bCs/>
          <w:caps/>
          <w:sz w:val="24"/>
          <w:szCs w:val="24"/>
          <w:lang w:val="es-ES"/>
        </w:rPr>
        <w:t>PLAN INTERNACIONAL DE NUMERACI’ON DE TELECOMUNICACIONES PÚBLICAS</w:t>
      </w:r>
    </w:p>
    <w:p w:rsidR="00F650BB" w:rsidRDefault="00F650BB" w:rsidP="00F650BB">
      <w:pPr>
        <w:pStyle w:val="headingb"/>
        <w:spacing w:before="360"/>
        <w:rPr>
          <w:lang w:val="es-ES"/>
        </w:rPr>
      </w:pPr>
      <w:r>
        <w:rPr>
          <w:lang w:val="es-ES"/>
        </w:rPr>
        <w:t>Resumen</w:t>
      </w:r>
    </w:p>
    <w:p w:rsidR="00401C20" w:rsidRDefault="00CB477C" w:rsidP="00F650BB">
      <w:r>
        <w:t>La presente Recomendación proporciona la estructura del número y la funcionalidad de las cuatro categorías de números utilizadas para las telecomunicaciones públicas internacionales: la de zonas geográficas, la de servicios mundiales, la de Redes y la de grupo de países (</w:t>
      </w:r>
      <w:proofErr w:type="spellStart"/>
      <w:r>
        <w:t>GoC</w:t>
      </w:r>
      <w:proofErr w:type="spellEnd"/>
      <w:r>
        <w:t>). Para cada una de esas categorías se detallan los componentes de la estructura de la numeración y el análisis de cifras requerido para encaminar de manera satisfactoria las llamadas. El anexo A contiene información adicional sobre la estructura y función de los números de telecomunicaciones públicas internacionales (en adelante denominados "números E.164 internacionales"). El anexo B contiene información sobre identificación de redes, parámetros de servicios, identidad de línea de llamante/conectada, procedimientos de marcación y direccionamiento de llamadas RDSI en base a su ubicación geográfica. Aplicaciones específicas basadas en el plan E.164, que difieren en cuanto a su utilización, se definen en Recomendaciones aparte.</w:t>
      </w:r>
    </w:p>
    <w:p w:rsidR="00F650BB" w:rsidRPr="004E63B7" w:rsidRDefault="00F650BB" w:rsidP="00F650BB">
      <w:pPr>
        <w:pStyle w:val="Heading1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</w:t>
      </w:r>
      <w:r w:rsidRPr="004E63B7">
        <w:rPr>
          <w:sz w:val="28"/>
          <w:szCs w:val="28"/>
          <w:lang w:val="es-ES"/>
        </w:rPr>
        <w:tab/>
        <w:t xml:space="preserve">Proyecto de </w:t>
      </w:r>
      <w:r>
        <w:rPr>
          <w:sz w:val="28"/>
          <w:szCs w:val="28"/>
          <w:lang w:val="es-ES"/>
        </w:rPr>
        <w:t xml:space="preserve">Anexo F a la </w:t>
      </w:r>
      <w:r w:rsidRPr="004E63B7">
        <w:rPr>
          <w:sz w:val="28"/>
          <w:szCs w:val="28"/>
          <w:lang w:val="es-ES"/>
        </w:rPr>
        <w:t xml:space="preserve">Recomendación UIT-T </w:t>
      </w:r>
      <w:r>
        <w:rPr>
          <w:sz w:val="28"/>
          <w:szCs w:val="28"/>
          <w:lang w:val="es-ES"/>
        </w:rPr>
        <w:t>E.212 (revisado)</w:t>
      </w:r>
    </w:p>
    <w:p w:rsidR="00F650BB" w:rsidRPr="00F650BB" w:rsidRDefault="00EB1578" w:rsidP="00F650BB">
      <w:pPr>
        <w:pStyle w:val="Rectitle0"/>
        <w:rPr>
          <w:rFonts w:eastAsia="MS Mincho"/>
          <w:b w:val="0"/>
          <w:bCs/>
          <w:caps/>
          <w:sz w:val="24"/>
          <w:szCs w:val="24"/>
          <w:lang w:val="es-ES"/>
        </w:rPr>
      </w:pPr>
      <w:r>
        <w:rPr>
          <w:rFonts w:eastAsia="MS Mincho"/>
          <w:b w:val="0"/>
          <w:bCs/>
          <w:caps/>
          <w:sz w:val="24"/>
          <w:szCs w:val="24"/>
          <w:lang w:val="es-ES"/>
        </w:rPr>
        <w:t>PLAN DE IDENTIFICACIÓN INTERNACIONAL</w:t>
      </w:r>
      <w:r>
        <w:rPr>
          <w:rFonts w:eastAsia="MS Mincho"/>
          <w:b w:val="0"/>
          <w:bCs/>
          <w:caps/>
          <w:sz w:val="24"/>
          <w:szCs w:val="24"/>
          <w:lang w:val="es-ES"/>
        </w:rPr>
        <w:br/>
        <w:t>PARA REDES PÚBLICAS Y SUSCRIPCIONES</w:t>
      </w:r>
    </w:p>
    <w:p w:rsidR="00F650BB" w:rsidRDefault="00F650BB" w:rsidP="00F650BB">
      <w:pPr>
        <w:pStyle w:val="headingb"/>
        <w:spacing w:before="360"/>
        <w:rPr>
          <w:lang w:val="es-ES"/>
        </w:rPr>
      </w:pPr>
      <w:r>
        <w:rPr>
          <w:lang w:val="es-ES"/>
        </w:rPr>
        <w:t>Resumen</w:t>
      </w:r>
    </w:p>
    <w:p w:rsidR="00F650BB" w:rsidRDefault="00EB1578" w:rsidP="00F650BB">
      <w:r>
        <w:rPr>
          <w:lang w:val="es-ES"/>
        </w:rPr>
        <w:t>Este anexo ilustra ejemplos de utilización de los recursos E.212.</w:t>
      </w:r>
    </w:p>
    <w:p w:rsidR="00F650BB" w:rsidRDefault="00F650BB"/>
    <w:p w:rsidR="00F650BB" w:rsidRDefault="00F650BB"/>
    <w:p w:rsidR="00F650BB" w:rsidRDefault="00F650BB"/>
    <w:p w:rsidR="00F650BB" w:rsidRDefault="00E96C13" w:rsidP="00E96C13">
      <w:pPr>
        <w:jc w:val="center"/>
      </w:pPr>
      <w:r>
        <w:t>_______________</w:t>
      </w:r>
    </w:p>
    <w:sectPr w:rsidR="00F650BB" w:rsidSect="00B76003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AD" w:rsidRDefault="008C17AD">
      <w:r>
        <w:separator/>
      </w:r>
    </w:p>
  </w:endnote>
  <w:endnote w:type="continuationSeparator" w:id="0">
    <w:p w:rsidR="008C17AD" w:rsidRDefault="008C1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20" w:rsidRPr="00F650BB" w:rsidRDefault="00F650BB" w:rsidP="00F650BB">
    <w:pPr>
      <w:pStyle w:val="Footer"/>
      <w:rPr>
        <w:lang w:val="fr-CH"/>
      </w:rPr>
    </w:pPr>
    <w:r w:rsidRPr="00F650BB">
      <w:rPr>
        <w:lang w:val="fr-CH"/>
      </w:rPr>
      <w:t>ITU-T\BUREAU\CIRCULAR\100\125S.DOCX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401C20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01C20" w:rsidRDefault="00401C2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01C20" w:rsidRDefault="00401C2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01C20" w:rsidRDefault="00401C2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01C20" w:rsidRDefault="00401C20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401C20">
      <w:tc>
        <w:tcPr>
          <w:tcW w:w="1985" w:type="dxa"/>
        </w:tcPr>
        <w:p w:rsidR="00401C20" w:rsidRDefault="00401C2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401C20" w:rsidRDefault="00401C2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401C20" w:rsidRDefault="00401C2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401C20" w:rsidRDefault="00401C20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401C20">
      <w:tc>
        <w:tcPr>
          <w:tcW w:w="1985" w:type="dxa"/>
        </w:tcPr>
        <w:p w:rsidR="00401C20" w:rsidRDefault="00401C2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401C20" w:rsidRDefault="00401C2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401C20" w:rsidRDefault="00401C20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401C20" w:rsidRDefault="00401C20">
          <w:pPr>
            <w:pStyle w:val="FirstFooter"/>
            <w:rPr>
              <w:rFonts w:ascii="Futura Lt BT" w:hAnsi="Futura Lt BT"/>
            </w:rPr>
          </w:pPr>
        </w:p>
      </w:tc>
    </w:tr>
  </w:tbl>
  <w:p w:rsidR="00401C20" w:rsidRDefault="00401C20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AD" w:rsidRDefault="008C17AD">
      <w:r>
        <w:t>____________________</w:t>
      </w:r>
    </w:p>
  </w:footnote>
  <w:footnote w:type="continuationSeparator" w:id="0">
    <w:p w:rsidR="008C17AD" w:rsidRDefault="008C1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20" w:rsidRDefault="00401C20">
    <w:pPr>
      <w:pStyle w:val="Header"/>
    </w:pPr>
    <w:r>
      <w:t xml:space="preserve">- </w:t>
    </w:r>
    <w:r w:rsidR="005D1CB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D1CB6">
      <w:rPr>
        <w:rStyle w:val="PageNumber"/>
      </w:rPr>
      <w:fldChar w:fldCharType="separate"/>
    </w:r>
    <w:r w:rsidR="008A306E">
      <w:rPr>
        <w:rStyle w:val="PageNumber"/>
        <w:noProof/>
      </w:rPr>
      <w:t>3</w:t>
    </w:r>
    <w:r w:rsidR="005D1CB6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673B"/>
    <w:rsid w:val="00002529"/>
    <w:rsid w:val="000C382F"/>
    <w:rsid w:val="00193FFE"/>
    <w:rsid w:val="001A54CC"/>
    <w:rsid w:val="001A5F47"/>
    <w:rsid w:val="00257FB4"/>
    <w:rsid w:val="00335367"/>
    <w:rsid w:val="003D1E8D"/>
    <w:rsid w:val="003D673B"/>
    <w:rsid w:val="00401C20"/>
    <w:rsid w:val="004C4144"/>
    <w:rsid w:val="004E11ED"/>
    <w:rsid w:val="005D1CB6"/>
    <w:rsid w:val="0075634E"/>
    <w:rsid w:val="007A388E"/>
    <w:rsid w:val="008258C2"/>
    <w:rsid w:val="00850C78"/>
    <w:rsid w:val="008A306E"/>
    <w:rsid w:val="008C17AD"/>
    <w:rsid w:val="008D02CD"/>
    <w:rsid w:val="0095172A"/>
    <w:rsid w:val="00A54E47"/>
    <w:rsid w:val="00AE7093"/>
    <w:rsid w:val="00B422BC"/>
    <w:rsid w:val="00B43F77"/>
    <w:rsid w:val="00B76003"/>
    <w:rsid w:val="00B95F0A"/>
    <w:rsid w:val="00B96180"/>
    <w:rsid w:val="00BF2098"/>
    <w:rsid w:val="00CB477C"/>
    <w:rsid w:val="00DD77C9"/>
    <w:rsid w:val="00E01AEE"/>
    <w:rsid w:val="00E96C13"/>
    <w:rsid w:val="00EB1578"/>
    <w:rsid w:val="00F6461F"/>
    <w:rsid w:val="00F650BB"/>
    <w:rsid w:val="00F775EA"/>
    <w:rsid w:val="00FB377C"/>
    <w:rsid w:val="00FD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0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B7600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7600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7600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7600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7600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7600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7600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7600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7600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B76003"/>
    <w:rPr>
      <w:vertAlign w:val="superscript"/>
    </w:rPr>
  </w:style>
  <w:style w:type="paragraph" w:styleId="TOC8">
    <w:name w:val="toc 8"/>
    <w:basedOn w:val="TOC3"/>
    <w:semiHidden/>
    <w:rsid w:val="00B76003"/>
  </w:style>
  <w:style w:type="paragraph" w:styleId="TOC7">
    <w:name w:val="toc 7"/>
    <w:basedOn w:val="TOC3"/>
    <w:semiHidden/>
    <w:rsid w:val="00B76003"/>
  </w:style>
  <w:style w:type="paragraph" w:styleId="TOC6">
    <w:name w:val="toc 6"/>
    <w:basedOn w:val="TOC3"/>
    <w:semiHidden/>
    <w:rsid w:val="00B76003"/>
  </w:style>
  <w:style w:type="paragraph" w:styleId="TOC5">
    <w:name w:val="toc 5"/>
    <w:basedOn w:val="TOC3"/>
    <w:semiHidden/>
    <w:rsid w:val="00B76003"/>
  </w:style>
  <w:style w:type="paragraph" w:styleId="TOC4">
    <w:name w:val="toc 4"/>
    <w:basedOn w:val="TOC3"/>
    <w:semiHidden/>
    <w:rsid w:val="00B76003"/>
  </w:style>
  <w:style w:type="paragraph" w:styleId="TOC3">
    <w:name w:val="toc 3"/>
    <w:basedOn w:val="TOC2"/>
    <w:semiHidden/>
    <w:rsid w:val="00B76003"/>
    <w:pPr>
      <w:spacing w:before="80"/>
    </w:pPr>
  </w:style>
  <w:style w:type="paragraph" w:styleId="TOC2">
    <w:name w:val="toc 2"/>
    <w:basedOn w:val="TOC1"/>
    <w:semiHidden/>
    <w:rsid w:val="00B76003"/>
    <w:pPr>
      <w:spacing w:before="120"/>
    </w:pPr>
  </w:style>
  <w:style w:type="paragraph" w:styleId="TOC1">
    <w:name w:val="toc 1"/>
    <w:basedOn w:val="Normal"/>
    <w:semiHidden/>
    <w:rsid w:val="00B7600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76003"/>
    <w:pPr>
      <w:ind w:left="1698"/>
    </w:pPr>
  </w:style>
  <w:style w:type="paragraph" w:styleId="Index6">
    <w:name w:val="index 6"/>
    <w:basedOn w:val="Normal"/>
    <w:next w:val="Normal"/>
    <w:semiHidden/>
    <w:rsid w:val="00B76003"/>
    <w:pPr>
      <w:ind w:left="1415"/>
    </w:pPr>
  </w:style>
  <w:style w:type="paragraph" w:styleId="Index5">
    <w:name w:val="index 5"/>
    <w:basedOn w:val="Normal"/>
    <w:next w:val="Normal"/>
    <w:semiHidden/>
    <w:rsid w:val="00B76003"/>
    <w:pPr>
      <w:ind w:left="1132"/>
    </w:pPr>
  </w:style>
  <w:style w:type="paragraph" w:styleId="Index4">
    <w:name w:val="index 4"/>
    <w:basedOn w:val="Normal"/>
    <w:next w:val="Normal"/>
    <w:semiHidden/>
    <w:rsid w:val="00B76003"/>
    <w:pPr>
      <w:ind w:left="849"/>
    </w:pPr>
  </w:style>
  <w:style w:type="paragraph" w:styleId="Index3">
    <w:name w:val="index 3"/>
    <w:basedOn w:val="Normal"/>
    <w:next w:val="Normal"/>
    <w:semiHidden/>
    <w:rsid w:val="00B76003"/>
    <w:pPr>
      <w:ind w:left="566"/>
    </w:pPr>
  </w:style>
  <w:style w:type="paragraph" w:styleId="Index2">
    <w:name w:val="index 2"/>
    <w:basedOn w:val="Normal"/>
    <w:next w:val="Normal"/>
    <w:semiHidden/>
    <w:rsid w:val="00B76003"/>
    <w:pPr>
      <w:ind w:left="283"/>
    </w:pPr>
  </w:style>
  <w:style w:type="paragraph" w:styleId="Index1">
    <w:name w:val="index 1"/>
    <w:basedOn w:val="Normal"/>
    <w:next w:val="Normal"/>
    <w:semiHidden/>
    <w:rsid w:val="00B76003"/>
  </w:style>
  <w:style w:type="character" w:styleId="LineNumber">
    <w:name w:val="line number"/>
    <w:basedOn w:val="DefaultParagraphFont"/>
    <w:rsid w:val="00B76003"/>
  </w:style>
  <w:style w:type="paragraph" w:styleId="IndexHeading">
    <w:name w:val="index heading"/>
    <w:basedOn w:val="Normal"/>
    <w:next w:val="Index1"/>
    <w:semiHidden/>
    <w:rsid w:val="00B76003"/>
  </w:style>
  <w:style w:type="paragraph" w:styleId="Footer">
    <w:name w:val="footer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B7600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B76003"/>
    <w:rPr>
      <w:position w:val="6"/>
      <w:sz w:val="16"/>
    </w:rPr>
  </w:style>
  <w:style w:type="paragraph" w:styleId="FootnoteText">
    <w:name w:val="footnote text"/>
    <w:basedOn w:val="Normal"/>
    <w:semiHidden/>
    <w:rsid w:val="00B7600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76003"/>
    <w:pPr>
      <w:ind w:left="794"/>
    </w:pPr>
  </w:style>
  <w:style w:type="paragraph" w:customStyle="1" w:styleId="TableLegend">
    <w:name w:val="Table_Legend"/>
    <w:basedOn w:val="TableText"/>
    <w:rsid w:val="00B76003"/>
    <w:pPr>
      <w:spacing w:before="120"/>
    </w:pPr>
  </w:style>
  <w:style w:type="paragraph" w:customStyle="1" w:styleId="TableText">
    <w:name w:val="Table_Text"/>
    <w:basedOn w:val="Normal"/>
    <w:rsid w:val="00B760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7600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7600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76003"/>
    <w:pPr>
      <w:spacing w:before="80"/>
      <w:ind w:left="794" w:hanging="794"/>
    </w:pPr>
  </w:style>
  <w:style w:type="paragraph" w:customStyle="1" w:styleId="enumlev2">
    <w:name w:val="enumlev2"/>
    <w:basedOn w:val="enumlev1"/>
    <w:rsid w:val="00B76003"/>
    <w:pPr>
      <w:ind w:left="1191" w:hanging="397"/>
    </w:pPr>
  </w:style>
  <w:style w:type="paragraph" w:customStyle="1" w:styleId="enumlev3">
    <w:name w:val="enumlev3"/>
    <w:basedOn w:val="enumlev2"/>
    <w:rsid w:val="00B76003"/>
    <w:pPr>
      <w:ind w:left="1588"/>
    </w:pPr>
  </w:style>
  <w:style w:type="paragraph" w:customStyle="1" w:styleId="TableHead">
    <w:name w:val="Table_Head"/>
    <w:basedOn w:val="TableText"/>
    <w:rsid w:val="00B7600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7600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76003"/>
    <w:pPr>
      <w:spacing w:before="480"/>
    </w:pPr>
  </w:style>
  <w:style w:type="paragraph" w:customStyle="1" w:styleId="FigureTitle">
    <w:name w:val="Figure_Title"/>
    <w:basedOn w:val="TableTitle"/>
    <w:next w:val="Normal"/>
    <w:rsid w:val="00B7600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7600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7600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7600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76003"/>
  </w:style>
  <w:style w:type="paragraph" w:customStyle="1" w:styleId="AppendixRef">
    <w:name w:val="Appendix_Ref"/>
    <w:basedOn w:val="AnnexRef"/>
    <w:next w:val="AppendixTitle"/>
    <w:rsid w:val="00B76003"/>
  </w:style>
  <w:style w:type="paragraph" w:customStyle="1" w:styleId="AppendixTitle">
    <w:name w:val="Appendix_Title"/>
    <w:basedOn w:val="AnnexTitle"/>
    <w:next w:val="Normal"/>
    <w:rsid w:val="00B76003"/>
  </w:style>
  <w:style w:type="paragraph" w:customStyle="1" w:styleId="RefTitle">
    <w:name w:val="Ref_Title"/>
    <w:basedOn w:val="Normal"/>
    <w:next w:val="RefText"/>
    <w:rsid w:val="00B7600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76003"/>
    <w:pPr>
      <w:ind w:left="794" w:hanging="794"/>
    </w:pPr>
  </w:style>
  <w:style w:type="paragraph" w:customStyle="1" w:styleId="Equation">
    <w:name w:val="Equation"/>
    <w:basedOn w:val="Normal"/>
    <w:rsid w:val="00B7600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7600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76003"/>
    <w:pPr>
      <w:spacing w:before="320"/>
    </w:pPr>
  </w:style>
  <w:style w:type="paragraph" w:customStyle="1" w:styleId="call">
    <w:name w:val="call"/>
    <w:basedOn w:val="Normal"/>
    <w:next w:val="Normal"/>
    <w:rsid w:val="00B7600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7600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7600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7600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7600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7600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B7600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7600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B76003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B760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B76003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B760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B7600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B76003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B76003"/>
  </w:style>
  <w:style w:type="paragraph" w:customStyle="1" w:styleId="listitem">
    <w:name w:val="listitem"/>
    <w:basedOn w:val="Normal"/>
    <w:rsid w:val="00B7600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B7600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B7600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76003"/>
    <w:pPr>
      <w:tabs>
        <w:tab w:val="left" w:pos="397"/>
      </w:tabs>
    </w:pPr>
  </w:style>
  <w:style w:type="paragraph" w:customStyle="1" w:styleId="FirstFooter">
    <w:name w:val="FirstFooter"/>
    <w:basedOn w:val="Footer"/>
    <w:rsid w:val="00B7600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76003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F650BB"/>
    <w:rPr>
      <w:rFonts w:ascii="Times New Roman" w:hAnsi="Times New Roman"/>
      <w:b/>
      <w:sz w:val="24"/>
      <w:lang w:val="es-ES_tradnl" w:eastAsia="en-US"/>
    </w:rPr>
  </w:style>
  <w:style w:type="paragraph" w:customStyle="1" w:styleId="Rectitle0">
    <w:name w:val="Rec_title"/>
    <w:basedOn w:val="Normal"/>
    <w:next w:val="Normal"/>
    <w:link w:val="RectitleChar"/>
    <w:rsid w:val="00F650BB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0"/>
    <w:locked/>
    <w:rsid w:val="00F650BB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2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OL%20S%20-%20ITU\PS_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PS_CIRC1</Template>
  <TotalTime>1</TotalTime>
  <Pages>3</Pages>
  <Words>845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5360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bettini</cp:lastModifiedBy>
  <cp:revision>2</cp:revision>
  <cp:lastPrinted>2010-07-20T07:41:00Z</cp:lastPrinted>
  <dcterms:created xsi:type="dcterms:W3CDTF">2010-07-21T13:09:00Z</dcterms:created>
  <dcterms:modified xsi:type="dcterms:W3CDTF">2010-07-21T13:09:00Z</dcterms:modified>
</cp:coreProperties>
</file>