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7D7E41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7D7E41">
              <w:rPr>
                <w:rFonts w:ascii="Verdana" w:hAnsi="Verdana"/>
                <w:b/>
                <w:bCs/>
                <w:color w:val="FFFFFF"/>
                <w:sz w:val="26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55.5pt">
                  <v:imagedata r:id="rId6" o:title="logo_S_"/>
                </v:shape>
              </w:pict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C5788C">
        <w:t>24 de mayo de 2010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94265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942651">
              <w:rPr>
                <w:b/>
              </w:rPr>
              <w:t>111</w:t>
            </w:r>
          </w:p>
          <w:p w:rsidR="00401C20" w:rsidRDefault="00401C20" w:rsidP="004446D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942651">
              <w:t>1</w:t>
            </w:r>
            <w:r w:rsidR="004446DE">
              <w:t>3</w:t>
            </w:r>
            <w:r>
              <w:t>/</w:t>
            </w:r>
            <w:r w:rsidR="00942651">
              <w:t>TK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446DE">
              <w:t xml:space="preserve"> 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7D7E41" w:rsidP="00942651">
            <w:pPr>
              <w:tabs>
                <w:tab w:val="left" w:pos="4111"/>
              </w:tabs>
              <w:spacing w:before="0"/>
              <w:ind w:left="57"/>
            </w:pPr>
            <w:hyperlink r:id="rId7" w:history="1">
              <w:r w:rsidR="00942651" w:rsidRPr="00C157BD">
                <w:rPr>
                  <w:rStyle w:val="Hyperlink"/>
                </w:rPr>
                <w:t>tsbsg13@itu.int</w:t>
              </w:r>
            </w:hyperlink>
            <w:r w:rsidR="00B95F0A">
              <w:t xml:space="preserve"> 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 w:rsidR="008505BD">
              <w:noBreakHyphen/>
            </w:r>
            <w:r>
              <w:t>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94265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942651">
              <w:t>13</w:t>
            </w:r>
            <w:r w:rsidR="00401C20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401C20"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401C20" w:rsidRDefault="00401C20" w:rsidP="004446D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942651">
              <w:rPr>
                <w:b/>
              </w:rPr>
              <w:t>13</w:t>
            </w:r>
            <w:r>
              <w:rPr>
                <w:b/>
              </w:rPr>
              <w:t xml:space="preserve"> para la aprobación de</w:t>
            </w:r>
            <w:r w:rsidR="00335367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="00942651">
              <w:rPr>
                <w:b/>
              </w:rPr>
              <w:t xml:space="preserve">proyecto </w:t>
            </w:r>
            <w:r>
              <w:rPr>
                <w:b/>
              </w:rPr>
              <w:t>de nueva Recomendación</w:t>
            </w:r>
            <w:r w:rsidR="00002529">
              <w:rPr>
                <w:b/>
              </w:rPr>
              <w:t xml:space="preserve"> UIT-T </w:t>
            </w:r>
            <w:r w:rsidR="00942651">
              <w:rPr>
                <w:b/>
              </w:rPr>
              <w:t>Y.2721,</w:t>
            </w:r>
            <w:r w:rsidR="00335367" w:rsidRPr="00335367">
              <w:rPr>
                <w:bCs/>
                <w:i/>
                <w:iCs/>
              </w:rPr>
              <w:t xml:space="preserve"> </w:t>
            </w:r>
            <w:r>
              <w:rPr>
                <w:b/>
              </w:rPr>
              <w:t>de conformidad con las disposiciones de la Resolución 1, Sección 9, de la AMNT (</w:t>
            </w:r>
            <w:r w:rsidR="00B95F0A">
              <w:rPr>
                <w:b/>
              </w:rPr>
              <w:t>Johannesburgo, 2008</w:t>
            </w:r>
            <w:r w:rsidR="003D673B">
              <w:rPr>
                <w:b/>
              </w:rPr>
              <w:t>)</w:t>
            </w:r>
            <w:r w:rsidR="004446DE"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Ginebra, </w:t>
            </w:r>
            <w:r w:rsidR="00942651">
              <w:rPr>
                <w:b/>
              </w:rPr>
              <w:t>16 de septiembre de 2010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Default="00B95F0A">
      <w:r>
        <w:t>Muy Señora mía/Muy S</w:t>
      </w:r>
      <w:r w:rsidR="00401C20">
        <w:t>eñor mío:</w:t>
      </w:r>
    </w:p>
    <w:p w:rsidR="00401C20" w:rsidRDefault="00401C20" w:rsidP="00A00FEC">
      <w:pPr>
        <w:pStyle w:val="Normalaftertitle"/>
      </w:pPr>
      <w:r>
        <w:rPr>
          <w:bCs/>
        </w:rPr>
        <w:t>1</w:t>
      </w:r>
      <w:r>
        <w:tab/>
        <w:t xml:space="preserve">A petición del Presidente de la Comisión de Estudio </w:t>
      </w:r>
      <w:r w:rsidR="00942651">
        <w:t xml:space="preserve">13, </w:t>
      </w:r>
      <w:r w:rsidR="00942651" w:rsidRPr="00942651">
        <w:t>Redes futuras, incluidas las redes móviles y las de la próxima generación (NGN)</w:t>
      </w:r>
      <w:r>
        <w:t xml:space="preserve">, tengo el honor de informarle que esta Comisión de Estudio, que se reunirá </w:t>
      </w:r>
      <w:r w:rsidR="00942651">
        <w:t xml:space="preserve">el 16 de septiembre de 2010, </w:t>
      </w:r>
      <w:r>
        <w:t xml:space="preserve"> se propone aplicar el procedimiento descrito en la Resolución 1, Sección 9, de la AMNT (</w:t>
      </w:r>
      <w:r w:rsidR="00B95F0A">
        <w:t>Johannesburgo, 2008</w:t>
      </w:r>
      <w:r>
        <w:t xml:space="preserve">) para la </w:t>
      </w:r>
      <w:r w:rsidR="00A54E47">
        <w:t xml:space="preserve">aprobación del </w:t>
      </w:r>
      <w:r w:rsidR="00A00FEC">
        <w:t>proyecto de nueva Recomendación</w:t>
      </w:r>
      <w:r>
        <w:t xml:space="preserve"> </w:t>
      </w:r>
      <w:r w:rsidR="00A54E47">
        <w:t>mencionado arriba.</w:t>
      </w:r>
    </w:p>
    <w:p w:rsidR="00401C20" w:rsidRDefault="00401C20" w:rsidP="00942651">
      <w:r>
        <w:rPr>
          <w:bCs/>
        </w:rPr>
        <w:t>2</w:t>
      </w:r>
      <w:r>
        <w:tab/>
        <w:t xml:space="preserve">El </w:t>
      </w:r>
      <w:r>
        <w:rPr>
          <w:b/>
        </w:rPr>
        <w:t>anexo 1</w:t>
      </w:r>
      <w:r>
        <w:t xml:space="preserve"> contiene el</w:t>
      </w:r>
      <w:r w:rsidR="001A54CC">
        <w:t xml:space="preserve"> título</w:t>
      </w:r>
      <w:r w:rsidR="00A54E47">
        <w:t xml:space="preserve"> y el</w:t>
      </w:r>
      <w:r>
        <w:t xml:space="preserve"> resumen del </w:t>
      </w:r>
      <w:r w:rsidR="00942651">
        <w:t xml:space="preserve">proyecto </w:t>
      </w:r>
      <w:r>
        <w:t>de nueva Recomendación UIT-T, con indicación de los documentos en que figuran.</w:t>
      </w:r>
    </w:p>
    <w:p w:rsidR="00401C20" w:rsidRDefault="00401C20" w:rsidP="006D66CC">
      <w:r>
        <w:rPr>
          <w:bCs/>
        </w:rPr>
        <w:t>3</w:t>
      </w:r>
      <w:r>
        <w:tab/>
        <w:t xml:space="preserve">Todo Estado Miembro, Miembro de Sector o Asociado de la UIT consciente de la titularidad de una patente propia o ajena que pueda cubrir total o parcialmente los elementos del </w:t>
      </w:r>
      <w:r w:rsidR="006D66CC">
        <w:t xml:space="preserve">proyecto de nueva Recomendación </w:t>
      </w:r>
      <w:r>
        <w:t xml:space="preserve">propuesto para aprobación debe poner esa información en conocimiento de la TSB, de conformidad con </w:t>
      </w:r>
      <w:r w:rsidR="00B43F77">
        <w:t>la política sobre patentes del UIT-T/UIT-R/ISO/CEI</w:t>
      </w:r>
      <w:r>
        <w:t>.</w:t>
      </w:r>
    </w:p>
    <w:p w:rsidR="00401C20" w:rsidRDefault="00401C20">
      <w:r>
        <w:t>Puede accederse en línea a la información disponible sobre patentes a través del sitio Web del UIT</w:t>
      </w:r>
      <w:r>
        <w:noBreakHyphen/>
        <w:t>T</w:t>
      </w:r>
      <w:r w:rsidR="00B43F77">
        <w:t xml:space="preserve"> (</w:t>
      </w:r>
      <w:hyperlink r:id="rId8" w:history="1">
        <w:r w:rsidR="00B43F77" w:rsidRPr="00F816C5">
          <w:rPr>
            <w:rStyle w:val="Hyperlink"/>
          </w:rPr>
          <w:t>www.itu.int/ITU-T/ipr/</w:t>
        </w:r>
      </w:hyperlink>
      <w:r w:rsidR="00B43F77">
        <w:t>)</w:t>
      </w:r>
      <w:r>
        <w:t>.</w:t>
      </w:r>
    </w:p>
    <w:p w:rsidR="00401C20" w:rsidRDefault="00401C20" w:rsidP="00942651">
      <w:r>
        <w:rPr>
          <w:bCs/>
        </w:rPr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UTC </w:t>
      </w:r>
      <w:r>
        <w:rPr>
          <w:b/>
        </w:rPr>
        <w:t xml:space="preserve">del </w:t>
      </w:r>
      <w:r w:rsidR="00942651">
        <w:rPr>
          <w:b/>
        </w:rPr>
        <w:t xml:space="preserve">6 de septiembre de 2010 </w:t>
      </w:r>
      <w:r>
        <w:t xml:space="preserve">si su Administración otorga a la Comisión de Estudio </w:t>
      </w:r>
      <w:r w:rsidR="00942651">
        <w:t xml:space="preserve">13 </w:t>
      </w:r>
      <w:r>
        <w:t xml:space="preserve">la autoridad necesaria para que durante su reunión puedan considerar la aprobación de este </w:t>
      </w:r>
      <w:r w:rsidR="00942651">
        <w:t>proyecto de nueva Recomendación</w:t>
      </w:r>
      <w:r>
        <w:t>.</w:t>
      </w:r>
    </w:p>
    <w:p w:rsidR="00401C20" w:rsidRDefault="00401C20" w:rsidP="00942651">
      <w:r>
        <w:lastRenderedPageBreak/>
        <w:t xml:space="preserve">Si algunos Estados Miembros opinan que no puede procederse a considerar la aprobación, deben indicar sus razones de desaprobación así como los posibles cambios que facilitarían el nuevo examen y la aprobación del </w:t>
      </w:r>
      <w:r w:rsidR="00942651">
        <w:t>proyecto de nueva Recomendación</w:t>
      </w:r>
      <w:r>
        <w:t>.</w:t>
      </w:r>
    </w:p>
    <w:p w:rsidR="00401C20" w:rsidRDefault="00401C20" w:rsidP="00942651">
      <w:r>
        <w:rPr>
          <w:bCs/>
        </w:rPr>
        <w:t>5</w:t>
      </w:r>
      <w:r>
        <w:tab/>
        <w:t xml:space="preserve">Si el 70% como mínimo de las respuestas de los Estados Miembros están a favor de que se considere la aprobación de este </w:t>
      </w:r>
      <w:r w:rsidR="00942651">
        <w:t xml:space="preserve">proyecto de nueva Recomendación </w:t>
      </w:r>
      <w:r>
        <w:t xml:space="preserve">en la reunión de la Comisión de Estudio, </w:t>
      </w:r>
      <w:r>
        <w:rPr>
          <w:b/>
        </w:rPr>
        <w:t xml:space="preserve">el </w:t>
      </w:r>
      <w:r w:rsidR="00942651">
        <w:rPr>
          <w:b/>
        </w:rPr>
        <w:t xml:space="preserve">16 de septiembre de 2010 </w:t>
      </w:r>
      <w:r>
        <w:t>se dedicará una sesión plenaria a la aplicación del procedimiento de aprobación.</w:t>
      </w:r>
    </w:p>
    <w:p w:rsidR="00401C20" w:rsidRDefault="00401C20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artículo 19, número 239, del Convenio de la UIT.</w:t>
      </w:r>
    </w:p>
    <w:p w:rsidR="00401C20" w:rsidRDefault="00401C20" w:rsidP="00942651">
      <w:r>
        <w:rPr>
          <w:bCs/>
        </w:rPr>
        <w:t>6</w:t>
      </w:r>
      <w:r>
        <w:tab/>
        <w:t>El orden del día</w:t>
      </w:r>
      <w:r w:rsidR="00850C78">
        <w:t xml:space="preserve"> </w:t>
      </w:r>
      <w:r>
        <w:t>y toda la información pertinente sobre la reunión de la Comisión de Estudio</w:t>
      </w:r>
      <w:r w:rsidR="006D66CC">
        <w:t xml:space="preserve"> </w:t>
      </w:r>
      <w:r w:rsidR="00942651">
        <w:t>13</w:t>
      </w:r>
      <w:r w:rsidR="006D66CC">
        <w:t xml:space="preserve"> </w:t>
      </w:r>
      <w:r>
        <w:t xml:space="preserve">figurarán en la Carta colectiva </w:t>
      </w:r>
      <w:r w:rsidR="00942651">
        <w:t>6</w:t>
      </w:r>
      <w:r>
        <w:t>/</w:t>
      </w:r>
      <w:r w:rsidR="00942651">
        <w:t>13.</w:t>
      </w:r>
    </w:p>
    <w:p w:rsidR="00401C20" w:rsidRDefault="00401C20" w:rsidP="00942651">
      <w:r>
        <w:rPr>
          <w:bCs/>
        </w:rPr>
        <w:t>7</w:t>
      </w:r>
      <w:r>
        <w:tab/>
        <w:t>Después de la reunión, el Director de la TSB notificará por circular la decisión tomada sobre esta</w:t>
      </w:r>
      <w:r w:rsidR="00B96180">
        <w:t xml:space="preserve"> Recomendació</w:t>
      </w:r>
      <w:r>
        <w:t>n. Esta información se publicará también en el Boletín de Explotación de la UIT.</w:t>
      </w:r>
    </w:p>
    <w:p w:rsidR="00401C20" w:rsidRDefault="00401C20">
      <w:pPr>
        <w:ind w:right="92"/>
      </w:pPr>
      <w:r>
        <w:t>Le saluda muy atentamente,</w:t>
      </w:r>
    </w:p>
    <w:p w:rsidR="00401C20" w:rsidRDefault="00B422BC">
      <w:pPr>
        <w:spacing w:before="1701"/>
        <w:ind w:right="91"/>
      </w:pPr>
      <w:r w:rsidRPr="00B422BC">
        <w:t>Malcolm Johnson</w:t>
      </w:r>
      <w:r w:rsidR="00401C20">
        <w:br/>
        <w:t>Director de la Oficina de</w:t>
      </w:r>
      <w:r w:rsidR="00401C20">
        <w:br/>
        <w:t>Normalización de las Telecomunicaciones</w:t>
      </w:r>
    </w:p>
    <w:p w:rsidR="00401C20" w:rsidRDefault="00401C20">
      <w:pPr>
        <w:spacing w:before="400"/>
        <w:ind w:right="91"/>
      </w:pPr>
    </w:p>
    <w:p w:rsidR="00401C20" w:rsidRPr="008505BD" w:rsidRDefault="00401C20">
      <w:pPr>
        <w:rPr>
          <w:bCs/>
        </w:rPr>
      </w:pPr>
      <w:r>
        <w:rPr>
          <w:b/>
        </w:rPr>
        <w:t>Anexo:</w:t>
      </w:r>
      <w:r w:rsidR="008505BD">
        <w:rPr>
          <w:b/>
        </w:rPr>
        <w:t xml:space="preserve"> </w:t>
      </w:r>
      <w:r w:rsidR="00942651" w:rsidRPr="00061D44">
        <w:rPr>
          <w:bCs/>
        </w:rPr>
        <w:t>1</w:t>
      </w:r>
    </w:p>
    <w:p w:rsidR="00061D44" w:rsidRDefault="00942651" w:rsidP="00061D44">
      <w:pPr>
        <w:pStyle w:val="Annex"/>
      </w:pPr>
      <w:r>
        <w:br w:type="page"/>
      </w:r>
      <w:r>
        <w:lastRenderedPageBreak/>
        <w:t>ANEX</w:t>
      </w:r>
      <w:r w:rsidR="00A00FEC">
        <w:t>O</w:t>
      </w:r>
      <w:r>
        <w:t xml:space="preserve"> 1</w:t>
      </w:r>
    </w:p>
    <w:p w:rsidR="00942651" w:rsidRDefault="00942651" w:rsidP="00061D44">
      <w:pPr>
        <w:pStyle w:val="AnnexRef"/>
        <w:spacing w:before="0"/>
      </w:pPr>
      <w:r>
        <w:t>(</w:t>
      </w:r>
      <w:r w:rsidR="00A00FEC">
        <w:t>a la Circular</w:t>
      </w:r>
      <w:r>
        <w:t xml:space="preserve"> TSB 111)</w:t>
      </w:r>
    </w:p>
    <w:p w:rsidR="00942651" w:rsidRPr="00894DBA" w:rsidRDefault="00A00FEC" w:rsidP="00942651">
      <w:pPr>
        <w:spacing w:before="240"/>
        <w:jc w:val="center"/>
        <w:rPr>
          <w:szCs w:val="24"/>
        </w:rPr>
      </w:pPr>
      <w:r>
        <w:rPr>
          <w:b/>
          <w:bCs/>
          <w:sz w:val="28"/>
          <w:szCs w:val="28"/>
        </w:rPr>
        <w:t>Resumen y ubicación del texto</w:t>
      </w:r>
    </w:p>
    <w:p w:rsidR="00942651" w:rsidRPr="00061D44" w:rsidRDefault="00A00FEC" w:rsidP="00942651">
      <w:pPr>
        <w:spacing w:before="720"/>
        <w:rPr>
          <w:b/>
          <w:bCs/>
          <w:sz w:val="28"/>
          <w:szCs w:val="28"/>
        </w:rPr>
      </w:pPr>
      <w:r w:rsidRPr="00A00FEC">
        <w:rPr>
          <w:b/>
          <w:bCs/>
          <w:sz w:val="28"/>
          <w:szCs w:val="28"/>
          <w:lang w:val="es-ES"/>
        </w:rPr>
        <w:t xml:space="preserve">Proyecto de nueva Recomendación UIT-T </w:t>
      </w:r>
      <w:r w:rsidR="00942651" w:rsidRPr="00A00FEC">
        <w:rPr>
          <w:b/>
          <w:bCs/>
          <w:sz w:val="28"/>
          <w:szCs w:val="28"/>
          <w:lang w:val="es-ES"/>
        </w:rPr>
        <w:t>Y.2721</w:t>
      </w:r>
      <w:r w:rsidR="00942651" w:rsidRPr="00A00FEC">
        <w:rPr>
          <w:b/>
          <w:bCs/>
          <w:sz w:val="28"/>
          <w:szCs w:val="28"/>
          <w:lang w:val="es-ES"/>
        </w:rPr>
        <w:br/>
      </w:r>
      <w:r w:rsidR="00942651" w:rsidRPr="00061D44">
        <w:rPr>
          <w:b/>
          <w:bCs/>
          <w:sz w:val="28"/>
          <w:szCs w:val="28"/>
        </w:rPr>
        <w:t>(COM 13-R 20)</w:t>
      </w:r>
    </w:p>
    <w:p w:rsidR="00942651" w:rsidRPr="00061D44" w:rsidRDefault="00A00FEC" w:rsidP="004446DE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Requisitos y casos de aplicación de los requisitos</w:t>
      </w:r>
      <w:r w:rsidR="004446DE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de gestión de identidad para las NGN </w:t>
      </w:r>
    </w:p>
    <w:p w:rsidR="00942651" w:rsidRPr="00061D44" w:rsidRDefault="00942651" w:rsidP="00942651">
      <w:pPr>
        <w:rPr>
          <w:b/>
          <w:bCs/>
          <w:lang w:eastAsia="ko-KR"/>
        </w:rPr>
      </w:pPr>
    </w:p>
    <w:p w:rsidR="00942651" w:rsidRPr="00A00FEC" w:rsidRDefault="00A00FEC" w:rsidP="00942651">
      <w:pPr>
        <w:rPr>
          <w:b/>
          <w:lang w:val="es-ES"/>
        </w:rPr>
      </w:pPr>
      <w:r w:rsidRPr="00A00FEC">
        <w:rPr>
          <w:b/>
          <w:lang w:val="es-ES"/>
        </w:rPr>
        <w:t>Resumen</w:t>
      </w:r>
    </w:p>
    <w:p w:rsidR="00942651" w:rsidRPr="00A00FEC" w:rsidRDefault="00A00FEC" w:rsidP="00A00FEC">
      <w:pPr>
        <w:rPr>
          <w:lang w:val="es-ES"/>
        </w:rPr>
      </w:pPr>
      <w:r>
        <w:rPr>
          <w:lang w:val="es-ES"/>
        </w:rPr>
        <w:t>En esta Recomendación se proporcionan ejemplos de aplicación y los requisitos de gestión de la identidad para las redes de la próxima generación (NGN) y sus interfaces. Las funciones y capacidades de gestión de la identidad se utilizan para asegurar la información acerca de la identidad; asegurar la información acerca de la identidad o identidades de una entidad (por ejemplo usuario, suscriptor, grupo, organización, federación, empresa, aparato, componente de red, sistema y objeto</w:t>
      </w:r>
      <w:r w:rsidR="00EF7E03">
        <w:rPr>
          <w:lang w:val="es-ES"/>
        </w:rPr>
        <w:t>);</w:t>
      </w:r>
      <w:r>
        <w:rPr>
          <w:lang w:val="es-ES"/>
        </w:rPr>
        <w:t xml:space="preserve"> y sirve de soporte y mejora para las aplicaciones empresariales y de seguridad, incluidos los servicios basa</w:t>
      </w:r>
      <w:r w:rsidR="00061D44">
        <w:rPr>
          <w:lang w:val="es-ES"/>
        </w:rPr>
        <w:t>dos en la identidad.</w:t>
      </w:r>
    </w:p>
    <w:p w:rsidR="00942651" w:rsidRPr="00A00FEC" w:rsidRDefault="00A00FEC" w:rsidP="00137B2D">
      <w:pPr>
        <w:rPr>
          <w:lang w:val="es-ES"/>
        </w:rPr>
      </w:pPr>
      <w:r>
        <w:rPr>
          <w:lang w:val="es-ES"/>
        </w:rPr>
        <w:t xml:space="preserve">Los requisitos que se prevén en esta Recomendación están destinados a las NGN (esto es, las redes de paquetes gestionados) </w:t>
      </w:r>
      <w:r w:rsidR="00137B2D">
        <w:rPr>
          <w:lang w:val="es-ES"/>
        </w:rPr>
        <w:t xml:space="preserve">según se definen en la Recomendación UIT-T Y.2011 [UIT-T Y.2001]. Sin embargo, podrían aplicarse en su caso a otros tipos de redes (por ejemplo las redes corporativas o de empresa). </w:t>
      </w:r>
    </w:p>
    <w:p w:rsidR="00942651" w:rsidRPr="00A00FEC" w:rsidRDefault="00137B2D" w:rsidP="00137B2D">
      <w:pPr>
        <w:rPr>
          <w:lang w:val="es-ES"/>
        </w:rPr>
      </w:pPr>
      <w:r>
        <w:rPr>
          <w:lang w:val="es-ES"/>
        </w:rPr>
        <w:t>Los objetivos y requisitos que figuran en esta Recomendación se basan en el marco de gestión de la identidad descrito en la Recomendación UIT-T Y.</w:t>
      </w:r>
      <w:r w:rsidRPr="00137B2D">
        <w:rPr>
          <w:lang w:val="es-ES"/>
        </w:rPr>
        <w:t xml:space="preserve"> </w:t>
      </w:r>
      <w:r w:rsidRPr="00A00FEC">
        <w:rPr>
          <w:lang w:val="es-ES"/>
        </w:rPr>
        <w:t xml:space="preserve">2720 </w:t>
      </w:r>
      <w:r>
        <w:rPr>
          <w:lang w:val="es-ES"/>
        </w:rPr>
        <w:t>[UIT-T Y.</w:t>
      </w:r>
      <w:r w:rsidRPr="00137B2D">
        <w:rPr>
          <w:lang w:val="es-ES"/>
        </w:rPr>
        <w:t xml:space="preserve"> </w:t>
      </w:r>
      <w:r w:rsidRPr="00A00FEC">
        <w:rPr>
          <w:lang w:val="es-ES"/>
        </w:rPr>
        <w:t>2720</w:t>
      </w:r>
      <w:r>
        <w:rPr>
          <w:lang w:val="es-ES"/>
        </w:rPr>
        <w:t>] así como en el análisis de ejemplos pertinentes para las NGN. Los ejemplos tienen carácter informativo y se documentan en los Apéndices de esta Recomendación.</w:t>
      </w:r>
    </w:p>
    <w:p w:rsidR="00942651" w:rsidRPr="00A00FEC" w:rsidRDefault="00942651" w:rsidP="00942651">
      <w:pPr>
        <w:rPr>
          <w:lang w:val="es-ES"/>
        </w:rPr>
      </w:pPr>
    </w:p>
    <w:p w:rsidR="00061D44" w:rsidRDefault="00061D44">
      <w:pPr>
        <w:jc w:val="center"/>
      </w:pPr>
      <w:r>
        <w:t>______________</w:t>
      </w:r>
    </w:p>
    <w:sectPr w:rsidR="00061D44" w:rsidSect="006B685E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44" w:rsidRDefault="00061D44">
      <w:r>
        <w:separator/>
      </w:r>
    </w:p>
  </w:endnote>
  <w:endnote w:type="continuationSeparator" w:id="0">
    <w:p w:rsidR="00061D44" w:rsidRDefault="000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44" w:rsidRPr="00963932" w:rsidRDefault="00963932" w:rsidP="00963932">
    <w:pPr>
      <w:pStyle w:val="Footer"/>
    </w:pPr>
    <w:r w:rsidRPr="0077775F">
      <w:rPr>
        <w:sz w:val="16"/>
        <w:lang w:val="fr-CH"/>
      </w:rPr>
      <w:t>ITU-T\BUREAU\CIRC\</w:t>
    </w:r>
    <w:r>
      <w:rPr>
        <w:sz w:val="16"/>
        <w:lang w:val="fr-CH"/>
      </w:rPr>
      <w:t>111S</w:t>
    </w:r>
    <w:r w:rsidRPr="0077775F">
      <w:rPr>
        <w:sz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061D4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61D44" w:rsidRDefault="00061D4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61D44" w:rsidRDefault="00061D4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61D44" w:rsidRDefault="00061D4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61D44" w:rsidRDefault="00061D4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061D44">
      <w:tc>
        <w:tcPr>
          <w:tcW w:w="1985" w:type="dxa"/>
        </w:tcPr>
        <w:p w:rsidR="00061D44" w:rsidRDefault="00061D4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061D44" w:rsidRDefault="00061D4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061D44" w:rsidRDefault="00061D4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061D44" w:rsidRDefault="00061D4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061D44">
      <w:tc>
        <w:tcPr>
          <w:tcW w:w="1985" w:type="dxa"/>
        </w:tcPr>
        <w:p w:rsidR="00061D44" w:rsidRDefault="00061D4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061D44" w:rsidRDefault="00061D4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061D44" w:rsidRDefault="00061D4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061D44" w:rsidRDefault="00061D44">
          <w:pPr>
            <w:pStyle w:val="FirstFooter"/>
            <w:rPr>
              <w:rFonts w:ascii="Futura Lt BT" w:hAnsi="Futura Lt BT"/>
            </w:rPr>
          </w:pPr>
        </w:p>
      </w:tc>
    </w:tr>
  </w:tbl>
  <w:p w:rsidR="00061D44" w:rsidRDefault="00061D44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44" w:rsidRDefault="00061D44">
      <w:r>
        <w:t>____________________</w:t>
      </w:r>
    </w:p>
  </w:footnote>
  <w:footnote w:type="continuationSeparator" w:id="0">
    <w:p w:rsidR="00061D44" w:rsidRDefault="00061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44" w:rsidRDefault="00061D44">
    <w:pPr>
      <w:pStyle w:val="Header"/>
    </w:pPr>
    <w:r>
      <w:t xml:space="preserve">- </w:t>
    </w:r>
    <w:r w:rsidR="007D7E4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7E41">
      <w:rPr>
        <w:rStyle w:val="PageNumber"/>
      </w:rPr>
      <w:fldChar w:fldCharType="separate"/>
    </w:r>
    <w:r w:rsidR="000A410B">
      <w:rPr>
        <w:rStyle w:val="PageNumber"/>
        <w:noProof/>
      </w:rPr>
      <w:t>3</w:t>
    </w:r>
    <w:r w:rsidR="007D7E4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73B"/>
    <w:rsid w:val="00002529"/>
    <w:rsid w:val="00061D44"/>
    <w:rsid w:val="000A410B"/>
    <w:rsid w:val="000C382F"/>
    <w:rsid w:val="00137B2D"/>
    <w:rsid w:val="001A54CC"/>
    <w:rsid w:val="0024769F"/>
    <w:rsid w:val="00257FB4"/>
    <w:rsid w:val="003062CA"/>
    <w:rsid w:val="00335367"/>
    <w:rsid w:val="003D1E8D"/>
    <w:rsid w:val="003D673B"/>
    <w:rsid w:val="00401C20"/>
    <w:rsid w:val="004446DE"/>
    <w:rsid w:val="00486D9E"/>
    <w:rsid w:val="004C4144"/>
    <w:rsid w:val="005C1E29"/>
    <w:rsid w:val="006B685E"/>
    <w:rsid w:val="006D66CC"/>
    <w:rsid w:val="007D7E41"/>
    <w:rsid w:val="008258C2"/>
    <w:rsid w:val="008505BD"/>
    <w:rsid w:val="00850C78"/>
    <w:rsid w:val="008C17AD"/>
    <w:rsid w:val="008D02CD"/>
    <w:rsid w:val="00942651"/>
    <w:rsid w:val="0095172A"/>
    <w:rsid w:val="00963932"/>
    <w:rsid w:val="00A00FEC"/>
    <w:rsid w:val="00A5064F"/>
    <w:rsid w:val="00A54E47"/>
    <w:rsid w:val="00A55627"/>
    <w:rsid w:val="00AE7093"/>
    <w:rsid w:val="00B077D8"/>
    <w:rsid w:val="00B422BC"/>
    <w:rsid w:val="00B43F77"/>
    <w:rsid w:val="00B95F0A"/>
    <w:rsid w:val="00B96180"/>
    <w:rsid w:val="00C5788C"/>
    <w:rsid w:val="00DA7FE0"/>
    <w:rsid w:val="00DD77C9"/>
    <w:rsid w:val="00E92C09"/>
    <w:rsid w:val="00EF7E03"/>
    <w:rsid w:val="00F6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B685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B685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B685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B685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B685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B685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B685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B685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B685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B685E"/>
    <w:rPr>
      <w:vertAlign w:val="superscript"/>
    </w:rPr>
  </w:style>
  <w:style w:type="paragraph" w:styleId="TOC8">
    <w:name w:val="toc 8"/>
    <w:basedOn w:val="TOC3"/>
    <w:semiHidden/>
    <w:rsid w:val="006B685E"/>
  </w:style>
  <w:style w:type="paragraph" w:styleId="TOC7">
    <w:name w:val="toc 7"/>
    <w:basedOn w:val="TOC3"/>
    <w:semiHidden/>
    <w:rsid w:val="006B685E"/>
  </w:style>
  <w:style w:type="paragraph" w:styleId="TOC6">
    <w:name w:val="toc 6"/>
    <w:basedOn w:val="TOC3"/>
    <w:semiHidden/>
    <w:rsid w:val="006B685E"/>
  </w:style>
  <w:style w:type="paragraph" w:styleId="TOC5">
    <w:name w:val="toc 5"/>
    <w:basedOn w:val="TOC3"/>
    <w:semiHidden/>
    <w:rsid w:val="006B685E"/>
  </w:style>
  <w:style w:type="paragraph" w:styleId="TOC4">
    <w:name w:val="toc 4"/>
    <w:basedOn w:val="TOC3"/>
    <w:semiHidden/>
    <w:rsid w:val="006B685E"/>
  </w:style>
  <w:style w:type="paragraph" w:styleId="TOC3">
    <w:name w:val="toc 3"/>
    <w:basedOn w:val="TOC2"/>
    <w:semiHidden/>
    <w:rsid w:val="006B685E"/>
    <w:pPr>
      <w:spacing w:before="80"/>
    </w:pPr>
  </w:style>
  <w:style w:type="paragraph" w:styleId="TOC2">
    <w:name w:val="toc 2"/>
    <w:basedOn w:val="TOC1"/>
    <w:semiHidden/>
    <w:rsid w:val="006B685E"/>
    <w:pPr>
      <w:spacing w:before="120"/>
    </w:pPr>
  </w:style>
  <w:style w:type="paragraph" w:styleId="TOC1">
    <w:name w:val="toc 1"/>
    <w:basedOn w:val="Normal"/>
    <w:semiHidden/>
    <w:rsid w:val="006B685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B685E"/>
    <w:pPr>
      <w:ind w:left="1698"/>
    </w:pPr>
  </w:style>
  <w:style w:type="paragraph" w:styleId="Index6">
    <w:name w:val="index 6"/>
    <w:basedOn w:val="Normal"/>
    <w:next w:val="Normal"/>
    <w:semiHidden/>
    <w:rsid w:val="006B685E"/>
    <w:pPr>
      <w:ind w:left="1415"/>
    </w:pPr>
  </w:style>
  <w:style w:type="paragraph" w:styleId="Index5">
    <w:name w:val="index 5"/>
    <w:basedOn w:val="Normal"/>
    <w:next w:val="Normal"/>
    <w:semiHidden/>
    <w:rsid w:val="006B685E"/>
    <w:pPr>
      <w:ind w:left="1132"/>
    </w:pPr>
  </w:style>
  <w:style w:type="paragraph" w:styleId="Index4">
    <w:name w:val="index 4"/>
    <w:basedOn w:val="Normal"/>
    <w:next w:val="Normal"/>
    <w:semiHidden/>
    <w:rsid w:val="006B685E"/>
    <w:pPr>
      <w:ind w:left="849"/>
    </w:pPr>
  </w:style>
  <w:style w:type="paragraph" w:styleId="Index3">
    <w:name w:val="index 3"/>
    <w:basedOn w:val="Normal"/>
    <w:next w:val="Normal"/>
    <w:semiHidden/>
    <w:rsid w:val="006B685E"/>
    <w:pPr>
      <w:ind w:left="566"/>
    </w:pPr>
  </w:style>
  <w:style w:type="paragraph" w:styleId="Index2">
    <w:name w:val="index 2"/>
    <w:basedOn w:val="Normal"/>
    <w:next w:val="Normal"/>
    <w:semiHidden/>
    <w:rsid w:val="006B685E"/>
    <w:pPr>
      <w:ind w:left="283"/>
    </w:pPr>
  </w:style>
  <w:style w:type="paragraph" w:styleId="Index1">
    <w:name w:val="index 1"/>
    <w:basedOn w:val="Normal"/>
    <w:next w:val="Normal"/>
    <w:semiHidden/>
    <w:rsid w:val="006B685E"/>
  </w:style>
  <w:style w:type="character" w:styleId="LineNumber">
    <w:name w:val="line number"/>
    <w:basedOn w:val="DefaultParagraphFont"/>
    <w:rsid w:val="006B685E"/>
  </w:style>
  <w:style w:type="paragraph" w:styleId="IndexHeading">
    <w:name w:val="index heading"/>
    <w:basedOn w:val="Normal"/>
    <w:next w:val="Index1"/>
    <w:semiHidden/>
    <w:rsid w:val="006B685E"/>
  </w:style>
  <w:style w:type="paragraph" w:styleId="Footer">
    <w:name w:val="footer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B68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B685E"/>
    <w:rPr>
      <w:position w:val="6"/>
      <w:sz w:val="16"/>
    </w:rPr>
  </w:style>
  <w:style w:type="paragraph" w:styleId="FootnoteText">
    <w:name w:val="footnote text"/>
    <w:basedOn w:val="Normal"/>
    <w:semiHidden/>
    <w:rsid w:val="006B68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B685E"/>
    <w:pPr>
      <w:ind w:left="794"/>
    </w:pPr>
  </w:style>
  <w:style w:type="paragraph" w:customStyle="1" w:styleId="TableLegend">
    <w:name w:val="Table_Legend"/>
    <w:basedOn w:val="TableText"/>
    <w:rsid w:val="006B685E"/>
    <w:pPr>
      <w:spacing w:before="120"/>
    </w:pPr>
  </w:style>
  <w:style w:type="paragraph" w:customStyle="1" w:styleId="TableText">
    <w:name w:val="Table_Text"/>
    <w:basedOn w:val="Normal"/>
    <w:rsid w:val="006B68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B685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B685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B685E"/>
    <w:pPr>
      <w:spacing w:before="80"/>
      <w:ind w:left="794" w:hanging="794"/>
    </w:pPr>
  </w:style>
  <w:style w:type="paragraph" w:customStyle="1" w:styleId="enumlev2">
    <w:name w:val="enumlev2"/>
    <w:basedOn w:val="enumlev1"/>
    <w:rsid w:val="006B685E"/>
    <w:pPr>
      <w:ind w:left="1191" w:hanging="397"/>
    </w:pPr>
  </w:style>
  <w:style w:type="paragraph" w:customStyle="1" w:styleId="enumlev3">
    <w:name w:val="enumlev3"/>
    <w:basedOn w:val="enumlev2"/>
    <w:rsid w:val="006B685E"/>
    <w:pPr>
      <w:ind w:left="1588"/>
    </w:pPr>
  </w:style>
  <w:style w:type="paragraph" w:customStyle="1" w:styleId="TableHead">
    <w:name w:val="Table_Head"/>
    <w:basedOn w:val="TableText"/>
    <w:rsid w:val="006B685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B68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B685E"/>
    <w:pPr>
      <w:spacing w:before="480"/>
    </w:pPr>
  </w:style>
  <w:style w:type="paragraph" w:customStyle="1" w:styleId="FigureTitle">
    <w:name w:val="Figure_Title"/>
    <w:basedOn w:val="TableTitle"/>
    <w:next w:val="Normal"/>
    <w:rsid w:val="006B685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B685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B685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B685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B685E"/>
  </w:style>
  <w:style w:type="paragraph" w:customStyle="1" w:styleId="AppendixRef">
    <w:name w:val="Appendix_Ref"/>
    <w:basedOn w:val="AnnexRef"/>
    <w:next w:val="AppendixTitle"/>
    <w:rsid w:val="006B685E"/>
  </w:style>
  <w:style w:type="paragraph" w:customStyle="1" w:styleId="AppendixTitle">
    <w:name w:val="Appendix_Title"/>
    <w:basedOn w:val="AnnexTitle"/>
    <w:next w:val="Normal"/>
    <w:rsid w:val="006B685E"/>
  </w:style>
  <w:style w:type="paragraph" w:customStyle="1" w:styleId="RefTitle">
    <w:name w:val="Ref_Title"/>
    <w:basedOn w:val="Normal"/>
    <w:next w:val="RefText"/>
    <w:rsid w:val="006B685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B685E"/>
    <w:pPr>
      <w:ind w:left="794" w:hanging="794"/>
    </w:pPr>
  </w:style>
  <w:style w:type="paragraph" w:customStyle="1" w:styleId="Equation">
    <w:name w:val="Equation"/>
    <w:basedOn w:val="Normal"/>
    <w:rsid w:val="006B685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B685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B685E"/>
    <w:pPr>
      <w:spacing w:before="320"/>
    </w:pPr>
  </w:style>
  <w:style w:type="paragraph" w:customStyle="1" w:styleId="call">
    <w:name w:val="call"/>
    <w:basedOn w:val="Normal"/>
    <w:next w:val="Normal"/>
    <w:rsid w:val="006B685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B685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B685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B685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B685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B685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6B685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B685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6B685E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6B685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6B685E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6B685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6B685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6B685E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6B685E"/>
  </w:style>
  <w:style w:type="paragraph" w:customStyle="1" w:styleId="listitem">
    <w:name w:val="listitem"/>
    <w:basedOn w:val="Normal"/>
    <w:rsid w:val="006B685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6B685E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6B685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B685E"/>
    <w:pPr>
      <w:tabs>
        <w:tab w:val="left" w:pos="397"/>
      </w:tabs>
    </w:pPr>
  </w:style>
  <w:style w:type="paragraph" w:customStyle="1" w:styleId="FirstFooter">
    <w:name w:val="FirstFooter"/>
    <w:basedOn w:val="Footer"/>
    <w:rsid w:val="006B685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B685E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C1E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E2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5268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bettini</cp:lastModifiedBy>
  <cp:revision>2</cp:revision>
  <cp:lastPrinted>2010-06-03T14:09:00Z</cp:lastPrinted>
  <dcterms:created xsi:type="dcterms:W3CDTF">2010-06-04T09:16:00Z</dcterms:created>
  <dcterms:modified xsi:type="dcterms:W3CDTF">2010-06-04T09:16:00Z</dcterms:modified>
</cp:coreProperties>
</file>