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BE6AE1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 w:rsidP="0044060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440609">
        <w:t>2</w:t>
      </w:r>
      <w:r w:rsidR="006C73A3">
        <w:t xml:space="preserve"> de junio de 2010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44060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BE6AE1">
              <w:rPr>
                <w:b/>
              </w:rPr>
              <w:t>10</w:t>
            </w:r>
            <w:r w:rsidR="00440609">
              <w:rPr>
                <w:b/>
              </w:rPr>
              <w:t>9</w:t>
            </w:r>
          </w:p>
          <w:p w:rsidR="00401C20" w:rsidRDefault="00401C20" w:rsidP="0015597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BE6AE1">
              <w:t>1</w:t>
            </w:r>
            <w:r w:rsidR="00155970">
              <w:t>3</w:t>
            </w:r>
            <w:r>
              <w:t>/</w:t>
            </w:r>
            <w:r w:rsidR="00440609">
              <w:t>TK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40609" w:rsidP="00440609">
            <w:pPr>
              <w:tabs>
                <w:tab w:val="left" w:pos="4111"/>
              </w:tabs>
              <w:spacing w:before="0"/>
              <w:ind w:left="57"/>
            </w:pPr>
            <w:r>
              <w:t>+41 22 730 5126</w:t>
            </w:r>
            <w:r w:rsidR="006C73A3">
              <w:br/>
              <w:t>+41 22 730 5853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401C20"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C4101C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440609" w:rsidRPr="00096205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401C20" w:rsidP="008505B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 w:rsidR="008505BD">
              <w:noBreakHyphen/>
            </w:r>
            <w:r>
              <w:t>T;</w:t>
            </w:r>
          </w:p>
          <w:p w:rsidR="00401C20" w:rsidRDefault="00401C2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401C20" w:rsidRDefault="00B95F0A" w:rsidP="00440609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BE6AE1">
              <w:t>1</w:t>
            </w:r>
            <w:r w:rsidR="00440609">
              <w:t>3</w:t>
            </w:r>
            <w:r w:rsidR="00401C20">
              <w:t>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401C20"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401C20" w:rsidRDefault="00440609" w:rsidP="00DD74D8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924D0">
              <w:rPr>
                <w:b/>
              </w:rPr>
              <w:t>Aprobación de la fusión de las Cuestiones 8/13 y 11/13 existentes en la nueva Cuesti</w:t>
            </w:r>
            <w:r>
              <w:rPr>
                <w:b/>
              </w:rPr>
              <w:t>ón</w:t>
            </w:r>
            <w:r w:rsidRPr="006924D0">
              <w:rPr>
                <w:b/>
              </w:rPr>
              <w:t xml:space="preserve"> 22/13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401C20" w:rsidRDefault="00B95F0A">
      <w:r>
        <w:t>Muy Señora mía/Muy S</w:t>
      </w:r>
      <w:r w:rsidR="00401C20">
        <w:t>eñor mío:</w:t>
      </w:r>
    </w:p>
    <w:p w:rsidR="00440609" w:rsidRPr="003F0A49" w:rsidRDefault="00440609" w:rsidP="00440609">
      <w:r w:rsidRPr="003F0A49">
        <w:t>1</w:t>
      </w:r>
      <w:r w:rsidRPr="003F0A49">
        <w:tab/>
        <w:t xml:space="preserve">A petición del Presidente de la Comisión de Estudio 13, Redes futuras, incluidas las redes móviles y las de la próxima generación (NGN), tengo el honor de informarle de que, de conformidad con el procedimiento del § 7.2.2 de la Sección 7 de la Resolución 1 de la AMNT (Johannesburgo, 2008), los Estados Miembros y los Miembros de Sector presentes en </w:t>
      </w:r>
      <w:r>
        <w:t>la última reunión de dicha Comisión de Estudio, celebrada en Ginebra del 19 al 30 de abril de 2010, acordaron por consenso aprobar</w:t>
      </w:r>
      <w:r w:rsidRPr="003F0A49">
        <w:t>:</w:t>
      </w:r>
    </w:p>
    <w:p w:rsidR="00440609" w:rsidRPr="003F0A49" w:rsidRDefault="00440609" w:rsidP="00DD25C1">
      <w:r w:rsidRPr="003F0A49">
        <w:lastRenderedPageBreak/>
        <w:t>1.1</w:t>
      </w:r>
      <w:r w:rsidRPr="003F0A49">
        <w:tab/>
      </w:r>
      <w:r w:rsidR="00DD25C1">
        <w:t>l</w:t>
      </w:r>
      <w:r w:rsidRPr="003F0A49">
        <w:t xml:space="preserve">a fusión de las Cuestiones 8/13 </w:t>
      </w:r>
      <w:r w:rsidR="00DD25C1">
        <w:t>"</w:t>
      </w:r>
      <w:r w:rsidRPr="003F0A49">
        <w:t>Gestión de la movilidad</w:t>
      </w:r>
      <w:r w:rsidR="00DD25C1">
        <w:t>"</w:t>
      </w:r>
      <w:r w:rsidRPr="003F0A49">
        <w:t xml:space="preserve"> </w:t>
      </w:r>
      <w:r>
        <w:t>y</w:t>
      </w:r>
      <w:r w:rsidRPr="003F0A49">
        <w:t xml:space="preserve"> 11/13 </w:t>
      </w:r>
      <w:r w:rsidR="00DD25C1">
        <w:t>"</w:t>
      </w:r>
      <w:r w:rsidRPr="003F0A49">
        <w:rPr>
          <w:bCs/>
          <w:color w:val="000000"/>
        </w:rPr>
        <w:t>Convergencia de las IMT existentes y en evolución y las redes fijas</w:t>
      </w:r>
      <w:r w:rsidR="00DD25C1">
        <w:rPr>
          <w:bCs/>
          <w:color w:val="000000"/>
        </w:rPr>
        <w:t>"</w:t>
      </w:r>
      <w:r>
        <w:rPr>
          <w:bCs/>
          <w:color w:val="000000"/>
        </w:rPr>
        <w:t xml:space="preserve"> en la Cuestión</w:t>
      </w:r>
      <w:r w:rsidRPr="003F0A49">
        <w:t xml:space="preserve"> 22/13</w:t>
      </w:r>
      <w:r w:rsidR="00DD25C1">
        <w:t>.</w:t>
      </w:r>
    </w:p>
    <w:p w:rsidR="00440609" w:rsidRPr="003F0A49" w:rsidRDefault="00440609" w:rsidP="00440609">
      <w:r w:rsidRPr="003F0A49">
        <w:t>Título de la Cuestión 22/13:</w:t>
      </w:r>
      <w:r w:rsidR="00D91D62">
        <w:t xml:space="preserve"> </w:t>
      </w:r>
      <w:r w:rsidRPr="003F0A49">
        <w:t>"Gestión de la movilidad y convergencia fijo-m</w:t>
      </w:r>
      <w:r>
        <w:t>óvil</w:t>
      </w:r>
      <w:r w:rsidR="00DD25C1">
        <w:t>".</w:t>
      </w:r>
    </w:p>
    <w:p w:rsidR="00440609" w:rsidRPr="003F0A49" w:rsidRDefault="00440609" w:rsidP="00EF52DF">
      <w:r w:rsidRPr="003F0A49">
        <w:t xml:space="preserve">El texto de la Cuestión 22/13 puede encontrarse en el </w:t>
      </w:r>
      <w:r w:rsidR="00EF52DF">
        <w:rPr>
          <w:b/>
          <w:bCs/>
        </w:rPr>
        <w:t>a</w:t>
      </w:r>
      <w:r w:rsidRPr="003F0A49">
        <w:rPr>
          <w:b/>
          <w:bCs/>
        </w:rPr>
        <w:t>nex</w:t>
      </w:r>
      <w:r>
        <w:rPr>
          <w:b/>
          <w:bCs/>
        </w:rPr>
        <w:t>o</w:t>
      </w:r>
      <w:r w:rsidRPr="003F0A49">
        <w:rPr>
          <w:b/>
          <w:bCs/>
        </w:rPr>
        <w:t xml:space="preserve"> 1</w:t>
      </w:r>
      <w:r w:rsidRPr="003F0A49">
        <w:t xml:space="preserve"> </w:t>
      </w:r>
      <w:r>
        <w:t xml:space="preserve">a la presente. </w:t>
      </w:r>
      <w:r w:rsidRPr="003F0A49">
        <w:t xml:space="preserve">En la </w:t>
      </w:r>
      <w:r w:rsidRPr="003F0A49">
        <w:rPr>
          <w:b/>
          <w:bCs/>
        </w:rPr>
        <w:t>Nota</w:t>
      </w:r>
      <w:r w:rsidRPr="003F0A49">
        <w:t xml:space="preserve"> al Anexo 1 se exponen las razones que motivan la modificaci</w:t>
      </w:r>
      <w:r>
        <w:t>ón</w:t>
      </w:r>
      <w:r w:rsidRPr="003F0A49">
        <w:t>.</w:t>
      </w:r>
    </w:p>
    <w:p w:rsidR="00440609" w:rsidRPr="003F0A49" w:rsidRDefault="00440609" w:rsidP="00440609">
      <w:pPr>
        <w:spacing w:before="240"/>
        <w:rPr>
          <w:bCs/>
        </w:rPr>
      </w:pPr>
      <w:r w:rsidRPr="003F0A49">
        <w:rPr>
          <w:bCs/>
        </w:rPr>
        <w:t>2</w:t>
      </w:r>
      <w:r w:rsidRPr="003F0A49">
        <w:rPr>
          <w:bCs/>
        </w:rPr>
        <w:tab/>
      </w:r>
      <w:r w:rsidRPr="003F0A49">
        <w:rPr>
          <w:b/>
        </w:rPr>
        <w:t>Por consiguiente, queda aprobada la nueva Cuestión 22/13</w:t>
      </w:r>
      <w:r w:rsidRPr="003F0A49">
        <w:rPr>
          <w:bCs/>
        </w:rPr>
        <w:t>.</w:t>
      </w:r>
    </w:p>
    <w:p w:rsidR="00440609" w:rsidRPr="003F0A49" w:rsidRDefault="00440609" w:rsidP="00440609">
      <w:r w:rsidRPr="003F0A49">
        <w:br w:type="page"/>
      </w:r>
      <w:r w:rsidRPr="003F0A49">
        <w:lastRenderedPageBreak/>
        <w:t>3</w:t>
      </w:r>
      <w:r w:rsidRPr="003F0A49">
        <w:tab/>
        <w:t>Se sobreentiende que las Recomendaciones resultantes se tramitarán de acuerdo con el proceso de aprobaci</w:t>
      </w:r>
      <w:r>
        <w:t>ón alternativo</w:t>
      </w:r>
      <w:r w:rsidRPr="003F0A49">
        <w:t xml:space="preserve"> (AAP).</w:t>
      </w:r>
    </w:p>
    <w:p w:rsidR="00440609" w:rsidRPr="003F0A49" w:rsidRDefault="00440609" w:rsidP="00440609">
      <w:r w:rsidRPr="003F0A49">
        <w:t>Atentamente</w:t>
      </w:r>
      <w:r>
        <w:t>.</w:t>
      </w:r>
    </w:p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Pr="003F0A49" w:rsidRDefault="00440609" w:rsidP="00440609"/>
    <w:p w:rsidR="00440609" w:rsidRPr="003F0A49" w:rsidRDefault="00440609" w:rsidP="00440609">
      <w:pPr>
        <w:spacing w:before="720"/>
      </w:pPr>
      <w:r w:rsidRPr="003F0A49">
        <w:t>Malcolm Johnson</w:t>
      </w:r>
      <w:r w:rsidRPr="003F0A49">
        <w:br/>
        <w:t xml:space="preserve">Director de la Oficina </w:t>
      </w:r>
      <w:r w:rsidRPr="003F0A49">
        <w:br/>
        <w:t>de Normalización de las Telecomunicaciones</w:t>
      </w:r>
    </w:p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Default="00440609" w:rsidP="00440609"/>
    <w:p w:rsidR="00440609" w:rsidRPr="003F0A49" w:rsidRDefault="00440609" w:rsidP="00440609">
      <w:pPr>
        <w:spacing w:before="720"/>
        <w:rPr>
          <w:b/>
          <w:bCs/>
        </w:rPr>
      </w:pPr>
      <w:r w:rsidRPr="003F0A49">
        <w:rPr>
          <w:b/>
          <w:bCs/>
        </w:rPr>
        <w:t>Anex</w:t>
      </w:r>
      <w:r>
        <w:rPr>
          <w:b/>
          <w:bCs/>
        </w:rPr>
        <w:t>o</w:t>
      </w:r>
      <w:r w:rsidRPr="00440609">
        <w:t>: 1</w:t>
      </w:r>
    </w:p>
    <w:p w:rsidR="00440609" w:rsidRPr="00A7387B" w:rsidRDefault="00440609" w:rsidP="00440609">
      <w:pPr>
        <w:pStyle w:val="AnnexNo"/>
        <w:spacing w:before="0" w:after="0"/>
        <w:rPr>
          <w:lang w:val="es-ES_tradnl"/>
        </w:rPr>
      </w:pPr>
      <w:r w:rsidRPr="003F0A49">
        <w:rPr>
          <w:lang w:val="es-ES_tradnl"/>
        </w:rPr>
        <w:br w:type="page"/>
      </w:r>
      <w:r w:rsidRPr="00A7387B">
        <w:rPr>
          <w:lang w:val="es-ES_tradnl"/>
        </w:rPr>
        <w:t>AnexO 1</w:t>
      </w:r>
    </w:p>
    <w:p w:rsidR="00440609" w:rsidRPr="00A7387B" w:rsidRDefault="00440609" w:rsidP="00440609">
      <w:pPr>
        <w:spacing w:before="0"/>
        <w:jc w:val="center"/>
      </w:pPr>
      <w:r w:rsidRPr="00A7387B">
        <w:t>(a la Circular TSB 109)</w:t>
      </w:r>
    </w:p>
    <w:p w:rsidR="00440609" w:rsidRPr="00A7387B" w:rsidRDefault="00440609" w:rsidP="00440609">
      <w:pPr>
        <w:rPr>
          <w:b/>
          <w:bCs/>
          <w:szCs w:val="24"/>
        </w:rPr>
      </w:pPr>
    </w:p>
    <w:p w:rsidR="00440609" w:rsidRPr="00155970" w:rsidRDefault="00440609" w:rsidP="00440609">
      <w:pPr>
        <w:pStyle w:val="Headingb0"/>
        <w:rPr>
          <w:lang w:val="es-ES_tradnl"/>
        </w:rPr>
      </w:pPr>
      <w:r w:rsidRPr="00155970">
        <w:rPr>
          <w:lang w:val="es-ES_tradnl"/>
        </w:rPr>
        <w:t>Cuestión 22/13 – Gestión de la movilidad y convergencia fijo-móvil</w:t>
      </w:r>
    </w:p>
    <w:p w:rsidR="00440609" w:rsidRPr="00A7387B" w:rsidRDefault="00440609" w:rsidP="00DD25C1">
      <w:r w:rsidRPr="00A7387B">
        <w:t>(Fusión de las C</w:t>
      </w:r>
      <w:r w:rsidR="00DD25C1">
        <w:t>uestiones</w:t>
      </w:r>
      <w:r w:rsidRPr="00A7387B">
        <w:t xml:space="preserve"> 8/13 </w:t>
      </w:r>
      <w:r>
        <w:t xml:space="preserve">y </w:t>
      </w:r>
      <w:r w:rsidRPr="00A7387B">
        <w:t>11/13)</w:t>
      </w:r>
    </w:p>
    <w:p w:rsidR="00440609" w:rsidRPr="00A7387B" w:rsidRDefault="00440609" w:rsidP="00440609">
      <w:pPr>
        <w:pStyle w:val="Heading1"/>
      </w:pPr>
      <w:r w:rsidRPr="00A7387B">
        <w:t>1</w:t>
      </w:r>
      <w:r w:rsidRPr="00A7387B">
        <w:tab/>
        <w:t>Motivos</w:t>
      </w:r>
    </w:p>
    <w:p w:rsidR="00440609" w:rsidRPr="00A7387B" w:rsidRDefault="00440609" w:rsidP="00440609">
      <w:pPr>
        <w:pStyle w:val="Head"/>
        <w:tabs>
          <w:tab w:val="clear" w:pos="6663"/>
        </w:tabs>
        <w:spacing w:before="120"/>
        <w:rPr>
          <w:szCs w:val="24"/>
        </w:rPr>
      </w:pPr>
      <w:r w:rsidRPr="00A7387B">
        <w:rPr>
          <w:szCs w:val="24"/>
        </w:rPr>
        <w:t>En la última fase de la transición hacia arquitecturas de red armonizadas y con capacidad de interfuncionamiento ha surgido la necesidad en la industria de ofrecer itinerancia a nivel mundial y movilidad sin interrupciones a los usuarios de distintas tecnologías de acceso y/o diferentes operadores para que puedan beneficiarse de servicios ininterrumpidos cuando se desplazan o cambian de red. Los trabajos relativos a la gestión de la movilidad se basan en los requisitos correspondientes especificados en Q.1706/Y.2801 y Q.1707/Y.2801</w:t>
      </w:r>
      <w:r>
        <w:rPr>
          <w:szCs w:val="24"/>
        </w:rPr>
        <w:t>, así como en los requisitos sobre convergencia fijo-móvil especificados en Q.1762/Y.2802. Se incluyen en el estudio todos los aspectos relativos a los terminales, las redes de cliente, las redes de acceso (alámbricas e inalámbricas), las redes medulares y los servicios de aplicación</w:t>
      </w:r>
      <w:r w:rsidRPr="00A7387B">
        <w:rPr>
          <w:szCs w:val="24"/>
        </w:rPr>
        <w:t>.</w:t>
      </w:r>
    </w:p>
    <w:p w:rsidR="00440609" w:rsidRPr="00A7387B" w:rsidRDefault="00440609" w:rsidP="00DD25C1">
      <w:r w:rsidRPr="00A7387B">
        <w:t>El grupo encargado de esta Cuestión será responsable de las Recomendaciones de las Series Q.1706/Y.</w:t>
      </w:r>
      <w:r w:rsidRPr="00A7387B">
        <w:rPr>
          <w:szCs w:val="24"/>
        </w:rPr>
        <w:t>2801</w:t>
      </w:r>
      <w:r>
        <w:rPr>
          <w:szCs w:val="24"/>
        </w:rPr>
        <w:t>,</w:t>
      </w:r>
      <w:r w:rsidRPr="00A7387B">
        <w:rPr>
          <w:szCs w:val="24"/>
        </w:rPr>
        <w:t xml:space="preserve"> Q.1707/Y.280</w:t>
      </w:r>
      <w:r>
        <w:rPr>
          <w:szCs w:val="24"/>
        </w:rPr>
        <w:t>4 y Q.176x/Y.280x</w:t>
      </w:r>
      <w:r w:rsidRPr="00A7387B">
        <w:t>.</w:t>
      </w:r>
    </w:p>
    <w:p w:rsidR="00440609" w:rsidRPr="00440609" w:rsidRDefault="00440609" w:rsidP="00440609">
      <w:pPr>
        <w:pStyle w:val="Heading1"/>
      </w:pPr>
      <w:r w:rsidRPr="00440609">
        <w:t>2</w:t>
      </w:r>
      <w:r w:rsidRPr="00440609">
        <w:tab/>
        <w:t>Cuestión</w:t>
      </w:r>
    </w:p>
    <w:p w:rsidR="00440609" w:rsidRPr="00A7387B" w:rsidRDefault="00440609" w:rsidP="00440609">
      <w:pPr>
        <w:spacing w:before="100" w:line="240" w:lineRule="atLeast"/>
      </w:pPr>
      <w:r w:rsidRPr="00A7387B">
        <w:t>Entre otros, se estudiarán los siguientes temas:</w:t>
      </w:r>
    </w:p>
    <w:p w:rsidR="00440609" w:rsidRPr="00440609" w:rsidRDefault="00440609" w:rsidP="00440609">
      <w:pPr>
        <w:pStyle w:val="enumlev1"/>
      </w:pPr>
      <w:r w:rsidRPr="00A7387B">
        <w:t>•</w:t>
      </w:r>
      <w:r w:rsidRPr="00A7387B">
        <w:tab/>
      </w:r>
      <w:r w:rsidRPr="00440609">
        <w:t>¿Qué es necesario para lograr la itinerancia mundial y la movilidad sin interrupciones y prestar servicios en una misma o en diferentes redes en las IMT y las NGN?</w:t>
      </w:r>
    </w:p>
    <w:p w:rsidR="00440609" w:rsidRPr="00440609" w:rsidRDefault="00440609" w:rsidP="00440609">
      <w:pPr>
        <w:pStyle w:val="enumlev1"/>
      </w:pPr>
      <w:r w:rsidRPr="00A7387B">
        <w:t>•</w:t>
      </w:r>
      <w:r w:rsidRPr="00A7387B">
        <w:tab/>
      </w:r>
      <w:r w:rsidRPr="00440609">
        <w:t>¿Qué se necesita para ofrecer servicios de acceso independientes en las diferentes redes fijas e IMT existentes y en evolución?</w:t>
      </w:r>
    </w:p>
    <w:p w:rsidR="00440609" w:rsidRPr="00440609" w:rsidRDefault="00440609" w:rsidP="00440609">
      <w:pPr>
        <w:pStyle w:val="enumlev1"/>
      </w:pPr>
      <w:r w:rsidRPr="00440609">
        <w:t>•</w:t>
      </w:r>
      <w:r w:rsidRPr="00440609">
        <w:tab/>
        <w:t>¿Qué mejoras es necesario introducir en las Recomendaciones existentes para ahorrar energía directa o indirectamente en las tecnologías de la información y la comunicación (TIC) o en otros sectores industriales? ¿Qué mejoras es preciso introducir en las Recomendaciones nuevas o en desarrollo para conseguir este ahorro energético?</w:t>
      </w:r>
    </w:p>
    <w:p w:rsidR="00440609" w:rsidRPr="00440609" w:rsidRDefault="00440609" w:rsidP="00440609">
      <w:pPr>
        <w:pStyle w:val="Heading1"/>
      </w:pPr>
      <w:r w:rsidRPr="00440609">
        <w:t>3</w:t>
      </w:r>
      <w:r w:rsidRPr="00440609">
        <w:tab/>
        <w:t>Tareas</w:t>
      </w:r>
    </w:p>
    <w:p w:rsidR="00440609" w:rsidRPr="00A7387B" w:rsidRDefault="00440609" w:rsidP="00440609">
      <w:r w:rsidRPr="00A7387B">
        <w:t>Las tareas son, entre otras: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Determinar o definir las perspectivas del usuario y del operador en cuanto a las capacidades de gestión de la movilidad para las IMT y las NGN.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Elaborar los requisitos funcionales de las capacidades de gestión de la movilidad para las IMT y las NGN.</w:t>
      </w:r>
    </w:p>
    <w:p w:rsidR="00440609" w:rsidRPr="00A7387B" w:rsidRDefault="00440609" w:rsidP="00440609">
      <w:pPr>
        <w:pStyle w:val="enumlev1"/>
        <w:rPr>
          <w:u w:val="words"/>
        </w:rPr>
      </w:pPr>
      <w:r w:rsidRPr="00A7387B">
        <w:t>•</w:t>
      </w:r>
      <w:r w:rsidRPr="00A7387B">
        <w:tab/>
        <w:t>Desarrollar la arquitectura (interrelación) y definir las entidades funcionales necesarias para ofrecer capacidades de gestión de la movilidad en las IMT y las NGN.</w:t>
      </w:r>
    </w:p>
    <w:p w:rsidR="00440609" w:rsidRPr="00A7387B" w:rsidRDefault="00440609" w:rsidP="00440609">
      <w:pPr>
        <w:pStyle w:val="enumlev1"/>
        <w:rPr>
          <w:b/>
          <w:bCs/>
        </w:rPr>
      </w:pPr>
      <w:r w:rsidRPr="00A7387B">
        <w:t>•</w:t>
      </w:r>
      <w:r w:rsidRPr="00A7387B">
        <w:tab/>
        <w:t>Desarrollar los flujos de información y la temporización de dichos flujos entre entidades funcionales, con el fin de aportar las capacidades necesarias de gestión de movilidad a las IMT y las NGN.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Desarrollar las actuaciones de las entidades funcionales tras la recepción de un flujo de información que son necesarias para las capacidades de gestión de la movilidad en las IMT y las NGN.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Atribuir las entidades funcionales a entidades físicas a fin de determinar las interfaces que puedan utilizar los protocolos existentes, o mejoras de éstos, y las interfaces que requieren nuevos protocolos para las capacidades de gestión de la movilidad en las IMT y las NGN.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Facilitar, en el caso de las interfaces que requieran mejoras de los protocolos actuales, los requisitos funcionales a las entidades de normalización que desarrollan dichos protocolos.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Determinar, para las interfaces que exijan nuevos protocolos, la entidad apropiada para elaborar el protocolo, facilitar los requisitos funcionales a dicha entidad de normalización y, si es necesario, elaborar el protocolo con arreglo a esta Cuestión.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Identificar y estudiar la posibilidad de aplicar normas IMT relativas a la convergencia en el contexto de la arquitectura de las NGN y los requisitos de la convergencia de los servicios fijo y móvil, y preparar documentos sobre este particular.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Formular propuestas en materia de convergencia de las redes IMT y las redes fijas, incluidos los aspectos relativos al control del equipo de red del cliente desde la red medular, y consignarlas en documentos que se someterán a la consideración de las organizaciones de normalización en el marco de sus planes para el futuro.</w:t>
      </w:r>
    </w:p>
    <w:p w:rsidR="00440609" w:rsidRPr="00A7387B" w:rsidRDefault="00440609" w:rsidP="00440609">
      <w:pPr>
        <w:pStyle w:val="enumlev1"/>
      </w:pPr>
      <w:r w:rsidRPr="00A7387B">
        <w:t>•</w:t>
      </w:r>
      <w:r w:rsidRPr="00A7387B">
        <w:tab/>
        <w:t>Identificar y estudiar las cuestiones de arquitectura e interfaz de red que guardan relación con las funciones específicas de la convergencia de los servicios fijo y móvil dentro de la arquitectura general de las NGN, y preparar documentación sobre este particular.</w:t>
      </w:r>
    </w:p>
    <w:p w:rsidR="00440609" w:rsidRPr="00440609" w:rsidRDefault="00440609" w:rsidP="00440609">
      <w:pPr>
        <w:pStyle w:val="Heading1"/>
      </w:pPr>
      <w:r w:rsidRPr="00440609">
        <w:t>4</w:t>
      </w:r>
      <w:r w:rsidRPr="00440609">
        <w:tab/>
        <w:t>Relaciones</w:t>
      </w:r>
    </w:p>
    <w:p w:rsidR="00440609" w:rsidRPr="00A7387B" w:rsidRDefault="00440609" w:rsidP="00440609">
      <w:pPr>
        <w:tabs>
          <w:tab w:val="left" w:pos="2977"/>
        </w:tabs>
        <w:ind w:left="2977" w:hanging="2977"/>
      </w:pPr>
      <w:r w:rsidRPr="00A7387B">
        <w:t>La ejecución de las tareas de esta Cuestión exigirá una estrecha coordinación y colaboración con:</w:t>
      </w:r>
    </w:p>
    <w:p w:rsidR="00DD25C1" w:rsidRPr="00DD25C1" w:rsidRDefault="00440609" w:rsidP="00DD25C1">
      <w:pPr>
        <w:pStyle w:val="Headingb0"/>
        <w:rPr>
          <w:lang w:val="es-ES_tradnl"/>
        </w:rPr>
      </w:pPr>
      <w:r w:rsidRPr="00DD25C1">
        <w:rPr>
          <w:lang w:val="es-ES_tradnl"/>
        </w:rPr>
        <w:t>Recomendaciones</w:t>
      </w:r>
    </w:p>
    <w:p w:rsidR="00440609" w:rsidRPr="00A7387B" w:rsidRDefault="00440609" w:rsidP="00DD25C1">
      <w:pPr>
        <w:spacing w:before="100" w:line="240" w:lineRule="atLeast"/>
      </w:pPr>
      <w:r w:rsidRPr="00A7387B">
        <w:t>Recomendaciones de las series Q e Y</w:t>
      </w:r>
      <w:r w:rsidR="00DD25C1">
        <w:t>.</w:t>
      </w:r>
    </w:p>
    <w:p w:rsidR="00440609" w:rsidRPr="00DD25C1" w:rsidRDefault="00440609" w:rsidP="001744EA">
      <w:pPr>
        <w:pStyle w:val="Headingb0"/>
        <w:rPr>
          <w:lang w:val="es-ES_tradnl"/>
        </w:rPr>
      </w:pPr>
      <w:r w:rsidRPr="00DD25C1">
        <w:rPr>
          <w:lang w:val="es-ES_tradnl"/>
        </w:rPr>
        <w:t>Cuestiones</w:t>
      </w:r>
    </w:p>
    <w:p w:rsidR="00440609" w:rsidRPr="00EE6DC5" w:rsidRDefault="00440609" w:rsidP="00440609">
      <w:pPr>
        <w:spacing w:before="100" w:line="240" w:lineRule="atLeast"/>
      </w:pPr>
      <w:r w:rsidRPr="00203B2A">
        <w:t>Comisiones de Estudio: Comisiones de Estudio del UIT-T que se ocupan de los estudios relacionados con la descripción de servicios y configuraciones de las NGN, la numeración, la denominaci</w:t>
      </w:r>
      <w:r>
        <w:t xml:space="preserve">ón, el direccionamiento y el encaminamiento, la seguridad, la QoS y la calidad de funcionamiento de las redes, la señalización y el control, los multimedios. </w:t>
      </w:r>
      <w:r w:rsidRPr="00203B2A">
        <w:t>Comisiones de Estudio del UIT-R encargadas del servicio de radiodifusión y de los servicios terrenales</w:t>
      </w:r>
      <w:r w:rsidR="001744EA">
        <w:t>.</w:t>
      </w:r>
    </w:p>
    <w:p w:rsidR="00440609" w:rsidRPr="00DD25C1" w:rsidRDefault="00440609" w:rsidP="001744EA">
      <w:pPr>
        <w:pStyle w:val="Headingb0"/>
        <w:rPr>
          <w:lang w:val="es-ES_tradnl"/>
        </w:rPr>
      </w:pPr>
      <w:r w:rsidRPr="00DD25C1">
        <w:rPr>
          <w:lang w:val="es-ES_tradnl"/>
        </w:rPr>
        <w:t>Organismos de normalización</w:t>
      </w:r>
    </w:p>
    <w:p w:rsidR="00440609" w:rsidRPr="00EE6DC5" w:rsidRDefault="00440609" w:rsidP="00440609">
      <w:pPr>
        <w:pStyle w:val="enumlev1"/>
      </w:pPr>
      <w:r w:rsidRPr="00A7387B">
        <w:t>•</w:t>
      </w:r>
      <w:r w:rsidRPr="00A7387B">
        <w:tab/>
      </w:r>
      <w:r w:rsidR="00DD25C1">
        <w:t>3GPPs.</w:t>
      </w:r>
    </w:p>
    <w:p w:rsidR="00440609" w:rsidRPr="00EE6DC5" w:rsidRDefault="00440609" w:rsidP="00DD25C1">
      <w:pPr>
        <w:pStyle w:val="enumlev1"/>
      </w:pPr>
      <w:r w:rsidRPr="00A7387B">
        <w:t>•</w:t>
      </w:r>
      <w:r w:rsidRPr="00A7387B">
        <w:tab/>
      </w:r>
      <w:r w:rsidRPr="00EE6DC5">
        <w:t>IETF</w:t>
      </w:r>
      <w:r w:rsidR="00DD25C1">
        <w:t>.</w:t>
      </w:r>
    </w:p>
    <w:p w:rsidR="00440609" w:rsidRPr="00EE6DC5" w:rsidRDefault="00440609" w:rsidP="00DD25C1">
      <w:pPr>
        <w:pStyle w:val="enumlev1"/>
      </w:pPr>
      <w:r w:rsidRPr="00A7387B">
        <w:t>•</w:t>
      </w:r>
      <w:r w:rsidRPr="00A7387B">
        <w:tab/>
      </w:r>
      <w:r w:rsidRPr="00EE6DC5">
        <w:t>IEEE</w:t>
      </w:r>
      <w:r w:rsidR="00DD25C1">
        <w:t>.</w:t>
      </w:r>
    </w:p>
    <w:p w:rsidR="00440609" w:rsidRPr="00EE6DC5" w:rsidRDefault="00440609" w:rsidP="00440609">
      <w:pPr>
        <w:pStyle w:val="enumlev1"/>
      </w:pPr>
      <w:r w:rsidRPr="00A7387B">
        <w:t>•</w:t>
      </w:r>
      <w:r w:rsidRPr="00A7387B">
        <w:tab/>
      </w:r>
      <w:r w:rsidRPr="00EE6DC5">
        <w:t>O</w:t>
      </w:r>
      <w:r>
        <w:t>tras entidades pertinentes</w:t>
      </w:r>
      <w:r w:rsidR="00DD25C1">
        <w:t>.</w:t>
      </w:r>
    </w:p>
    <w:p w:rsidR="00440609" w:rsidRPr="00B811EB" w:rsidRDefault="00DD25C1" w:rsidP="00440609">
      <w:pPr>
        <w:rPr>
          <w:b/>
          <w:bCs/>
        </w:rPr>
      </w:pPr>
      <w:r w:rsidRPr="00DD25C1">
        <w:rPr>
          <w:b/>
          <w:bCs/>
        </w:rPr>
        <w:t>Nota</w:t>
      </w:r>
      <w:r w:rsidR="00440609">
        <w:t xml:space="preserve"> –</w:t>
      </w:r>
      <w:r w:rsidR="00440609" w:rsidRPr="00440609">
        <w:t xml:space="preserve"> Los temas técnicos de que se ocupan las Cuestiones 8/13 y 11/13 tienen muchos puntos en común. </w:t>
      </w:r>
      <w:r w:rsidR="00440609" w:rsidRPr="00AA15EC">
        <w:t xml:space="preserve">Al principio del actual </w:t>
      </w:r>
      <w:r w:rsidR="006251BC" w:rsidRPr="00AA15EC">
        <w:t>periodo</w:t>
      </w:r>
      <w:r w:rsidR="00440609" w:rsidRPr="00AA15EC">
        <w:t xml:space="preserve"> de estudios, ambas Cuestiones celebraron reunion</w:t>
      </w:r>
      <w:r w:rsidR="00440609">
        <w:t>e</w:t>
      </w:r>
      <w:r w:rsidR="00440609" w:rsidRPr="00AA15EC">
        <w:t xml:space="preserve">s conjuntas, de las que incluso elaboraron </w:t>
      </w:r>
      <w:r w:rsidRPr="00AA15EC">
        <w:t>I</w:t>
      </w:r>
      <w:r w:rsidR="00440609" w:rsidRPr="00AA15EC">
        <w:t xml:space="preserve">nformes. Sus predecesoras colaboraron de manera semejante a lo largo del anterior periodo de </w:t>
      </w:r>
      <w:r w:rsidR="006251BC" w:rsidRPr="00AA15EC">
        <w:t>estudios</w:t>
      </w:r>
      <w:r w:rsidR="00440609" w:rsidRPr="00AA15EC">
        <w:t xml:space="preserve">. </w:t>
      </w:r>
      <w:r w:rsidR="00440609" w:rsidRPr="00B811EB">
        <w:t>Habida cuenta de lo anterior, la Comisión de Estudio 13 tomó la decisi</w:t>
      </w:r>
      <w:r w:rsidR="00440609">
        <w:t>ó</w:t>
      </w:r>
      <w:r w:rsidR="00440609" w:rsidRPr="00B811EB">
        <w:t>n de fusionar las dos Cuestiones en una nueva Cuesti</w:t>
      </w:r>
      <w:r w:rsidR="00440609">
        <w:t>ón</w:t>
      </w:r>
      <w:r w:rsidR="00440609" w:rsidRPr="00B811EB">
        <w:t xml:space="preserve"> 22/13 y suprimir las Cuestiones 8/13 </w:t>
      </w:r>
      <w:r w:rsidR="00440609">
        <w:t>y</w:t>
      </w:r>
      <w:r w:rsidR="00440609" w:rsidRPr="00B811EB">
        <w:t xml:space="preserve"> 11/13 (</w:t>
      </w:r>
      <w:r w:rsidR="00440609">
        <w:t>véase la Circular 10 acerca de la propuesta de supresión</w:t>
      </w:r>
      <w:r w:rsidR="00440609" w:rsidRPr="00B811EB">
        <w:t xml:space="preserve">). </w:t>
      </w:r>
    </w:p>
    <w:p w:rsidR="006C73A3" w:rsidRDefault="006C73A3" w:rsidP="00440609"/>
    <w:p w:rsidR="00DD25C1" w:rsidRDefault="00DD25C1">
      <w:pPr>
        <w:jc w:val="center"/>
      </w:pPr>
      <w:r>
        <w:t>______________</w:t>
      </w:r>
    </w:p>
    <w:p w:rsidR="00DD25C1" w:rsidRDefault="00DD25C1" w:rsidP="00440609"/>
    <w:sectPr w:rsidR="00DD25C1" w:rsidSect="00684CB2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1B" w:rsidRDefault="003D2F1B">
      <w:r>
        <w:separator/>
      </w:r>
    </w:p>
  </w:endnote>
  <w:endnote w:type="continuationSeparator" w:id="0">
    <w:p w:rsidR="003D2F1B" w:rsidRDefault="003D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1B" w:rsidRPr="00155970" w:rsidRDefault="007777E8" w:rsidP="007777E8">
    <w:pPr>
      <w:pStyle w:val="Footer"/>
      <w:rPr>
        <w:lang w:val="fr-CH"/>
      </w:rPr>
    </w:pPr>
    <w:r w:rsidRPr="00155970">
      <w:rPr>
        <w:lang w:val="fr-CH"/>
      </w:rPr>
      <w:t>ITU-T\BUREAU\CIRC\109S.DOC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3D2F1B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2F1B" w:rsidRDefault="003D2F1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2F1B" w:rsidRDefault="003D2F1B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2F1B" w:rsidRDefault="003D2F1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2F1B" w:rsidRDefault="003D2F1B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3D2F1B">
      <w:tc>
        <w:tcPr>
          <w:tcW w:w="1985" w:type="dxa"/>
        </w:tcPr>
        <w:p w:rsidR="003D2F1B" w:rsidRDefault="003D2F1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3D2F1B" w:rsidRDefault="003D2F1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3D2F1B" w:rsidRDefault="003D2F1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3D2F1B" w:rsidRDefault="003D2F1B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3D2F1B">
      <w:tc>
        <w:tcPr>
          <w:tcW w:w="1985" w:type="dxa"/>
        </w:tcPr>
        <w:p w:rsidR="003D2F1B" w:rsidRDefault="003D2F1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3D2F1B" w:rsidRDefault="003D2F1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3D2F1B" w:rsidRDefault="003D2F1B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3D2F1B" w:rsidRDefault="003D2F1B">
          <w:pPr>
            <w:pStyle w:val="FirstFooter"/>
            <w:rPr>
              <w:rFonts w:ascii="Futura Lt BT" w:hAnsi="Futura Lt BT"/>
            </w:rPr>
          </w:pPr>
        </w:p>
      </w:tc>
    </w:tr>
  </w:tbl>
  <w:p w:rsidR="003D2F1B" w:rsidRDefault="003D2F1B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1B" w:rsidRDefault="003D2F1B">
      <w:r>
        <w:t>____________________</w:t>
      </w:r>
    </w:p>
  </w:footnote>
  <w:footnote w:type="continuationSeparator" w:id="0">
    <w:p w:rsidR="003D2F1B" w:rsidRDefault="003D2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F1B" w:rsidRPr="006C73A3" w:rsidRDefault="003D2F1B">
    <w:pPr>
      <w:pStyle w:val="Header"/>
      <w:rPr>
        <w:sz w:val="18"/>
        <w:szCs w:val="18"/>
      </w:rPr>
    </w:pPr>
    <w:r w:rsidRPr="006C73A3">
      <w:rPr>
        <w:sz w:val="18"/>
        <w:szCs w:val="18"/>
      </w:rPr>
      <w:t xml:space="preserve">- </w:t>
    </w:r>
    <w:r w:rsidR="00C4101C" w:rsidRPr="006C73A3">
      <w:rPr>
        <w:rStyle w:val="PageNumber"/>
        <w:sz w:val="18"/>
        <w:szCs w:val="18"/>
      </w:rPr>
      <w:fldChar w:fldCharType="begin"/>
    </w:r>
    <w:r w:rsidRPr="006C73A3">
      <w:rPr>
        <w:rStyle w:val="PageNumber"/>
        <w:sz w:val="18"/>
        <w:szCs w:val="18"/>
      </w:rPr>
      <w:instrText xml:space="preserve"> PAGE </w:instrText>
    </w:r>
    <w:r w:rsidR="00C4101C" w:rsidRPr="006C73A3">
      <w:rPr>
        <w:rStyle w:val="PageNumber"/>
        <w:sz w:val="18"/>
        <w:szCs w:val="18"/>
      </w:rPr>
      <w:fldChar w:fldCharType="separate"/>
    </w:r>
    <w:r w:rsidR="001529B9">
      <w:rPr>
        <w:rStyle w:val="PageNumber"/>
        <w:noProof/>
        <w:sz w:val="18"/>
        <w:szCs w:val="18"/>
      </w:rPr>
      <w:t>4</w:t>
    </w:r>
    <w:r w:rsidR="00C4101C" w:rsidRPr="006C73A3">
      <w:rPr>
        <w:rStyle w:val="PageNumber"/>
        <w:sz w:val="18"/>
        <w:szCs w:val="18"/>
      </w:rPr>
      <w:fldChar w:fldCharType="end"/>
    </w:r>
    <w:r w:rsidRPr="006C73A3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55A7"/>
    <w:multiLevelType w:val="multilevel"/>
    <w:tmpl w:val="44502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A4FB5"/>
    <w:multiLevelType w:val="hybridMultilevel"/>
    <w:tmpl w:val="660EA066"/>
    <w:lvl w:ilvl="0" w:tplc="6846B5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963E1"/>
    <w:rsid w:val="00002529"/>
    <w:rsid w:val="000110A7"/>
    <w:rsid w:val="00060786"/>
    <w:rsid w:val="000C382F"/>
    <w:rsid w:val="000F4421"/>
    <w:rsid w:val="001048A1"/>
    <w:rsid w:val="00144AA0"/>
    <w:rsid w:val="001529B9"/>
    <w:rsid w:val="00155970"/>
    <w:rsid w:val="001744EA"/>
    <w:rsid w:val="001963E1"/>
    <w:rsid w:val="001A0CE6"/>
    <w:rsid w:val="001A54CC"/>
    <w:rsid w:val="001D0528"/>
    <w:rsid w:val="00222CFD"/>
    <w:rsid w:val="002353AB"/>
    <w:rsid w:val="00257FB4"/>
    <w:rsid w:val="00335367"/>
    <w:rsid w:val="00346B22"/>
    <w:rsid w:val="003D1E8D"/>
    <w:rsid w:val="003D2F1B"/>
    <w:rsid w:val="003D673B"/>
    <w:rsid w:val="003E7473"/>
    <w:rsid w:val="00401C20"/>
    <w:rsid w:val="00423E42"/>
    <w:rsid w:val="00440609"/>
    <w:rsid w:val="004C4144"/>
    <w:rsid w:val="004D1734"/>
    <w:rsid w:val="00500630"/>
    <w:rsid w:val="005B047E"/>
    <w:rsid w:val="006251BC"/>
    <w:rsid w:val="00660417"/>
    <w:rsid w:val="00684CB2"/>
    <w:rsid w:val="006B0A76"/>
    <w:rsid w:val="006C73A3"/>
    <w:rsid w:val="00703FE6"/>
    <w:rsid w:val="00722DEA"/>
    <w:rsid w:val="007427F2"/>
    <w:rsid w:val="00745CCE"/>
    <w:rsid w:val="007777E8"/>
    <w:rsid w:val="008258C2"/>
    <w:rsid w:val="00835ECA"/>
    <w:rsid w:val="008505BD"/>
    <w:rsid w:val="00850C78"/>
    <w:rsid w:val="008C17AD"/>
    <w:rsid w:val="008D02CD"/>
    <w:rsid w:val="00926CE1"/>
    <w:rsid w:val="0095172A"/>
    <w:rsid w:val="00996A25"/>
    <w:rsid w:val="009D22F6"/>
    <w:rsid w:val="00A54E47"/>
    <w:rsid w:val="00AE7093"/>
    <w:rsid w:val="00B06AFD"/>
    <w:rsid w:val="00B422BC"/>
    <w:rsid w:val="00B43F77"/>
    <w:rsid w:val="00B95F0A"/>
    <w:rsid w:val="00B96180"/>
    <w:rsid w:val="00BE17CD"/>
    <w:rsid w:val="00BE6AE1"/>
    <w:rsid w:val="00C4101C"/>
    <w:rsid w:val="00C91876"/>
    <w:rsid w:val="00D4550D"/>
    <w:rsid w:val="00D91D62"/>
    <w:rsid w:val="00DD25C1"/>
    <w:rsid w:val="00DD74D8"/>
    <w:rsid w:val="00DD77C9"/>
    <w:rsid w:val="00E92C09"/>
    <w:rsid w:val="00E96AB6"/>
    <w:rsid w:val="00EA471A"/>
    <w:rsid w:val="00EF52DF"/>
    <w:rsid w:val="00F37D42"/>
    <w:rsid w:val="00F6461F"/>
    <w:rsid w:val="00F7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C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84CB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84CB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84CB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84CB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84CB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84CB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84CB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84CB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84CB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84CB2"/>
    <w:rPr>
      <w:vertAlign w:val="superscript"/>
    </w:rPr>
  </w:style>
  <w:style w:type="paragraph" w:styleId="TOC8">
    <w:name w:val="toc 8"/>
    <w:basedOn w:val="TOC3"/>
    <w:semiHidden/>
    <w:rsid w:val="00684CB2"/>
  </w:style>
  <w:style w:type="paragraph" w:styleId="TOC7">
    <w:name w:val="toc 7"/>
    <w:basedOn w:val="TOC3"/>
    <w:semiHidden/>
    <w:rsid w:val="00684CB2"/>
  </w:style>
  <w:style w:type="paragraph" w:styleId="TOC6">
    <w:name w:val="toc 6"/>
    <w:basedOn w:val="TOC3"/>
    <w:semiHidden/>
    <w:rsid w:val="00684CB2"/>
  </w:style>
  <w:style w:type="paragraph" w:styleId="TOC5">
    <w:name w:val="toc 5"/>
    <w:basedOn w:val="TOC3"/>
    <w:semiHidden/>
    <w:rsid w:val="00684CB2"/>
  </w:style>
  <w:style w:type="paragraph" w:styleId="TOC4">
    <w:name w:val="toc 4"/>
    <w:basedOn w:val="TOC3"/>
    <w:semiHidden/>
    <w:rsid w:val="00684CB2"/>
  </w:style>
  <w:style w:type="paragraph" w:styleId="TOC3">
    <w:name w:val="toc 3"/>
    <w:basedOn w:val="TOC2"/>
    <w:semiHidden/>
    <w:rsid w:val="00684CB2"/>
    <w:pPr>
      <w:spacing w:before="80"/>
    </w:pPr>
  </w:style>
  <w:style w:type="paragraph" w:styleId="TOC2">
    <w:name w:val="toc 2"/>
    <w:basedOn w:val="TOC1"/>
    <w:semiHidden/>
    <w:rsid w:val="00684CB2"/>
    <w:pPr>
      <w:spacing w:before="120"/>
    </w:pPr>
  </w:style>
  <w:style w:type="paragraph" w:styleId="TOC1">
    <w:name w:val="toc 1"/>
    <w:basedOn w:val="Normal"/>
    <w:semiHidden/>
    <w:rsid w:val="00684CB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84CB2"/>
    <w:pPr>
      <w:ind w:left="1698"/>
    </w:pPr>
  </w:style>
  <w:style w:type="paragraph" w:styleId="Index6">
    <w:name w:val="index 6"/>
    <w:basedOn w:val="Normal"/>
    <w:next w:val="Normal"/>
    <w:semiHidden/>
    <w:rsid w:val="00684CB2"/>
    <w:pPr>
      <w:ind w:left="1415"/>
    </w:pPr>
  </w:style>
  <w:style w:type="paragraph" w:styleId="Index5">
    <w:name w:val="index 5"/>
    <w:basedOn w:val="Normal"/>
    <w:next w:val="Normal"/>
    <w:semiHidden/>
    <w:rsid w:val="00684CB2"/>
    <w:pPr>
      <w:ind w:left="1132"/>
    </w:pPr>
  </w:style>
  <w:style w:type="paragraph" w:styleId="Index4">
    <w:name w:val="index 4"/>
    <w:basedOn w:val="Normal"/>
    <w:next w:val="Normal"/>
    <w:semiHidden/>
    <w:rsid w:val="00684CB2"/>
    <w:pPr>
      <w:ind w:left="849"/>
    </w:pPr>
  </w:style>
  <w:style w:type="paragraph" w:styleId="Index3">
    <w:name w:val="index 3"/>
    <w:basedOn w:val="Normal"/>
    <w:next w:val="Normal"/>
    <w:semiHidden/>
    <w:rsid w:val="00684CB2"/>
    <w:pPr>
      <w:ind w:left="566"/>
    </w:pPr>
  </w:style>
  <w:style w:type="paragraph" w:styleId="Index2">
    <w:name w:val="index 2"/>
    <w:basedOn w:val="Normal"/>
    <w:next w:val="Normal"/>
    <w:semiHidden/>
    <w:rsid w:val="00684CB2"/>
    <w:pPr>
      <w:ind w:left="283"/>
    </w:pPr>
  </w:style>
  <w:style w:type="paragraph" w:styleId="Index1">
    <w:name w:val="index 1"/>
    <w:basedOn w:val="Normal"/>
    <w:next w:val="Normal"/>
    <w:semiHidden/>
    <w:rsid w:val="00684CB2"/>
  </w:style>
  <w:style w:type="character" w:styleId="LineNumber">
    <w:name w:val="line number"/>
    <w:basedOn w:val="DefaultParagraphFont"/>
    <w:rsid w:val="00684CB2"/>
  </w:style>
  <w:style w:type="paragraph" w:styleId="IndexHeading">
    <w:name w:val="index heading"/>
    <w:basedOn w:val="Normal"/>
    <w:next w:val="Index1"/>
    <w:semiHidden/>
    <w:rsid w:val="00684CB2"/>
  </w:style>
  <w:style w:type="paragraph" w:styleId="Footer">
    <w:name w:val="footer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84CB2"/>
    <w:rPr>
      <w:position w:val="6"/>
      <w:sz w:val="16"/>
    </w:rPr>
  </w:style>
  <w:style w:type="paragraph" w:styleId="FootnoteText">
    <w:name w:val="footnote text"/>
    <w:basedOn w:val="Normal"/>
    <w:semiHidden/>
    <w:rsid w:val="00684CB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84CB2"/>
    <w:pPr>
      <w:ind w:left="794"/>
    </w:pPr>
  </w:style>
  <w:style w:type="paragraph" w:customStyle="1" w:styleId="TableLegend">
    <w:name w:val="Table_Legend"/>
    <w:basedOn w:val="TableText"/>
    <w:rsid w:val="00684CB2"/>
    <w:pPr>
      <w:spacing w:before="120"/>
    </w:pPr>
  </w:style>
  <w:style w:type="paragraph" w:customStyle="1" w:styleId="TableText">
    <w:name w:val="Table_Text"/>
    <w:basedOn w:val="Normal"/>
    <w:rsid w:val="00684C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84C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84CB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84CB2"/>
    <w:pPr>
      <w:spacing w:before="80"/>
      <w:ind w:left="794" w:hanging="794"/>
    </w:pPr>
  </w:style>
  <w:style w:type="paragraph" w:customStyle="1" w:styleId="enumlev2">
    <w:name w:val="enumlev2"/>
    <w:basedOn w:val="enumlev1"/>
    <w:rsid w:val="00684CB2"/>
    <w:pPr>
      <w:ind w:left="1191" w:hanging="397"/>
    </w:pPr>
  </w:style>
  <w:style w:type="paragraph" w:customStyle="1" w:styleId="enumlev3">
    <w:name w:val="enumlev3"/>
    <w:basedOn w:val="enumlev2"/>
    <w:rsid w:val="00684CB2"/>
    <w:pPr>
      <w:ind w:left="1588"/>
    </w:pPr>
  </w:style>
  <w:style w:type="paragraph" w:customStyle="1" w:styleId="TableHead">
    <w:name w:val="Table_Head"/>
    <w:basedOn w:val="TableText"/>
    <w:rsid w:val="00684CB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84C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84CB2"/>
    <w:pPr>
      <w:spacing w:before="480"/>
    </w:pPr>
  </w:style>
  <w:style w:type="paragraph" w:customStyle="1" w:styleId="FigureTitle">
    <w:name w:val="Figure_Title"/>
    <w:basedOn w:val="TableTitle"/>
    <w:next w:val="Normal"/>
    <w:rsid w:val="00684CB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84CB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84CB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84CB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84CB2"/>
  </w:style>
  <w:style w:type="paragraph" w:customStyle="1" w:styleId="AppendixRef">
    <w:name w:val="Appendix_Ref"/>
    <w:basedOn w:val="AnnexRef"/>
    <w:next w:val="AppendixTitle"/>
    <w:rsid w:val="00684CB2"/>
  </w:style>
  <w:style w:type="paragraph" w:customStyle="1" w:styleId="AppendixTitle">
    <w:name w:val="Appendix_Title"/>
    <w:basedOn w:val="AnnexTitle"/>
    <w:next w:val="Normal"/>
    <w:rsid w:val="00684CB2"/>
  </w:style>
  <w:style w:type="paragraph" w:customStyle="1" w:styleId="RefTitle">
    <w:name w:val="Ref_Title"/>
    <w:basedOn w:val="Normal"/>
    <w:next w:val="RefText"/>
    <w:rsid w:val="00684CB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84CB2"/>
    <w:pPr>
      <w:ind w:left="794" w:hanging="794"/>
    </w:pPr>
  </w:style>
  <w:style w:type="paragraph" w:customStyle="1" w:styleId="Equation">
    <w:name w:val="Equation"/>
    <w:basedOn w:val="Normal"/>
    <w:rsid w:val="00684CB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84CB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84CB2"/>
    <w:pPr>
      <w:spacing w:before="320"/>
    </w:pPr>
  </w:style>
  <w:style w:type="paragraph" w:customStyle="1" w:styleId="call">
    <w:name w:val="call"/>
    <w:basedOn w:val="Normal"/>
    <w:next w:val="Normal"/>
    <w:rsid w:val="00684CB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84CB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84CB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84CB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84CB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684CB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684CB2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684C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684CB2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684C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684CB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684CB2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684CB2"/>
  </w:style>
  <w:style w:type="paragraph" w:customStyle="1" w:styleId="listitem">
    <w:name w:val="listitem"/>
    <w:basedOn w:val="Normal"/>
    <w:rsid w:val="00684CB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684CB2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684CB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84CB2"/>
    <w:pPr>
      <w:tabs>
        <w:tab w:val="left" w:pos="397"/>
      </w:tabs>
    </w:pPr>
  </w:style>
  <w:style w:type="paragraph" w:customStyle="1" w:styleId="FirstFooter">
    <w:name w:val="FirstFooter"/>
    <w:basedOn w:val="Footer"/>
    <w:rsid w:val="00684CB2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84CB2"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144AA0"/>
    <w:pPr>
      <w:keepNext/>
      <w:spacing w:before="160"/>
    </w:pPr>
    <w:rPr>
      <w:rFonts w:eastAsia="MS Mincho"/>
      <w:b/>
      <w:lang w:val="en-GB"/>
    </w:rPr>
  </w:style>
  <w:style w:type="paragraph" w:customStyle="1" w:styleId="AnnexNo">
    <w:name w:val="Annex_No"/>
    <w:basedOn w:val="Normal"/>
    <w:next w:val="Normal"/>
    <w:rsid w:val="00440609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440609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ns\My%20Documents\Downloads\CIRC1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CIRC1-S</Template>
  <TotalTime>1</TotalTime>
  <Pages>4</Pages>
  <Words>1166</Words>
  <Characters>6215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UNIÓN INTERNACIONAL DE TELECOMUNICACIONES</vt:lpstr>
      <vt:lpstr>1	Motivos</vt:lpstr>
      <vt:lpstr>2	Cuestión</vt:lpstr>
      <vt:lpstr>3	Tareas</vt:lpstr>
      <vt:lpstr>4	Relaciones</vt:lpstr>
    </vt:vector>
  </TitlesOfParts>
  <Company>ITU</Company>
  <LinksUpToDate>false</LinksUpToDate>
  <CharactersWithSpaces>7367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pons</dc:creator>
  <cp:keywords/>
  <dc:description/>
  <cp:lastModifiedBy>schiffer</cp:lastModifiedBy>
  <cp:revision>2</cp:revision>
  <cp:lastPrinted>2010-06-10T13:15:00Z</cp:lastPrinted>
  <dcterms:created xsi:type="dcterms:W3CDTF">2010-06-10T13:23:00Z</dcterms:created>
  <dcterms:modified xsi:type="dcterms:W3CDTF">2010-06-10T13:23:00Z</dcterms:modified>
</cp:coreProperties>
</file>