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9A61F8" w:rsidRPr="00617BE4">
        <w:trPr>
          <w:cantSplit/>
        </w:trPr>
        <w:tc>
          <w:tcPr>
            <w:tcW w:w="3827" w:type="dxa"/>
            <w:vAlign w:val="center"/>
          </w:tcPr>
          <w:p w:rsidR="009A61F8" w:rsidRPr="00BB168F" w:rsidRDefault="009A61F8" w:rsidP="00C56944">
            <w:pPr>
              <w:spacing w:before="0" w:line="240" w:lineRule="atLeast"/>
              <w:jc w:val="left"/>
              <w:rPr>
                <w:rFonts w:ascii="Times" w:hAnsi="Times"/>
                <w:lang w:bidi="ar-EG"/>
              </w:rPr>
            </w:pPr>
            <w:r w:rsidRPr="00C56944">
              <w:rPr>
                <w:rFonts w:hint="cs"/>
                <w:b/>
                <w:bCs/>
                <w:sz w:val="44"/>
                <w:szCs w:val="44"/>
                <w:rtl/>
              </w:rPr>
              <w:t>مكتب تقييس الاتصالات</w:t>
            </w:r>
          </w:p>
        </w:tc>
        <w:tc>
          <w:tcPr>
            <w:tcW w:w="6096" w:type="dxa"/>
            <w:gridSpan w:val="2"/>
            <w:vAlign w:val="center"/>
          </w:tcPr>
          <w:p w:rsidR="009A61F8" w:rsidRPr="00C56944" w:rsidRDefault="00AC2B2F" w:rsidP="00614F3F">
            <w:pPr>
              <w:jc w:val="right"/>
              <w:rPr>
                <w:b/>
                <w:bCs/>
                <w:sz w:val="44"/>
                <w:szCs w:val="44"/>
                <w:rtl/>
              </w:rPr>
            </w:pPr>
            <w:r>
              <w:rPr>
                <w:rFonts w:ascii="Times" w:hAnsi="Times"/>
                <w:noProof/>
                <w:lang w:eastAsia="zh-CN"/>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r w:rsidR="00C56944" w:rsidRPr="00617BE4">
        <w:trPr>
          <w:cantSplit/>
        </w:trPr>
        <w:tc>
          <w:tcPr>
            <w:tcW w:w="6803" w:type="dxa"/>
            <w:gridSpan w:val="2"/>
          </w:tcPr>
          <w:p w:rsidR="00C56944" w:rsidRPr="00617BE4" w:rsidRDefault="00C56944" w:rsidP="00C56944">
            <w:pPr>
              <w:spacing w:before="0" w:after="48" w:line="240" w:lineRule="atLeast"/>
              <w:rPr>
                <w:b/>
                <w:smallCaps/>
                <w:szCs w:val="24"/>
                <w:lang w:bidi="ar-EG"/>
              </w:rPr>
            </w:pPr>
          </w:p>
        </w:tc>
        <w:tc>
          <w:tcPr>
            <w:tcW w:w="3120" w:type="dxa"/>
          </w:tcPr>
          <w:p w:rsidR="00C56944" w:rsidRPr="00617BE4" w:rsidRDefault="00C56944" w:rsidP="00C56944">
            <w:pPr>
              <w:spacing w:before="0" w:line="240" w:lineRule="atLeast"/>
              <w:rPr>
                <w:rFonts w:ascii="Verdana" w:hAnsi="Verdana"/>
                <w:szCs w:val="24"/>
              </w:rPr>
            </w:pPr>
          </w:p>
        </w:tc>
      </w:tr>
    </w:tbl>
    <w:tbl>
      <w:tblPr>
        <w:bidiVisual/>
        <w:tblW w:w="9633" w:type="dxa"/>
        <w:jc w:val="center"/>
        <w:tblInd w:w="8" w:type="dxa"/>
        <w:tblLayout w:type="fixed"/>
        <w:tblCellMar>
          <w:left w:w="0" w:type="dxa"/>
          <w:right w:w="0" w:type="dxa"/>
        </w:tblCellMar>
        <w:tblLook w:val="0000"/>
      </w:tblPr>
      <w:tblGrid>
        <w:gridCol w:w="1533"/>
        <w:gridCol w:w="3340"/>
        <w:gridCol w:w="4760"/>
      </w:tblGrid>
      <w:tr w:rsidR="00E32073" w:rsidTr="00D84854">
        <w:trPr>
          <w:cantSplit/>
          <w:trHeight w:val="340"/>
          <w:jc w:val="center"/>
        </w:trPr>
        <w:tc>
          <w:tcPr>
            <w:tcW w:w="1533" w:type="dxa"/>
          </w:tcPr>
          <w:p w:rsidR="00E32073" w:rsidRDefault="00E32073" w:rsidP="00642F8E">
            <w:pPr>
              <w:tabs>
                <w:tab w:val="left" w:pos="4111"/>
              </w:tabs>
              <w:spacing w:before="20" w:after="60" w:line="300" w:lineRule="exact"/>
              <w:ind w:left="57"/>
              <w:rPr>
                <w:sz w:val="21"/>
                <w:szCs w:val="28"/>
              </w:rPr>
            </w:pPr>
          </w:p>
        </w:tc>
        <w:tc>
          <w:tcPr>
            <w:tcW w:w="3340" w:type="dxa"/>
          </w:tcPr>
          <w:p w:rsidR="00E32073" w:rsidRPr="00BE2B4B" w:rsidRDefault="00E32073" w:rsidP="00642F8E">
            <w:pPr>
              <w:tabs>
                <w:tab w:val="left" w:pos="4111"/>
              </w:tabs>
              <w:spacing w:before="20" w:after="60" w:line="300" w:lineRule="exact"/>
              <w:ind w:left="57"/>
              <w:rPr>
                <w:b/>
              </w:rPr>
            </w:pPr>
          </w:p>
        </w:tc>
        <w:tc>
          <w:tcPr>
            <w:tcW w:w="4760" w:type="dxa"/>
          </w:tcPr>
          <w:p w:rsidR="00E32073" w:rsidRPr="00BE2B4B" w:rsidRDefault="00E32073" w:rsidP="00642F8E">
            <w:pPr>
              <w:tabs>
                <w:tab w:val="left" w:pos="4111"/>
              </w:tabs>
              <w:spacing w:before="20" w:after="240" w:line="300" w:lineRule="exact"/>
              <w:ind w:left="57"/>
              <w:rPr>
                <w:lang w:bidi="ar-EG"/>
              </w:rPr>
            </w:pPr>
            <w:r w:rsidRPr="00BE2B4B">
              <w:rPr>
                <w:rFonts w:hint="cs"/>
                <w:rtl/>
              </w:rPr>
              <w:t xml:space="preserve">جنيف، </w:t>
            </w:r>
            <w:r w:rsidR="00106D13" w:rsidRPr="00BE2B4B">
              <w:rPr>
                <w:lang w:bidi="ar-EG"/>
              </w:rPr>
              <w:t>2</w:t>
            </w:r>
            <w:r w:rsidR="00106D13" w:rsidRPr="00BE2B4B">
              <w:rPr>
                <w:rFonts w:hint="cs"/>
                <w:rtl/>
                <w:lang w:bidi="ar-EG"/>
              </w:rPr>
              <w:t xml:space="preserve"> يونيو </w:t>
            </w:r>
            <w:r w:rsidR="00106D13" w:rsidRPr="00BE2B4B">
              <w:rPr>
                <w:lang w:bidi="ar-EG"/>
              </w:rPr>
              <w:t>2010</w:t>
            </w:r>
          </w:p>
        </w:tc>
      </w:tr>
      <w:tr w:rsidR="00E32073" w:rsidTr="00D84854">
        <w:trPr>
          <w:cantSplit/>
          <w:trHeight w:val="340"/>
          <w:jc w:val="center"/>
        </w:trPr>
        <w:tc>
          <w:tcPr>
            <w:tcW w:w="1533" w:type="dxa"/>
          </w:tcPr>
          <w:p w:rsidR="00E32073" w:rsidRDefault="00E32073" w:rsidP="00642F8E">
            <w:pPr>
              <w:tabs>
                <w:tab w:val="left" w:pos="4111"/>
              </w:tabs>
              <w:spacing w:before="20" w:after="60" w:line="300" w:lineRule="exact"/>
              <w:ind w:left="57"/>
              <w:rPr>
                <w:sz w:val="21"/>
                <w:szCs w:val="28"/>
              </w:rPr>
            </w:pPr>
            <w:r>
              <w:rPr>
                <w:rFonts w:hint="cs"/>
                <w:sz w:val="21"/>
                <w:szCs w:val="28"/>
                <w:rtl/>
              </w:rPr>
              <w:t>المرجع:</w:t>
            </w:r>
          </w:p>
        </w:tc>
        <w:tc>
          <w:tcPr>
            <w:tcW w:w="3340" w:type="dxa"/>
          </w:tcPr>
          <w:p w:rsidR="00E32073" w:rsidRPr="00BE2B4B" w:rsidRDefault="00E32073" w:rsidP="005F4416">
            <w:pPr>
              <w:jc w:val="left"/>
              <w:rPr>
                <w:rtl/>
                <w:lang w:bidi="ar-EG"/>
              </w:rPr>
            </w:pPr>
            <w:r w:rsidRPr="00BE2B4B">
              <w:rPr>
                <w:b/>
                <w:bCs/>
              </w:rPr>
              <w:t>TSB Circular</w:t>
            </w:r>
            <w:r w:rsidR="005F4416" w:rsidRPr="00BE2B4B">
              <w:rPr>
                <w:b/>
                <w:bCs/>
              </w:rPr>
              <w:t> </w:t>
            </w:r>
            <w:r w:rsidR="00106D13" w:rsidRPr="00BE2B4B">
              <w:rPr>
                <w:b/>
                <w:bCs/>
              </w:rPr>
              <w:t>109</w:t>
            </w:r>
            <w:r w:rsidRPr="00BE2B4B">
              <w:br/>
              <w:t xml:space="preserve">COM </w:t>
            </w:r>
            <w:r w:rsidR="00106D13" w:rsidRPr="00BE2B4B">
              <w:t>13</w:t>
            </w:r>
            <w:r w:rsidRPr="00BE2B4B">
              <w:t>/</w:t>
            </w:r>
            <w:r w:rsidR="00106D13" w:rsidRPr="00BE2B4B">
              <w:t>TK</w:t>
            </w:r>
          </w:p>
        </w:tc>
        <w:tc>
          <w:tcPr>
            <w:tcW w:w="4760" w:type="dxa"/>
          </w:tcPr>
          <w:p w:rsidR="00E32073" w:rsidRPr="00BE2B4B" w:rsidRDefault="00E32073" w:rsidP="00642F8E">
            <w:pPr>
              <w:tabs>
                <w:tab w:val="left" w:pos="284"/>
                <w:tab w:val="left" w:pos="4111"/>
              </w:tabs>
              <w:spacing w:before="20" w:line="300" w:lineRule="exact"/>
              <w:ind w:left="284" w:hanging="227"/>
              <w:rPr>
                <w:rtl/>
              </w:rPr>
            </w:pPr>
            <w:r w:rsidRPr="00BE2B4B">
              <w:rPr>
                <w:rFonts w:hint="cs"/>
                <w:rtl/>
              </w:rPr>
              <w:t>-</w:t>
            </w:r>
            <w:r w:rsidRPr="00BE2B4B">
              <w:rPr>
                <w:rtl/>
              </w:rPr>
              <w:tab/>
            </w:r>
            <w:r w:rsidRPr="00BE2B4B">
              <w:rPr>
                <w:rFonts w:hint="cs"/>
                <w:rtl/>
              </w:rPr>
              <w:t>إلى إدارات الدول الأعضاء في الاتحاد</w:t>
            </w:r>
          </w:p>
          <w:p w:rsidR="00E32073" w:rsidRPr="00BE2B4B" w:rsidRDefault="00E32073" w:rsidP="00642F8E">
            <w:pPr>
              <w:tabs>
                <w:tab w:val="left" w:pos="284"/>
                <w:tab w:val="left" w:pos="4111"/>
              </w:tabs>
              <w:spacing w:before="0" w:after="120" w:line="300" w:lineRule="exact"/>
              <w:ind w:left="284" w:hanging="227"/>
            </w:pPr>
          </w:p>
        </w:tc>
      </w:tr>
      <w:tr w:rsidR="00E32073" w:rsidTr="00D84854">
        <w:trPr>
          <w:cantSplit/>
          <w:jc w:val="center"/>
        </w:trPr>
        <w:tc>
          <w:tcPr>
            <w:tcW w:w="1533" w:type="dxa"/>
          </w:tcPr>
          <w:p w:rsidR="00E32073" w:rsidRDefault="00E32073" w:rsidP="00642F8E">
            <w:pPr>
              <w:spacing w:before="0" w:line="300" w:lineRule="exact"/>
              <w:ind w:left="57"/>
              <w:rPr>
                <w:sz w:val="21"/>
                <w:szCs w:val="28"/>
                <w:rtl/>
                <w:lang w:bidi="ar-SY"/>
              </w:rPr>
            </w:pPr>
          </w:p>
        </w:tc>
        <w:tc>
          <w:tcPr>
            <w:tcW w:w="3340" w:type="dxa"/>
          </w:tcPr>
          <w:p w:rsidR="00E32073" w:rsidRPr="00BE2B4B" w:rsidRDefault="00E32073" w:rsidP="00642F8E">
            <w:pPr>
              <w:tabs>
                <w:tab w:val="left" w:pos="4111"/>
              </w:tabs>
              <w:spacing w:before="0" w:line="300" w:lineRule="exact"/>
              <w:ind w:left="57"/>
              <w:jc w:val="left"/>
            </w:pPr>
          </w:p>
        </w:tc>
        <w:tc>
          <w:tcPr>
            <w:tcW w:w="4760" w:type="dxa"/>
          </w:tcPr>
          <w:p w:rsidR="00E32073" w:rsidRPr="00BE2B4B" w:rsidRDefault="00E32073" w:rsidP="00642F8E">
            <w:pPr>
              <w:tabs>
                <w:tab w:val="left" w:pos="284"/>
                <w:tab w:val="left" w:pos="4111"/>
              </w:tabs>
              <w:spacing w:before="0" w:line="300" w:lineRule="exact"/>
              <w:ind w:left="284" w:hanging="227"/>
              <w:rPr>
                <w:b/>
                <w:bCs/>
                <w:rtl/>
              </w:rPr>
            </w:pPr>
          </w:p>
        </w:tc>
      </w:tr>
      <w:tr w:rsidR="00E32073" w:rsidTr="00D84854">
        <w:trPr>
          <w:cantSplit/>
          <w:jc w:val="center"/>
        </w:trPr>
        <w:tc>
          <w:tcPr>
            <w:tcW w:w="1533" w:type="dxa"/>
          </w:tcPr>
          <w:p w:rsidR="00E32073" w:rsidRDefault="00E32073" w:rsidP="00561BA1">
            <w:pPr>
              <w:spacing w:before="20" w:after="60" w:line="300" w:lineRule="exact"/>
              <w:ind w:left="57"/>
              <w:rPr>
                <w:sz w:val="21"/>
                <w:szCs w:val="28"/>
              </w:rPr>
            </w:pPr>
            <w:r>
              <w:rPr>
                <w:rFonts w:hint="cs"/>
                <w:sz w:val="21"/>
                <w:szCs w:val="28"/>
                <w:rtl/>
                <w:lang w:bidi="ar-SY"/>
              </w:rPr>
              <w:t>الهاتف</w:t>
            </w:r>
            <w:r>
              <w:rPr>
                <w:rFonts w:hint="cs"/>
                <w:sz w:val="21"/>
                <w:szCs w:val="28"/>
                <w:rtl/>
              </w:rPr>
              <w:t>:</w:t>
            </w:r>
            <w:r w:rsidR="004E525D">
              <w:rPr>
                <w:sz w:val="21"/>
                <w:szCs w:val="28"/>
                <w:rtl/>
              </w:rPr>
              <w:br/>
            </w:r>
            <w:r>
              <w:rPr>
                <w:rFonts w:hint="cs"/>
                <w:sz w:val="21"/>
                <w:szCs w:val="28"/>
                <w:rtl/>
              </w:rPr>
              <w:t>الفاكس:</w:t>
            </w:r>
          </w:p>
          <w:p w:rsidR="00E32073" w:rsidRDefault="00E32073" w:rsidP="00561BA1">
            <w:pPr>
              <w:spacing w:before="20" w:after="60" w:line="300" w:lineRule="exact"/>
              <w:ind w:left="57"/>
              <w:jc w:val="left"/>
              <w:rPr>
                <w:sz w:val="21"/>
                <w:szCs w:val="28"/>
              </w:rPr>
            </w:pPr>
            <w:r>
              <w:rPr>
                <w:rFonts w:hint="cs"/>
                <w:sz w:val="21"/>
                <w:szCs w:val="28"/>
                <w:rtl/>
              </w:rPr>
              <w:t>البريد الإلكتروني:</w:t>
            </w:r>
          </w:p>
        </w:tc>
        <w:tc>
          <w:tcPr>
            <w:tcW w:w="3340" w:type="dxa"/>
          </w:tcPr>
          <w:p w:rsidR="00E32073" w:rsidRPr="00BE2B4B" w:rsidRDefault="005F4416" w:rsidP="00561BA1">
            <w:pPr>
              <w:tabs>
                <w:tab w:val="right" w:pos="1499"/>
                <w:tab w:val="left" w:pos="4111"/>
              </w:tabs>
              <w:spacing w:before="20" w:after="60" w:line="300" w:lineRule="exact"/>
              <w:ind w:left="57"/>
              <w:jc w:val="left"/>
              <w:rPr>
                <w:rtl/>
                <w:lang w:bidi="ar-EG"/>
              </w:rPr>
            </w:pPr>
            <w:r w:rsidRPr="00BE2B4B">
              <w:t>+41 22 730 5126</w:t>
            </w:r>
            <w:r w:rsidR="004E525D" w:rsidRPr="00BE2B4B">
              <w:rPr>
                <w:rFonts w:hint="cs"/>
                <w:rtl/>
                <w:lang w:bidi="ar-EG"/>
              </w:rPr>
              <w:br/>
            </w:r>
            <w:r w:rsidR="00E32073" w:rsidRPr="00BE2B4B">
              <w:t>+41 22 730 5853</w:t>
            </w:r>
          </w:p>
          <w:p w:rsidR="00E32073" w:rsidRPr="00BE2B4B" w:rsidRDefault="00DB4C5E" w:rsidP="00561BA1">
            <w:pPr>
              <w:tabs>
                <w:tab w:val="left" w:pos="4111"/>
              </w:tabs>
              <w:spacing w:before="20" w:after="60" w:line="300" w:lineRule="exact"/>
              <w:ind w:left="57"/>
              <w:jc w:val="left"/>
            </w:pPr>
            <w:hyperlink r:id="rId7" w:history="1">
              <w:r w:rsidR="00A54456" w:rsidRPr="00BE2B4B">
                <w:rPr>
                  <w:rStyle w:val="Hyperlink"/>
                </w:rPr>
                <w:t>tsbsg13@itu.int</w:t>
              </w:r>
            </w:hyperlink>
          </w:p>
        </w:tc>
        <w:tc>
          <w:tcPr>
            <w:tcW w:w="4760" w:type="dxa"/>
          </w:tcPr>
          <w:p w:rsidR="00E32073" w:rsidRPr="00BE2B4B" w:rsidRDefault="00E32073" w:rsidP="00561BA1">
            <w:pPr>
              <w:tabs>
                <w:tab w:val="left" w:pos="284"/>
                <w:tab w:val="left" w:pos="4111"/>
              </w:tabs>
              <w:spacing w:before="20" w:after="60" w:line="300" w:lineRule="exact"/>
              <w:ind w:left="284" w:hanging="227"/>
              <w:rPr>
                <w:b/>
                <w:bCs/>
                <w:rtl/>
              </w:rPr>
            </w:pPr>
            <w:r w:rsidRPr="00BE2B4B">
              <w:rPr>
                <w:rFonts w:hint="cs"/>
                <w:b/>
                <w:bCs/>
                <w:rtl/>
              </w:rPr>
              <w:t>نسخة إلى:</w:t>
            </w:r>
          </w:p>
          <w:p w:rsidR="00E32073" w:rsidRPr="00BE2B4B" w:rsidRDefault="00E32073" w:rsidP="00561BA1">
            <w:pPr>
              <w:tabs>
                <w:tab w:val="left" w:pos="284"/>
                <w:tab w:val="left" w:pos="4111"/>
              </w:tabs>
              <w:spacing w:before="0" w:line="300" w:lineRule="exact"/>
              <w:ind w:left="284" w:hanging="227"/>
              <w:rPr>
                <w:rtl/>
              </w:rPr>
            </w:pPr>
            <w:r w:rsidRPr="00BE2B4B">
              <w:rPr>
                <w:rFonts w:hint="cs"/>
                <w:rtl/>
              </w:rPr>
              <w:t>-</w:t>
            </w:r>
            <w:r w:rsidRPr="00BE2B4B">
              <w:rPr>
                <w:rtl/>
              </w:rPr>
              <w:tab/>
            </w:r>
            <w:r w:rsidRPr="00BE2B4B">
              <w:rPr>
                <w:rFonts w:hint="cs"/>
                <w:rtl/>
              </w:rPr>
              <w:t>أعضاء قطاع تقييس الاتصالات؛</w:t>
            </w:r>
          </w:p>
          <w:p w:rsidR="00E32073" w:rsidRPr="00BE2B4B" w:rsidRDefault="00E32073" w:rsidP="00561BA1">
            <w:pPr>
              <w:tabs>
                <w:tab w:val="left" w:pos="284"/>
                <w:tab w:val="left" w:pos="4111"/>
              </w:tabs>
              <w:spacing w:before="0" w:line="300" w:lineRule="exact"/>
              <w:ind w:left="284" w:hanging="227"/>
              <w:rPr>
                <w:rtl/>
                <w:lang w:bidi="ar-EG"/>
              </w:rPr>
            </w:pPr>
            <w:r w:rsidRPr="00BE2B4B">
              <w:rPr>
                <w:rFonts w:hint="cs"/>
                <w:rtl/>
              </w:rPr>
              <w:t>-</w:t>
            </w:r>
            <w:r w:rsidRPr="00BE2B4B">
              <w:rPr>
                <w:rtl/>
              </w:rPr>
              <w:tab/>
              <w:t xml:space="preserve">المنتسبين </w:t>
            </w:r>
            <w:r w:rsidRPr="00BE2B4B">
              <w:rPr>
                <w:rFonts w:hint="cs"/>
                <w:rtl/>
              </w:rPr>
              <w:t>إلى</w:t>
            </w:r>
            <w:r w:rsidRPr="00BE2B4B">
              <w:rPr>
                <w:rtl/>
              </w:rPr>
              <w:t xml:space="preserve"> قطاع تقييس الاتصالات</w:t>
            </w:r>
            <w:r w:rsidRPr="00BE2B4B">
              <w:rPr>
                <w:rFonts w:hint="cs"/>
                <w:rtl/>
              </w:rPr>
              <w:t>؛</w:t>
            </w:r>
          </w:p>
          <w:p w:rsidR="00E32073" w:rsidRPr="00BE2B4B" w:rsidRDefault="00E32073" w:rsidP="00561BA1">
            <w:pPr>
              <w:tabs>
                <w:tab w:val="left" w:pos="284"/>
                <w:tab w:val="left" w:pos="4111"/>
              </w:tabs>
              <w:spacing w:before="0" w:line="300" w:lineRule="exact"/>
              <w:ind w:left="284" w:hanging="227"/>
              <w:rPr>
                <w:rtl/>
              </w:rPr>
            </w:pPr>
            <w:r w:rsidRPr="00BE2B4B">
              <w:rPr>
                <w:rFonts w:hint="cs"/>
                <w:rtl/>
              </w:rPr>
              <w:t>-</w:t>
            </w:r>
            <w:r w:rsidRPr="00BE2B4B">
              <w:rPr>
                <w:rtl/>
              </w:rPr>
              <w:tab/>
            </w:r>
            <w:r w:rsidRPr="00BE2B4B">
              <w:rPr>
                <w:rFonts w:hint="cs"/>
                <w:rtl/>
              </w:rPr>
              <w:t xml:space="preserve">رئيس لجنة الدراسات </w:t>
            </w:r>
            <w:r w:rsidR="00106D13" w:rsidRPr="00BE2B4B">
              <w:t>13</w:t>
            </w:r>
            <w:r w:rsidRPr="00BE2B4B">
              <w:rPr>
                <w:rFonts w:hint="cs"/>
                <w:rtl/>
              </w:rPr>
              <w:t xml:space="preserve"> ونوابه؛</w:t>
            </w:r>
          </w:p>
          <w:p w:rsidR="00E32073" w:rsidRPr="00BE2B4B" w:rsidRDefault="00E32073" w:rsidP="00561BA1">
            <w:pPr>
              <w:tabs>
                <w:tab w:val="left" w:pos="284"/>
                <w:tab w:val="left" w:pos="4111"/>
              </w:tabs>
              <w:spacing w:before="0" w:line="300" w:lineRule="exact"/>
              <w:ind w:left="284" w:hanging="227"/>
              <w:rPr>
                <w:rtl/>
              </w:rPr>
            </w:pPr>
            <w:r w:rsidRPr="00BE2B4B">
              <w:rPr>
                <w:rFonts w:hint="cs"/>
                <w:rtl/>
              </w:rPr>
              <w:t>-</w:t>
            </w:r>
            <w:r w:rsidRPr="00BE2B4B">
              <w:rPr>
                <w:rtl/>
              </w:rPr>
              <w:tab/>
              <w:t>مدير مكتب تنمية الاتصالات</w:t>
            </w:r>
            <w:r w:rsidRPr="00BE2B4B">
              <w:rPr>
                <w:rFonts w:hint="cs"/>
                <w:rtl/>
              </w:rPr>
              <w:t>؛</w:t>
            </w:r>
          </w:p>
          <w:p w:rsidR="00E32073" w:rsidRPr="00BE2B4B" w:rsidRDefault="00E32073" w:rsidP="00561BA1">
            <w:pPr>
              <w:tabs>
                <w:tab w:val="left" w:pos="284"/>
                <w:tab w:val="left" w:pos="4111"/>
              </w:tabs>
              <w:spacing w:before="0" w:after="60" w:line="300" w:lineRule="exact"/>
              <w:ind w:left="284" w:hanging="227"/>
              <w:rPr>
                <w:rtl/>
              </w:rPr>
            </w:pPr>
            <w:r w:rsidRPr="00BE2B4B">
              <w:rPr>
                <w:rFonts w:hint="cs"/>
                <w:rtl/>
              </w:rPr>
              <w:t>-</w:t>
            </w:r>
            <w:r w:rsidRPr="00BE2B4B">
              <w:rPr>
                <w:rtl/>
              </w:rPr>
              <w:tab/>
              <w:t>مدير مكتب الاتصالات الراديوية</w:t>
            </w:r>
          </w:p>
        </w:tc>
      </w:tr>
    </w:tbl>
    <w:p w:rsidR="00064EC5" w:rsidRPr="00A54456" w:rsidRDefault="009F4B09" w:rsidP="00A54456">
      <w:pPr>
        <w:spacing w:before="240"/>
        <w:ind w:left="924" w:hanging="924"/>
        <w:rPr>
          <w:b/>
          <w:bCs/>
          <w:rtl/>
          <w:lang w:bidi="ar-EG"/>
        </w:rPr>
      </w:pPr>
      <w:bookmarkStart w:id="0" w:name="dtemplate"/>
      <w:bookmarkEnd w:id="0"/>
      <w:r w:rsidRPr="005F33FD">
        <w:rPr>
          <w:rFonts w:hint="cs"/>
          <w:rtl/>
        </w:rPr>
        <w:t>الموضوع:</w:t>
      </w:r>
      <w:r w:rsidRPr="005F33FD">
        <w:rPr>
          <w:rtl/>
        </w:rPr>
        <w:tab/>
      </w:r>
      <w:r w:rsidR="00A54456">
        <w:rPr>
          <w:rFonts w:hint="cs"/>
          <w:b/>
          <w:bCs/>
          <w:rtl/>
          <w:lang w:bidi="ar-EG"/>
        </w:rPr>
        <w:t>الموافقة على دمج</w:t>
      </w:r>
      <w:r w:rsidR="00E32073">
        <w:rPr>
          <w:b/>
          <w:bCs/>
          <w:lang w:bidi="ar-EG"/>
        </w:rPr>
        <w:t xml:space="preserve"> </w:t>
      </w:r>
      <w:r w:rsidR="00A54456">
        <w:rPr>
          <w:rFonts w:hint="cs"/>
          <w:b/>
          <w:bCs/>
          <w:rtl/>
          <w:lang w:bidi="ar-EG"/>
        </w:rPr>
        <w:t xml:space="preserve">المسألتين الحاليتين </w:t>
      </w:r>
      <w:r w:rsidR="00A54456">
        <w:rPr>
          <w:b/>
          <w:bCs/>
          <w:lang w:bidi="ar-EG"/>
        </w:rPr>
        <w:t>8/13</w:t>
      </w:r>
      <w:r w:rsidR="00A54456">
        <w:rPr>
          <w:rFonts w:hint="cs"/>
          <w:b/>
          <w:bCs/>
          <w:rtl/>
          <w:lang w:bidi="ar-EG"/>
        </w:rPr>
        <w:t xml:space="preserve"> و</w:t>
      </w:r>
      <w:r w:rsidR="00A54456">
        <w:rPr>
          <w:b/>
          <w:bCs/>
          <w:lang w:bidi="ar-EG"/>
        </w:rPr>
        <w:t>11/13</w:t>
      </w:r>
      <w:r w:rsidR="00A54456">
        <w:rPr>
          <w:rFonts w:hint="cs"/>
          <w:b/>
          <w:bCs/>
          <w:rtl/>
          <w:lang w:bidi="ar-EG"/>
        </w:rPr>
        <w:t xml:space="preserve"> في المسألة الجديدة </w:t>
      </w:r>
      <w:r w:rsidR="00A54456">
        <w:rPr>
          <w:b/>
          <w:bCs/>
          <w:lang w:bidi="ar-EG"/>
        </w:rPr>
        <w:t>22/13</w:t>
      </w:r>
    </w:p>
    <w:p w:rsidR="009F4B09" w:rsidRPr="005F33FD" w:rsidRDefault="009F4B09" w:rsidP="00BA379F">
      <w:pPr>
        <w:spacing w:before="480"/>
        <w:rPr>
          <w:rtl/>
        </w:rPr>
      </w:pPr>
      <w:r w:rsidRPr="005F33FD">
        <w:rPr>
          <w:rFonts w:hint="cs"/>
          <w:rtl/>
        </w:rPr>
        <w:t xml:space="preserve">حضرات </w:t>
      </w:r>
      <w:r w:rsidR="005D488B">
        <w:rPr>
          <w:rFonts w:hint="cs"/>
          <w:rtl/>
        </w:rPr>
        <w:t>السادة</w:t>
      </w:r>
      <w:r w:rsidR="0010144A" w:rsidRPr="0010144A">
        <w:rPr>
          <w:rFonts w:hint="cs"/>
          <w:rtl/>
        </w:rPr>
        <w:t xml:space="preserve"> </w:t>
      </w:r>
      <w:r w:rsidR="005D488B">
        <w:rPr>
          <w:rFonts w:hint="cs"/>
          <w:rtl/>
        </w:rPr>
        <w:t>والسيدات</w:t>
      </w:r>
      <w:r w:rsidRPr="005F33FD">
        <w:rPr>
          <w:rFonts w:hint="cs"/>
          <w:rtl/>
        </w:rPr>
        <w:t>،</w:t>
      </w:r>
    </w:p>
    <w:p w:rsidR="009F4B09" w:rsidRPr="005F33FD" w:rsidRDefault="00FA6851" w:rsidP="00A655AC">
      <w:pPr>
        <w:rPr>
          <w:rtl/>
          <w:lang w:bidi="ar-EG"/>
        </w:rPr>
      </w:pPr>
      <w:r>
        <w:rPr>
          <w:rFonts w:hint="cs"/>
          <w:rtl/>
        </w:rPr>
        <w:t>تحية طيبة وبعد،</w:t>
      </w:r>
    </w:p>
    <w:p w:rsidR="009F4B09" w:rsidRPr="00586F78" w:rsidRDefault="009F4B09" w:rsidP="004E525D">
      <w:pPr>
        <w:rPr>
          <w:rtl/>
        </w:rPr>
      </w:pPr>
      <w:r w:rsidRPr="00586F78">
        <w:lastRenderedPageBreak/>
        <w:t>1</w:t>
      </w:r>
      <w:r w:rsidR="00A26EA0" w:rsidRPr="00586F78">
        <w:tab/>
      </w:r>
      <w:r w:rsidR="00E32073" w:rsidRPr="00586F78">
        <w:rPr>
          <w:rFonts w:hint="cs"/>
          <w:rtl/>
          <w:lang w:bidi="ar-EG"/>
        </w:rPr>
        <w:t xml:space="preserve">بناءً على طلب رئيس لجنة الدراسات </w:t>
      </w:r>
      <w:r w:rsidR="00E16E54">
        <w:rPr>
          <w:lang w:bidi="ar-EG"/>
        </w:rPr>
        <w:t>13</w:t>
      </w:r>
      <w:r w:rsidR="00E16E54">
        <w:rPr>
          <w:rFonts w:hint="cs"/>
          <w:rtl/>
          <w:lang w:bidi="ar-EG"/>
        </w:rPr>
        <w:t>،</w:t>
      </w:r>
      <w:r w:rsidR="00E529E7">
        <w:rPr>
          <w:rFonts w:hint="cs"/>
          <w:rtl/>
          <w:lang w:bidi="ar-EG"/>
        </w:rPr>
        <w:t xml:space="preserve"> </w:t>
      </w:r>
      <w:r w:rsidR="00E16E54">
        <w:rPr>
          <w:rFonts w:hint="cs"/>
          <w:sz w:val="21"/>
          <w:szCs w:val="28"/>
          <w:rtl/>
          <w:lang w:bidi="ar-EG"/>
        </w:rPr>
        <w:t>المعنية بشبكات المستقبل</w:t>
      </w:r>
      <w:r w:rsidR="00E16E54" w:rsidRPr="00650AEA">
        <w:rPr>
          <w:noProof/>
          <w:sz w:val="24"/>
          <w:szCs w:val="32"/>
          <w:rtl/>
          <w:lang w:bidi="ar-EG"/>
        </w:rPr>
        <w:t xml:space="preserve"> بما في ذلك الشبكات المتنقلة وشبكات الجيل التالي</w:t>
      </w:r>
      <w:r w:rsidR="00E32073" w:rsidRPr="00586F78">
        <w:rPr>
          <w:rFonts w:hint="cs"/>
          <w:rtl/>
          <w:lang w:bidi="ar-EG"/>
        </w:rPr>
        <w:t xml:space="preserve">، أتشرف بإبلاغكم بأن الدول الأعضاء وأعضاء القطاع الحاضرين في الاجتماع الأخير للجنة الدراسات، الذي عقد في جنيف في الفترة من </w:t>
      </w:r>
      <w:r w:rsidR="00625408">
        <w:rPr>
          <w:lang w:bidi="ar-EG"/>
        </w:rPr>
        <w:t>19</w:t>
      </w:r>
      <w:r w:rsidR="00E32073" w:rsidRPr="00586F78">
        <w:rPr>
          <w:rFonts w:hint="cs"/>
          <w:rtl/>
          <w:lang w:bidi="ar-EG"/>
        </w:rPr>
        <w:t xml:space="preserve"> إلى </w:t>
      </w:r>
      <w:r w:rsidR="00625408">
        <w:rPr>
          <w:lang w:bidi="ar-EG"/>
        </w:rPr>
        <w:t>30</w:t>
      </w:r>
      <w:r w:rsidR="00625408">
        <w:rPr>
          <w:rFonts w:hint="cs"/>
          <w:rtl/>
          <w:lang w:bidi="ar-EG"/>
        </w:rPr>
        <w:t xml:space="preserve"> أبريل </w:t>
      </w:r>
      <w:r w:rsidR="00625408">
        <w:rPr>
          <w:lang w:bidi="ar-EG"/>
        </w:rPr>
        <w:t>2010</w:t>
      </w:r>
      <w:r w:rsidR="00E32073" w:rsidRPr="00586F78">
        <w:rPr>
          <w:rFonts w:hint="cs"/>
          <w:rtl/>
          <w:lang w:bidi="ar-EG"/>
        </w:rPr>
        <w:t xml:space="preserve"> اتفقوا، بتوافق الآراء، وفقاً للإجراء المبين في الفقرة </w:t>
      </w:r>
      <w:r w:rsidR="00E32073" w:rsidRPr="00586F78">
        <w:rPr>
          <w:lang w:bidi="ar-EG"/>
        </w:rPr>
        <w:t>2.2.7</w:t>
      </w:r>
      <w:r w:rsidR="00E32073" w:rsidRPr="00586F78">
        <w:rPr>
          <w:rFonts w:hint="cs"/>
          <w:rtl/>
          <w:lang w:bidi="ar-EG"/>
        </w:rPr>
        <w:t xml:space="preserve"> من القسم </w:t>
      </w:r>
      <w:r w:rsidR="00E32073" w:rsidRPr="00586F78">
        <w:rPr>
          <w:lang w:bidi="ar-EG"/>
        </w:rPr>
        <w:t>7</w:t>
      </w:r>
      <w:r w:rsidR="00E32073" w:rsidRPr="00586F78">
        <w:rPr>
          <w:rFonts w:hint="cs"/>
          <w:rtl/>
          <w:lang w:bidi="ar-EG"/>
        </w:rPr>
        <w:t xml:space="preserve"> من القرار</w:t>
      </w:r>
      <w:r w:rsidR="004E525D">
        <w:rPr>
          <w:rFonts w:hint="eastAsia"/>
          <w:rtl/>
          <w:lang w:bidi="ar-EG"/>
        </w:rPr>
        <w:t> </w:t>
      </w:r>
      <w:r w:rsidR="00E32073" w:rsidRPr="00586F78">
        <w:rPr>
          <w:lang w:bidi="ar-EG"/>
        </w:rPr>
        <w:t>1</w:t>
      </w:r>
      <w:r w:rsidR="00E32073" w:rsidRPr="00586F78">
        <w:rPr>
          <w:rFonts w:hint="cs"/>
          <w:rtl/>
          <w:lang w:bidi="ar-EG"/>
        </w:rPr>
        <w:t xml:space="preserve"> للجمعية العالمية لتقييس الاتصالات (</w:t>
      </w:r>
      <w:r w:rsidR="00E529E7">
        <w:rPr>
          <w:rFonts w:hint="cs"/>
          <w:rtl/>
        </w:rPr>
        <w:t xml:space="preserve">جوهانسبرغ، </w:t>
      </w:r>
      <w:r w:rsidR="00E529E7">
        <w:t>2008</w:t>
      </w:r>
      <w:r w:rsidR="00E32073" w:rsidRPr="00586F78">
        <w:rPr>
          <w:rFonts w:hint="cs"/>
          <w:rtl/>
        </w:rPr>
        <w:t xml:space="preserve">)، على </w:t>
      </w:r>
      <w:r w:rsidR="00683D30">
        <w:rPr>
          <w:rFonts w:hint="cs"/>
          <w:rtl/>
        </w:rPr>
        <w:t>الموافقة على:</w:t>
      </w:r>
    </w:p>
    <w:p w:rsidR="00E32073" w:rsidRDefault="00683D30" w:rsidP="00683D30">
      <w:pPr>
        <w:rPr>
          <w:rtl/>
          <w:lang w:bidi="ar-EG"/>
        </w:rPr>
      </w:pPr>
      <w:r>
        <w:rPr>
          <w:spacing w:val="-4"/>
        </w:rPr>
        <w:t>1.1</w:t>
      </w:r>
      <w:r>
        <w:rPr>
          <w:rFonts w:hint="cs"/>
          <w:spacing w:val="-4"/>
          <w:rtl/>
          <w:lang w:bidi="ar-EG"/>
        </w:rPr>
        <w:tab/>
        <w:t xml:space="preserve">دمج المسألة </w:t>
      </w:r>
      <w:r>
        <w:rPr>
          <w:lang w:bidi="ar-EG"/>
        </w:rPr>
        <w:t>8/13</w:t>
      </w:r>
      <w:r>
        <w:rPr>
          <w:rFonts w:hint="cs"/>
          <w:rtl/>
          <w:lang w:bidi="ar-EG"/>
        </w:rPr>
        <w:t xml:space="preserve"> "</w:t>
      </w:r>
      <w:r w:rsidRPr="00683D30">
        <w:rPr>
          <w:rFonts w:hint="cs"/>
          <w:rtl/>
          <w:lang w:bidi="ar-EG"/>
        </w:rPr>
        <w:t>إدارة التنقلية</w:t>
      </w:r>
      <w:r>
        <w:rPr>
          <w:rFonts w:hint="cs"/>
          <w:rtl/>
          <w:lang w:bidi="ar-EG"/>
        </w:rPr>
        <w:t xml:space="preserve">" والمسألة </w:t>
      </w:r>
      <w:r>
        <w:rPr>
          <w:lang w:bidi="ar-EG"/>
        </w:rPr>
        <w:t>11/13</w:t>
      </w:r>
      <w:r>
        <w:rPr>
          <w:rFonts w:hint="cs"/>
          <w:rtl/>
          <w:lang w:bidi="ar-EG"/>
        </w:rPr>
        <w:t xml:space="preserve"> "</w:t>
      </w:r>
      <w:r w:rsidRPr="00683D30">
        <w:rPr>
          <w:rFonts w:eastAsia="SimSun"/>
          <w:noProof/>
          <w:rtl/>
          <w:lang w:bidi="ar-EG"/>
        </w:rPr>
        <w:t xml:space="preserve">التقارب بين شبكات الاتصالات المتنقلة الدولية </w:t>
      </w:r>
      <w:r w:rsidRPr="00683D30">
        <w:rPr>
          <w:rFonts w:eastAsia="SimSun"/>
          <w:noProof/>
          <w:lang w:bidi="ar-EG"/>
        </w:rPr>
        <w:t>(IMT)</w:t>
      </w:r>
      <w:r w:rsidRPr="00683D30">
        <w:rPr>
          <w:rFonts w:eastAsia="SimSun"/>
          <w:noProof/>
          <w:rtl/>
          <w:lang w:bidi="ar-EG"/>
        </w:rPr>
        <w:t xml:space="preserve"> الراهنة والمتطورة والشبكات الثابتة</w:t>
      </w:r>
      <w:r>
        <w:rPr>
          <w:rFonts w:hint="cs"/>
          <w:rtl/>
          <w:lang w:bidi="ar-EG"/>
        </w:rPr>
        <w:t xml:space="preserve">" في المسألة </w:t>
      </w:r>
      <w:r>
        <w:rPr>
          <w:lang w:bidi="ar-EG"/>
        </w:rPr>
        <w:t>22/13</w:t>
      </w:r>
    </w:p>
    <w:p w:rsidR="00BC4F39" w:rsidRDefault="00BC4F39" w:rsidP="00BC4F39">
      <w:pPr>
        <w:rPr>
          <w:rtl/>
          <w:lang w:bidi="ar-EG"/>
        </w:rPr>
      </w:pPr>
      <w:r>
        <w:rPr>
          <w:rFonts w:hint="cs"/>
          <w:rtl/>
          <w:lang w:bidi="ar-EG"/>
        </w:rPr>
        <w:tab/>
        <w:t xml:space="preserve">عنوان المسألة الجديدة </w:t>
      </w:r>
      <w:r>
        <w:rPr>
          <w:lang w:bidi="ar-EG"/>
        </w:rPr>
        <w:t>22/13</w:t>
      </w:r>
      <w:r>
        <w:rPr>
          <w:rFonts w:hint="cs"/>
          <w:rtl/>
          <w:lang w:bidi="ar-EG"/>
        </w:rPr>
        <w:t xml:space="preserve">: </w:t>
      </w:r>
      <w:r w:rsidR="00ED743A">
        <w:rPr>
          <w:rFonts w:hint="cs"/>
          <w:rtl/>
          <w:lang w:bidi="ar-EG"/>
        </w:rPr>
        <w:t>"إدارة التنقلية و</w:t>
      </w:r>
      <w:r w:rsidR="00D74C42">
        <w:rPr>
          <w:rFonts w:hint="cs"/>
          <w:rtl/>
          <w:lang w:bidi="ar-EG"/>
        </w:rPr>
        <w:t>ال</w:t>
      </w:r>
      <w:r w:rsidR="00ED743A">
        <w:rPr>
          <w:rFonts w:hint="cs"/>
          <w:rtl/>
          <w:lang w:bidi="ar-EG"/>
        </w:rPr>
        <w:t>تقارب</w:t>
      </w:r>
      <w:r w:rsidR="00D74C42">
        <w:rPr>
          <w:rFonts w:hint="cs"/>
          <w:rtl/>
          <w:lang w:bidi="ar-EG"/>
        </w:rPr>
        <w:t xml:space="preserve"> بين</w:t>
      </w:r>
      <w:r w:rsidR="00ED743A">
        <w:rPr>
          <w:rFonts w:hint="cs"/>
          <w:rtl/>
          <w:lang w:bidi="ar-EG"/>
        </w:rPr>
        <w:t xml:space="preserve"> الشبكات الثابتة والمتنقلة"</w:t>
      </w:r>
    </w:p>
    <w:p w:rsidR="00ED743A" w:rsidRPr="00970986" w:rsidRDefault="00ED743A" w:rsidP="00561BA1">
      <w:pPr>
        <w:rPr>
          <w:spacing w:val="-4"/>
          <w:rtl/>
          <w:lang w:bidi="ar-EG"/>
        </w:rPr>
      </w:pPr>
      <w:r>
        <w:rPr>
          <w:rFonts w:hint="cs"/>
          <w:rtl/>
          <w:lang w:bidi="ar-EG"/>
        </w:rPr>
        <w:tab/>
      </w:r>
      <w:r w:rsidR="00561BA1">
        <w:rPr>
          <w:rFonts w:hint="cs"/>
          <w:rtl/>
          <w:lang w:bidi="ar-EG"/>
        </w:rPr>
        <w:t xml:space="preserve">يرد </w:t>
      </w:r>
      <w:r w:rsidR="00970986">
        <w:rPr>
          <w:rFonts w:hint="cs"/>
          <w:spacing w:val="-4"/>
          <w:rtl/>
          <w:lang w:bidi="ar-EG"/>
        </w:rPr>
        <w:t xml:space="preserve">نص المسألة </w:t>
      </w:r>
      <w:r w:rsidR="00970986">
        <w:rPr>
          <w:spacing w:val="-4"/>
          <w:lang w:bidi="ar-EG"/>
        </w:rPr>
        <w:t>22/13</w:t>
      </w:r>
      <w:r w:rsidR="00970986">
        <w:rPr>
          <w:rFonts w:hint="cs"/>
          <w:spacing w:val="-4"/>
          <w:rtl/>
          <w:lang w:bidi="ar-EG"/>
        </w:rPr>
        <w:t xml:space="preserve"> في </w:t>
      </w:r>
      <w:r w:rsidR="00970986" w:rsidRPr="00166F8B">
        <w:rPr>
          <w:rFonts w:hint="cs"/>
          <w:b/>
          <w:bCs/>
          <w:spacing w:val="-4"/>
          <w:rtl/>
          <w:lang w:bidi="ar-EG"/>
        </w:rPr>
        <w:t xml:space="preserve">الملحق </w:t>
      </w:r>
      <w:r w:rsidR="00970986" w:rsidRPr="00166F8B">
        <w:rPr>
          <w:b/>
          <w:bCs/>
          <w:spacing w:val="-4"/>
          <w:lang w:bidi="ar-EG"/>
        </w:rPr>
        <w:t>1</w:t>
      </w:r>
      <w:r w:rsidR="00970986">
        <w:rPr>
          <w:rFonts w:hint="cs"/>
          <w:spacing w:val="-4"/>
          <w:rtl/>
          <w:lang w:bidi="ar-EG"/>
        </w:rPr>
        <w:t xml:space="preserve"> بهذه الرسالة المعممة. وتلخص </w:t>
      </w:r>
      <w:r w:rsidR="00970986" w:rsidRPr="00166F8B">
        <w:rPr>
          <w:rFonts w:hint="cs"/>
          <w:b/>
          <w:bCs/>
          <w:spacing w:val="-4"/>
          <w:rtl/>
          <w:lang w:bidi="ar-EG"/>
        </w:rPr>
        <w:t>الملاحظة</w:t>
      </w:r>
      <w:r w:rsidR="00970986">
        <w:rPr>
          <w:rFonts w:hint="cs"/>
          <w:spacing w:val="-4"/>
          <w:rtl/>
          <w:lang w:bidi="ar-EG"/>
        </w:rPr>
        <w:t xml:space="preserve"> المرفقة في الملحق </w:t>
      </w:r>
      <w:r w:rsidR="00970986">
        <w:rPr>
          <w:spacing w:val="-4"/>
          <w:lang w:bidi="ar-EG"/>
        </w:rPr>
        <w:t>1</w:t>
      </w:r>
      <w:r w:rsidR="00970986">
        <w:rPr>
          <w:rFonts w:hint="cs"/>
          <w:spacing w:val="-4"/>
          <w:rtl/>
          <w:lang w:bidi="ar-EG"/>
        </w:rPr>
        <w:t xml:space="preserve"> أسباب التعديل.</w:t>
      </w:r>
    </w:p>
    <w:p w:rsidR="00642F8E" w:rsidRPr="004F0C1A" w:rsidRDefault="004067A6" w:rsidP="004F0C1A">
      <w:pPr>
        <w:rPr>
          <w:b/>
          <w:bCs/>
          <w:rtl/>
          <w:lang w:bidi="ar-EG"/>
        </w:rPr>
      </w:pPr>
      <w:r>
        <w:rPr>
          <w:lang w:bidi="ar-EG"/>
        </w:rPr>
        <w:t>2</w:t>
      </w:r>
      <w:r w:rsidR="00A26EA0">
        <w:rPr>
          <w:rFonts w:hint="cs"/>
          <w:rtl/>
          <w:lang w:bidi="ar-EG"/>
        </w:rPr>
        <w:tab/>
      </w:r>
      <w:r w:rsidR="00642F8E" w:rsidRPr="00642F8E">
        <w:rPr>
          <w:rFonts w:hint="cs"/>
          <w:b/>
          <w:bCs/>
          <w:rtl/>
          <w:lang w:bidi="ar-EG"/>
        </w:rPr>
        <w:t>ومن ثم</w:t>
      </w:r>
      <w:r w:rsidR="00264241">
        <w:rPr>
          <w:rFonts w:hint="cs"/>
          <w:b/>
          <w:bCs/>
          <w:rtl/>
          <w:lang w:bidi="ar-EG"/>
        </w:rPr>
        <w:t>َّ</w:t>
      </w:r>
      <w:r w:rsidR="00642F8E" w:rsidRPr="00642F8E">
        <w:rPr>
          <w:rFonts w:hint="cs"/>
          <w:b/>
          <w:bCs/>
          <w:rtl/>
          <w:lang w:bidi="ar-EG"/>
        </w:rPr>
        <w:t xml:space="preserve">، </w:t>
      </w:r>
      <w:r w:rsidR="00E529E7">
        <w:rPr>
          <w:rFonts w:hint="cs"/>
          <w:b/>
          <w:bCs/>
          <w:rtl/>
          <w:lang w:bidi="ar-EG"/>
        </w:rPr>
        <w:t xml:space="preserve">تمت الموافقة على المسألة </w:t>
      </w:r>
      <w:r w:rsidR="004F0C1A">
        <w:rPr>
          <w:b/>
          <w:bCs/>
          <w:lang w:bidi="ar-EG"/>
        </w:rPr>
        <w:t>22/13</w:t>
      </w:r>
      <w:r w:rsidR="004F0C1A">
        <w:rPr>
          <w:rFonts w:hint="cs"/>
          <w:b/>
          <w:bCs/>
          <w:rtl/>
          <w:lang w:bidi="ar-EG"/>
        </w:rPr>
        <w:t>.</w:t>
      </w:r>
    </w:p>
    <w:p w:rsidR="00642F8E" w:rsidRPr="00E529E7" w:rsidRDefault="00642F8E" w:rsidP="00E82216">
      <w:pPr>
        <w:rPr>
          <w:spacing w:val="-2"/>
          <w:rtl/>
          <w:lang w:bidi="ar-EG"/>
        </w:rPr>
      </w:pPr>
      <w:r w:rsidRPr="00E529E7">
        <w:rPr>
          <w:spacing w:val="-2"/>
          <w:lang w:bidi="ar-EG"/>
        </w:rPr>
        <w:t>3</w:t>
      </w:r>
      <w:r w:rsidRPr="00E529E7">
        <w:rPr>
          <w:rFonts w:hint="cs"/>
          <w:spacing w:val="-2"/>
          <w:rtl/>
          <w:lang w:bidi="ar-EG"/>
        </w:rPr>
        <w:tab/>
        <w:t xml:space="preserve">ومن المفترض أن تخضع التوصيات الناجمة عن ذلك لعملية الموافقة البديلة </w:t>
      </w:r>
      <w:r w:rsidRPr="00E529E7">
        <w:rPr>
          <w:spacing w:val="-2"/>
          <w:lang w:bidi="ar-EG"/>
        </w:rPr>
        <w:t>(AAP)</w:t>
      </w:r>
      <w:r w:rsidRPr="00E529E7">
        <w:rPr>
          <w:rFonts w:hint="cs"/>
          <w:spacing w:val="-2"/>
          <w:rtl/>
          <w:lang w:bidi="ar-EG"/>
        </w:rPr>
        <w:t>.</w:t>
      </w:r>
    </w:p>
    <w:p w:rsidR="009F4B09" w:rsidRPr="005F33FD" w:rsidRDefault="007A66C2" w:rsidP="00FB1373">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8165EA" w:rsidRDefault="007A66C2" w:rsidP="00FB1373">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4E5FE0" w:rsidRDefault="00642F8E" w:rsidP="00795FF6">
      <w:pPr>
        <w:spacing w:before="360"/>
        <w:jc w:val="lowKashida"/>
        <w:rPr>
          <w:b/>
          <w:bCs/>
          <w:rtl/>
          <w:lang w:bidi="ar-EG"/>
        </w:rPr>
      </w:pPr>
      <w:r w:rsidRPr="00642F8E">
        <w:rPr>
          <w:rFonts w:hint="cs"/>
          <w:b/>
          <w:bCs/>
          <w:rtl/>
          <w:lang w:bidi="ar-EG"/>
        </w:rPr>
        <w:t xml:space="preserve">الملحقات: </w:t>
      </w:r>
      <w:r w:rsidR="00293F7E">
        <w:rPr>
          <w:b/>
          <w:bCs/>
          <w:lang w:bidi="ar-EG"/>
        </w:rPr>
        <w:t>1</w:t>
      </w:r>
    </w:p>
    <w:p w:rsidR="004E17FA" w:rsidRDefault="004E5FE0" w:rsidP="00561BA1">
      <w:pPr>
        <w:spacing w:before="0"/>
        <w:jc w:val="center"/>
        <w:rPr>
          <w:rtl/>
          <w:lang w:bidi="ar-EG"/>
        </w:rPr>
      </w:pPr>
      <w:r>
        <w:rPr>
          <w:b/>
          <w:bCs/>
          <w:rtl/>
          <w:lang w:bidi="ar-EG"/>
        </w:rPr>
        <w:br w:type="page"/>
      </w:r>
      <w:r w:rsidR="004E17FA" w:rsidRPr="00F53F36">
        <w:rPr>
          <w:rFonts w:hint="cs"/>
          <w:b/>
          <w:bCs/>
          <w:sz w:val="28"/>
          <w:szCs w:val="40"/>
          <w:rtl/>
          <w:lang w:bidi="ar-EG"/>
        </w:rPr>
        <w:lastRenderedPageBreak/>
        <w:t>الملح</w:t>
      </w:r>
      <w:r w:rsidR="00561BA1" w:rsidRPr="00F53F36">
        <w:rPr>
          <w:rFonts w:hint="cs"/>
          <w:b/>
          <w:bCs/>
          <w:sz w:val="28"/>
          <w:szCs w:val="40"/>
          <w:rtl/>
          <w:lang w:bidi="ar-EG"/>
        </w:rPr>
        <w:t>ـ</w:t>
      </w:r>
      <w:r w:rsidR="004E17FA" w:rsidRPr="00F53F36">
        <w:rPr>
          <w:rFonts w:hint="cs"/>
          <w:b/>
          <w:bCs/>
          <w:sz w:val="28"/>
          <w:szCs w:val="40"/>
          <w:rtl/>
          <w:lang w:bidi="ar-EG"/>
        </w:rPr>
        <w:t xml:space="preserve">ق </w:t>
      </w:r>
      <w:r w:rsidR="00561BA1" w:rsidRPr="00F53F36">
        <w:rPr>
          <w:b/>
          <w:bCs/>
          <w:sz w:val="28"/>
          <w:szCs w:val="40"/>
          <w:lang w:bidi="ar-EG"/>
        </w:rPr>
        <w:t>1</w:t>
      </w:r>
      <w:r w:rsidR="00561BA1" w:rsidRPr="00F53F36">
        <w:rPr>
          <w:b/>
          <w:bCs/>
          <w:sz w:val="28"/>
          <w:szCs w:val="40"/>
          <w:rtl/>
          <w:lang w:bidi="ar-EG"/>
        </w:rPr>
        <w:br/>
      </w:r>
      <w:r w:rsidR="004E17FA">
        <w:rPr>
          <w:rFonts w:hint="cs"/>
          <w:rtl/>
          <w:lang w:bidi="ar-EG"/>
        </w:rPr>
        <w:t xml:space="preserve">(بالرسالة </w:t>
      </w:r>
      <w:r w:rsidR="004E17FA">
        <w:rPr>
          <w:lang w:bidi="ar-EG"/>
        </w:rPr>
        <w:t>109</w:t>
      </w:r>
      <w:r w:rsidR="004E17FA">
        <w:rPr>
          <w:rFonts w:hint="cs"/>
          <w:rtl/>
          <w:lang w:bidi="ar-EG"/>
        </w:rPr>
        <w:t xml:space="preserve"> لمكتب تقييس الاتصالات)</w:t>
      </w:r>
    </w:p>
    <w:p w:rsidR="000B2286" w:rsidRPr="00C66A30" w:rsidRDefault="000B2286" w:rsidP="008A527C">
      <w:pPr>
        <w:pStyle w:val="Heading2"/>
        <w:spacing w:before="480"/>
        <w:rPr>
          <w:rFonts w:ascii="Times New Roman Bold" w:hAnsi="Times New Roman Bold" w:cs="Traditional Arabic"/>
          <w:i w:val="0"/>
          <w:iCs w:val="0"/>
          <w:noProof/>
          <w:sz w:val="24"/>
          <w:szCs w:val="32"/>
          <w:rtl/>
        </w:rPr>
      </w:pPr>
      <w:r w:rsidRPr="00C66A30">
        <w:rPr>
          <w:rFonts w:ascii="Times New Roman Bold" w:hAnsi="Times New Roman Bold" w:cs="Traditional Arabic"/>
          <w:i w:val="0"/>
          <w:iCs w:val="0"/>
          <w:noProof/>
          <w:sz w:val="24"/>
          <w:szCs w:val="32"/>
          <w:rtl/>
        </w:rPr>
        <w:t xml:space="preserve">المسألة </w:t>
      </w:r>
      <w:r w:rsidR="00561BA1">
        <w:rPr>
          <w:rFonts w:ascii="Times New Roman Bold" w:hAnsi="Times New Roman Bold" w:cs="Traditional Arabic"/>
          <w:i w:val="0"/>
          <w:iCs w:val="0"/>
          <w:noProof/>
          <w:sz w:val="24"/>
          <w:szCs w:val="32"/>
        </w:rPr>
        <w:t>22</w:t>
      </w:r>
      <w:r w:rsidRPr="00C66A30">
        <w:rPr>
          <w:rFonts w:ascii="Times New Roman Bold" w:hAnsi="Times New Roman Bold" w:cs="Traditional Arabic"/>
          <w:i w:val="0"/>
          <w:iCs w:val="0"/>
          <w:noProof/>
          <w:sz w:val="24"/>
          <w:szCs w:val="32"/>
        </w:rPr>
        <w:t>/13</w:t>
      </w:r>
      <w:r w:rsidRPr="00C66A30">
        <w:rPr>
          <w:rFonts w:ascii="Times New Roman Bold" w:hAnsi="Times New Roman Bold" w:cs="Traditional Arabic"/>
          <w:i w:val="0"/>
          <w:iCs w:val="0"/>
          <w:noProof/>
          <w:sz w:val="24"/>
          <w:szCs w:val="32"/>
          <w:rtl/>
        </w:rPr>
        <w:t xml:space="preserve"> - إدارة التنقلية</w:t>
      </w:r>
      <w:r w:rsidR="00103BD3">
        <w:rPr>
          <w:rFonts w:ascii="Times New Roman Bold" w:hAnsi="Times New Roman Bold" w:cs="Traditional Arabic" w:hint="cs"/>
          <w:i w:val="0"/>
          <w:iCs w:val="0"/>
          <w:noProof/>
          <w:sz w:val="24"/>
          <w:szCs w:val="32"/>
          <w:rtl/>
        </w:rPr>
        <w:t xml:space="preserve"> والتقارب بين الشبكات المتنقلة والثابتة</w:t>
      </w:r>
    </w:p>
    <w:p w:rsidR="000B2286" w:rsidRDefault="000B2286" w:rsidP="00561BA1">
      <w:pPr>
        <w:spacing w:before="0"/>
        <w:rPr>
          <w:noProof/>
          <w:rtl/>
          <w:lang w:bidi="ar-EG"/>
        </w:rPr>
      </w:pPr>
      <w:r>
        <w:rPr>
          <w:noProof/>
          <w:rtl/>
          <w:lang w:bidi="ar-EG"/>
        </w:rPr>
        <w:t>(</w:t>
      </w:r>
      <w:r w:rsidR="00C66A30">
        <w:rPr>
          <w:rFonts w:hint="cs"/>
          <w:noProof/>
          <w:rtl/>
          <w:lang w:bidi="ar-EG"/>
        </w:rPr>
        <w:t>دمج</w:t>
      </w:r>
      <w:r>
        <w:rPr>
          <w:noProof/>
          <w:rtl/>
          <w:lang w:bidi="ar-EG"/>
        </w:rPr>
        <w:t xml:space="preserve"> المسألتين </w:t>
      </w:r>
      <w:r w:rsidR="00C66A30">
        <w:rPr>
          <w:noProof/>
          <w:lang w:bidi="ar-EG"/>
        </w:rPr>
        <w:t>8</w:t>
      </w:r>
      <w:r>
        <w:rPr>
          <w:noProof/>
          <w:lang w:bidi="ar-EG"/>
        </w:rPr>
        <w:t>/13</w:t>
      </w:r>
      <w:r>
        <w:rPr>
          <w:noProof/>
          <w:rtl/>
          <w:lang w:bidi="ar-EG"/>
        </w:rPr>
        <w:t xml:space="preserve"> و</w:t>
      </w:r>
      <w:r w:rsidR="00C66A30">
        <w:rPr>
          <w:noProof/>
          <w:lang w:bidi="ar-EG"/>
        </w:rPr>
        <w:t>11</w:t>
      </w:r>
      <w:r>
        <w:rPr>
          <w:noProof/>
          <w:lang w:bidi="ar-EG"/>
        </w:rPr>
        <w:t>/1</w:t>
      </w:r>
      <w:r w:rsidR="00C66A30">
        <w:rPr>
          <w:noProof/>
          <w:lang w:bidi="ar-EG"/>
        </w:rPr>
        <w:t>3</w:t>
      </w:r>
      <w:r>
        <w:rPr>
          <w:noProof/>
          <w:rtl/>
          <w:lang w:bidi="ar-EG"/>
        </w:rPr>
        <w:t>)</w:t>
      </w:r>
    </w:p>
    <w:p w:rsidR="000B2286" w:rsidRPr="00C66A30" w:rsidRDefault="00C66A30" w:rsidP="00561BA1">
      <w:pPr>
        <w:pStyle w:val="Heading3"/>
        <w:spacing w:after="0"/>
        <w:rPr>
          <w:rFonts w:cs="Traditional Arabic"/>
          <w:noProof/>
          <w:szCs w:val="32"/>
          <w:rtl/>
          <w:lang w:bidi="ar-EG"/>
        </w:rPr>
      </w:pPr>
      <w:r w:rsidRPr="00C500F9">
        <w:rPr>
          <w:rFonts w:ascii="Times New Roman" w:hAnsi="Times New Roman"/>
          <w:noProof/>
          <w:szCs w:val="32"/>
        </w:rPr>
        <w:t>1</w:t>
      </w:r>
      <w:r w:rsidR="000B2286" w:rsidRPr="00C66A30">
        <w:rPr>
          <w:rFonts w:cs="Traditional Arabic"/>
          <w:noProof/>
          <w:szCs w:val="32"/>
          <w:rtl/>
        </w:rPr>
        <w:tab/>
        <w:t>الدوافع</w:t>
      </w:r>
    </w:p>
    <w:p w:rsidR="000B2286" w:rsidRDefault="000B2286" w:rsidP="00ED6747">
      <w:pPr>
        <w:rPr>
          <w:noProof/>
          <w:rtl/>
          <w:lang w:bidi="ar-EG"/>
        </w:rPr>
      </w:pPr>
      <w:r>
        <w:rPr>
          <w:noProof/>
          <w:rtl/>
          <w:lang w:bidi="ar-EG"/>
        </w:rPr>
        <w:t xml:space="preserve">في إطار التحرك صوب الانتقال النهائي إلى معمارية للشبكات المتوافقة والقابلة للتشغيل البيني، هناك اشتراط من جانب أوساط صناعة الاتصالات بتوفير خدمة التجوال العالمي والتنقلية السلسة لمستعملي مختلف تكنولوجيات النفاذ و/أو مختلف المشغلين بحيث يمكنهم التمتع بخدمات متصلة مع التنقل في الوقت ذاته داخل الشبكات أو عبرها. ويقوم العمل المتعلق بإدارة التنقلية </w:t>
      </w:r>
      <w:r w:rsidR="009C5E27">
        <w:rPr>
          <w:rFonts w:hint="cs"/>
          <w:noProof/>
          <w:rtl/>
          <w:lang w:bidi="ar-EG"/>
        </w:rPr>
        <w:t xml:space="preserve">والتقارب بين الشبكات الثابتة والمتنقلة </w:t>
      </w:r>
      <w:r>
        <w:rPr>
          <w:noProof/>
          <w:rtl/>
          <w:lang w:bidi="ar-EG"/>
        </w:rPr>
        <w:t xml:space="preserve">على متطلبات إدارة التنقلية المحددة في التوصيتين </w:t>
      </w:r>
      <w:r>
        <w:rPr>
          <w:noProof/>
          <w:lang w:bidi="ar-EG"/>
        </w:rPr>
        <w:t>Q.1706/Y.2801</w:t>
      </w:r>
      <w:r>
        <w:rPr>
          <w:noProof/>
          <w:rtl/>
          <w:lang w:bidi="ar-EG"/>
        </w:rPr>
        <w:t xml:space="preserve"> و</w:t>
      </w:r>
      <w:r>
        <w:rPr>
          <w:noProof/>
          <w:lang w:bidi="ar-EG"/>
        </w:rPr>
        <w:t>Q.1707/Y.2801</w:t>
      </w:r>
      <w:r w:rsidR="00AD20E3">
        <w:rPr>
          <w:rFonts w:hint="cs"/>
          <w:noProof/>
          <w:rtl/>
          <w:lang w:bidi="ar-EG"/>
        </w:rPr>
        <w:t xml:space="preserve"> و</w:t>
      </w:r>
      <w:r w:rsidR="00AD20E3">
        <w:rPr>
          <w:noProof/>
          <w:rtl/>
          <w:lang w:bidi="ar-EG"/>
        </w:rPr>
        <w:t xml:space="preserve">متطلبات التقارب بين الخدمات الثابتة والمتنقلة المحددة في التوصيتين </w:t>
      </w:r>
      <w:r w:rsidR="00ED6747">
        <w:rPr>
          <w:noProof/>
          <w:lang w:bidi="ar-EG"/>
        </w:rPr>
        <w:t>Y.2802</w:t>
      </w:r>
      <w:r w:rsidR="00AD20E3">
        <w:rPr>
          <w:noProof/>
          <w:rtl/>
          <w:lang w:bidi="ar-EG"/>
        </w:rPr>
        <w:t>/</w:t>
      </w:r>
      <w:r w:rsidR="00ED6747">
        <w:rPr>
          <w:noProof/>
          <w:lang w:bidi="ar-EG"/>
        </w:rPr>
        <w:t>Q.1762</w:t>
      </w:r>
      <w:r w:rsidR="00C37BAD">
        <w:rPr>
          <w:rFonts w:hint="cs"/>
          <w:noProof/>
          <w:rtl/>
          <w:lang w:bidi="ar-EG"/>
        </w:rPr>
        <w:t xml:space="preserve">. ويشمل العمل جميع الجوانب </w:t>
      </w:r>
      <w:r w:rsidR="004A0146">
        <w:rPr>
          <w:rFonts w:hint="cs"/>
          <w:noProof/>
          <w:rtl/>
          <w:lang w:bidi="ar-EG"/>
        </w:rPr>
        <w:t>اللازمة للتقارب</w:t>
      </w:r>
      <w:r w:rsidR="00C37BAD">
        <w:rPr>
          <w:rFonts w:hint="cs"/>
          <w:noProof/>
          <w:rtl/>
          <w:lang w:bidi="ar-EG"/>
        </w:rPr>
        <w:t xml:space="preserve"> في المطاريف وشبكات </w:t>
      </w:r>
      <w:r w:rsidR="002B77A3">
        <w:rPr>
          <w:rFonts w:hint="cs"/>
          <w:noProof/>
          <w:rtl/>
          <w:lang w:bidi="ar-EG"/>
        </w:rPr>
        <w:t>العملاء</w:t>
      </w:r>
      <w:r w:rsidR="00C37BAD">
        <w:rPr>
          <w:rFonts w:hint="cs"/>
          <w:noProof/>
          <w:rtl/>
          <w:lang w:bidi="ar-EG"/>
        </w:rPr>
        <w:t xml:space="preserve"> وشبكات النفاذ (الشبكات السلكية واللاسلكية على السواء)، والشبكات الأساسية وخدمات </w:t>
      </w:r>
      <w:r w:rsidR="00D73738">
        <w:rPr>
          <w:rFonts w:hint="cs"/>
          <w:noProof/>
          <w:rtl/>
          <w:lang w:bidi="ar-EG"/>
        </w:rPr>
        <w:t>التطبيق</w:t>
      </w:r>
      <w:r w:rsidR="00C37BAD">
        <w:rPr>
          <w:rFonts w:hint="cs"/>
          <w:noProof/>
          <w:rtl/>
          <w:lang w:bidi="ar-EG"/>
        </w:rPr>
        <w:t>.</w:t>
      </w:r>
    </w:p>
    <w:p w:rsidR="000B2286" w:rsidRDefault="000B2286" w:rsidP="00561BA1">
      <w:pPr>
        <w:rPr>
          <w:noProof/>
          <w:rtl/>
          <w:lang w:bidi="ar-EG"/>
        </w:rPr>
      </w:pPr>
      <w:r>
        <w:rPr>
          <w:noProof/>
          <w:rtl/>
          <w:lang w:bidi="ar-EG"/>
        </w:rPr>
        <w:t xml:space="preserve">وتشمل التوصيات الواقعة في نطاق هذه المسألة التوصيتين: </w:t>
      </w:r>
      <w:r>
        <w:rPr>
          <w:noProof/>
          <w:lang w:bidi="ar-EG"/>
        </w:rPr>
        <w:t>Q.1706/Y.2801</w:t>
      </w:r>
      <w:r>
        <w:rPr>
          <w:noProof/>
          <w:rtl/>
          <w:lang w:bidi="ar-EG"/>
        </w:rPr>
        <w:t xml:space="preserve"> و</w:t>
      </w:r>
      <w:r>
        <w:rPr>
          <w:noProof/>
          <w:lang w:bidi="ar-EG"/>
        </w:rPr>
        <w:t>Q.1707/Y.2804</w:t>
      </w:r>
      <w:r w:rsidR="004A0146">
        <w:rPr>
          <w:rFonts w:hint="cs"/>
          <w:noProof/>
          <w:rtl/>
          <w:lang w:bidi="ar-EG"/>
        </w:rPr>
        <w:t>، و</w:t>
      </w:r>
      <w:r w:rsidR="004A0146">
        <w:rPr>
          <w:noProof/>
          <w:rtl/>
          <w:lang w:bidi="ar-EG"/>
        </w:rPr>
        <w:t xml:space="preserve">سلسلة التوصيات </w:t>
      </w:r>
      <w:r w:rsidR="004A0146">
        <w:rPr>
          <w:noProof/>
          <w:lang w:bidi="ar-EG"/>
        </w:rPr>
        <w:t>Q.176x</w:t>
      </w:r>
      <w:r w:rsidR="004A0146">
        <w:rPr>
          <w:noProof/>
          <w:rtl/>
          <w:lang w:bidi="ar-EG"/>
        </w:rPr>
        <w:t xml:space="preserve"> و</w:t>
      </w:r>
      <w:r w:rsidR="004A0146">
        <w:rPr>
          <w:noProof/>
          <w:lang w:bidi="ar-EG"/>
        </w:rPr>
        <w:t>Y.280x</w:t>
      </w:r>
      <w:r>
        <w:rPr>
          <w:noProof/>
          <w:rtl/>
          <w:lang w:bidi="ar-EG"/>
        </w:rPr>
        <w:t>.</w:t>
      </w:r>
    </w:p>
    <w:p w:rsidR="000B2286" w:rsidRDefault="00C500F9" w:rsidP="00ED6747">
      <w:pPr>
        <w:pStyle w:val="Heading3"/>
        <w:spacing w:after="0"/>
        <w:rPr>
          <w:noProof/>
          <w:rtl/>
        </w:rPr>
      </w:pPr>
      <w:r>
        <w:rPr>
          <w:rFonts w:ascii="Times New Roman" w:hAnsi="Times New Roman"/>
          <w:noProof/>
          <w:szCs w:val="32"/>
        </w:rPr>
        <w:t>2</w:t>
      </w:r>
      <w:r w:rsidR="000B2286">
        <w:rPr>
          <w:noProof/>
          <w:rtl/>
        </w:rPr>
        <w:tab/>
      </w:r>
      <w:r w:rsidR="000B2286" w:rsidRPr="00C500F9">
        <w:rPr>
          <w:rFonts w:cs="Traditional Arabic"/>
          <w:noProof/>
          <w:sz w:val="32"/>
          <w:szCs w:val="32"/>
          <w:rtl/>
        </w:rPr>
        <w:t>المسألة</w:t>
      </w:r>
    </w:p>
    <w:p w:rsidR="000B2286" w:rsidRDefault="000B2286" w:rsidP="000B2286">
      <w:pPr>
        <w:rPr>
          <w:noProof/>
          <w:rtl/>
          <w:lang w:bidi="ar-EG"/>
        </w:rPr>
      </w:pPr>
      <w:r>
        <w:rPr>
          <w:noProof/>
          <w:rtl/>
          <w:lang w:bidi="ar-EG"/>
        </w:rPr>
        <w:t>تتناول الدراسة البنود التالية دون أن تقتصر عليها:</w:t>
      </w:r>
    </w:p>
    <w:p w:rsidR="000B2286" w:rsidRDefault="000B2286" w:rsidP="000B2286">
      <w:pPr>
        <w:pStyle w:val="enumlev1"/>
        <w:rPr>
          <w:noProof/>
          <w:rtl/>
          <w:lang w:val="en-US" w:bidi="ar-EG"/>
        </w:rPr>
      </w:pPr>
      <w:r>
        <w:rPr>
          <w:noProof/>
          <w:rtl/>
          <w:lang w:val="en-US" w:bidi="ar-EG"/>
        </w:rPr>
        <w:t>•</w:t>
      </w:r>
      <w:r>
        <w:rPr>
          <w:noProof/>
          <w:rtl/>
          <w:lang w:val="en-US" w:bidi="ar-EG"/>
        </w:rPr>
        <w:tab/>
        <w:t>ما هي التدابير اللازمة لدعم التجوال العالمي والتنقلية السلسة وتوفير الخدمات داخل الشبكات أو عبرها بالنسبة لكل من الاتصالات المتنقلة الدولية وشبكات الجيل التالي؟</w:t>
      </w:r>
    </w:p>
    <w:p w:rsidR="00FD0459" w:rsidRPr="00815A30" w:rsidRDefault="00FD0459" w:rsidP="00F25189">
      <w:pPr>
        <w:pStyle w:val="enumlev1"/>
        <w:rPr>
          <w:noProof/>
          <w:spacing w:val="-4"/>
          <w:rtl/>
          <w:lang w:val="en-US" w:bidi="ar-EG"/>
        </w:rPr>
      </w:pPr>
      <w:r>
        <w:rPr>
          <w:noProof/>
          <w:rtl/>
          <w:lang w:val="en-US" w:bidi="ar-EG"/>
        </w:rPr>
        <w:t>•</w:t>
      </w:r>
      <w:r>
        <w:rPr>
          <w:rFonts w:hint="cs"/>
          <w:noProof/>
          <w:rtl/>
          <w:lang w:val="en-US" w:bidi="ar-EG"/>
        </w:rPr>
        <w:tab/>
      </w:r>
      <w:r w:rsidR="00F25189" w:rsidRPr="00815A30">
        <w:rPr>
          <w:noProof/>
          <w:spacing w:val="-4"/>
          <w:rtl/>
          <w:lang w:val="en-US" w:bidi="ar-EG"/>
        </w:rPr>
        <w:t>ما هي التدابير</w:t>
      </w:r>
      <w:r w:rsidR="00815A30" w:rsidRPr="00815A30">
        <w:rPr>
          <w:rFonts w:hint="cs"/>
          <w:noProof/>
          <w:spacing w:val="-4"/>
          <w:rtl/>
          <w:lang w:val="en-US" w:bidi="ar-EG"/>
        </w:rPr>
        <w:t xml:space="preserve"> اللازمة</w:t>
      </w:r>
      <w:r w:rsidR="00F25189" w:rsidRPr="00815A30">
        <w:rPr>
          <w:noProof/>
          <w:spacing w:val="-4"/>
          <w:rtl/>
          <w:lang w:val="en-US" w:bidi="ar-EG"/>
        </w:rPr>
        <w:t xml:space="preserve"> </w:t>
      </w:r>
      <w:r w:rsidRPr="00815A30">
        <w:rPr>
          <w:rFonts w:hint="cs"/>
          <w:noProof/>
          <w:spacing w:val="-4"/>
          <w:rtl/>
          <w:lang w:val="en-US" w:bidi="ar-EG"/>
        </w:rPr>
        <w:t xml:space="preserve">لتوفير خدمات النفاذ المستقلة عبر الاتصالات المتنقلة الدولية الحالية </w:t>
      </w:r>
      <w:r w:rsidR="004A4F6E" w:rsidRPr="00815A30">
        <w:rPr>
          <w:rFonts w:hint="cs"/>
          <w:noProof/>
          <w:spacing w:val="-4"/>
          <w:rtl/>
          <w:lang w:val="en-US" w:bidi="ar-EG"/>
        </w:rPr>
        <w:t>والمتطورة</w:t>
      </w:r>
      <w:r w:rsidRPr="00815A30">
        <w:rPr>
          <w:rFonts w:hint="cs"/>
          <w:noProof/>
          <w:spacing w:val="-4"/>
          <w:rtl/>
          <w:lang w:val="en-US" w:bidi="ar-EG"/>
        </w:rPr>
        <w:t xml:space="preserve"> والشبكات الثابتة؟</w:t>
      </w:r>
    </w:p>
    <w:p w:rsidR="000B2286" w:rsidRDefault="000B2286" w:rsidP="000B2286">
      <w:pPr>
        <w:pStyle w:val="enumlev1"/>
        <w:rPr>
          <w:noProof/>
          <w:rtl/>
          <w:lang w:val="en-US" w:bidi="ar-EG"/>
        </w:rPr>
      </w:pPr>
      <w:r>
        <w:rPr>
          <w:noProof/>
          <w:rtl/>
          <w:lang w:val="en-US" w:bidi="ar-EG"/>
        </w:rPr>
        <w:t>•</w:t>
      </w:r>
      <w:r>
        <w:rPr>
          <w:noProof/>
          <w:rtl/>
          <w:lang w:val="en-US" w:bidi="ar-EG"/>
        </w:rPr>
        <w:tab/>
        <w:t>ما هي التحسينات المطلوب إدخالها على التوصيات الحالية لتحقيق وفورات في الطاقة بصورة مباشرة أو غير مباشرة في مجال تكنولوجيات المعلومات والاتصالات أو في صناعات أخرى؟ وما هي التحسينات المطلوبة عند وضع توصيات جديدة من أجل تحقيق هذه الوفورات؟</w:t>
      </w:r>
    </w:p>
    <w:p w:rsidR="000B2286" w:rsidRDefault="0097338B" w:rsidP="00ED6747">
      <w:pPr>
        <w:pStyle w:val="Heading3"/>
        <w:spacing w:after="0"/>
        <w:rPr>
          <w:noProof/>
          <w:rtl/>
        </w:rPr>
      </w:pPr>
      <w:r>
        <w:rPr>
          <w:rFonts w:ascii="Times New Roman" w:hAnsi="Times New Roman"/>
          <w:noProof/>
          <w:szCs w:val="32"/>
        </w:rPr>
        <w:t>3</w:t>
      </w:r>
      <w:r w:rsidR="000B2286">
        <w:rPr>
          <w:noProof/>
          <w:rtl/>
        </w:rPr>
        <w:tab/>
      </w:r>
      <w:r w:rsidR="000B2286" w:rsidRPr="00DF0CB9">
        <w:rPr>
          <w:rFonts w:cs="Traditional Arabic"/>
          <w:noProof/>
          <w:sz w:val="32"/>
          <w:szCs w:val="32"/>
          <w:rtl/>
        </w:rPr>
        <w:t>المهام</w:t>
      </w:r>
    </w:p>
    <w:p w:rsidR="000B2286" w:rsidRDefault="000B2286" w:rsidP="000B2286">
      <w:pPr>
        <w:rPr>
          <w:noProof/>
          <w:rtl/>
          <w:lang w:bidi="ar-EG"/>
        </w:rPr>
      </w:pPr>
      <w:r>
        <w:rPr>
          <w:noProof/>
          <w:rtl/>
          <w:lang w:bidi="ar-EG"/>
        </w:rPr>
        <w:t>تشمل المهام البنود التالية دون أن تقتصر عليها:</w:t>
      </w:r>
    </w:p>
    <w:p w:rsidR="000B2286" w:rsidRDefault="000B2286" w:rsidP="000B2286">
      <w:pPr>
        <w:pStyle w:val="enumlev1"/>
        <w:rPr>
          <w:noProof/>
          <w:rtl/>
          <w:lang w:val="en-US" w:bidi="ar-EG"/>
        </w:rPr>
      </w:pPr>
      <w:r>
        <w:rPr>
          <w:noProof/>
          <w:rtl/>
          <w:lang w:val="en-US" w:bidi="ar-EG"/>
        </w:rPr>
        <w:t>•</w:t>
      </w:r>
      <w:r>
        <w:rPr>
          <w:noProof/>
          <w:rtl/>
          <w:lang w:val="en-US" w:bidi="ar-EG"/>
        </w:rPr>
        <w:tab/>
        <w:t>تحديد أو تعريف منظور المستعملين والمشغلين لقدرات إدارة التنقلية بالنسبة لكل من الاتصالات المتنقلة الدولية وشبكات الجيل التالي.</w:t>
      </w:r>
    </w:p>
    <w:p w:rsidR="000B2286" w:rsidRDefault="000B2286" w:rsidP="000B2286">
      <w:pPr>
        <w:pStyle w:val="enumlev1"/>
        <w:rPr>
          <w:noProof/>
          <w:rtl/>
          <w:lang w:val="en-US" w:bidi="ar-EG"/>
        </w:rPr>
      </w:pPr>
      <w:r>
        <w:rPr>
          <w:noProof/>
          <w:rtl/>
          <w:lang w:val="en-US" w:bidi="ar-EG"/>
        </w:rPr>
        <w:t>•</w:t>
      </w:r>
      <w:r>
        <w:rPr>
          <w:noProof/>
          <w:rtl/>
          <w:lang w:val="en-US" w:bidi="ar-EG"/>
        </w:rPr>
        <w:tab/>
        <w:t>وضع المتطلبات الوظيفية لقدرات إدارة التنقلية لكل من الاتصالات المتنقلة الدولية وشبكات الجيل التالي.</w:t>
      </w:r>
    </w:p>
    <w:p w:rsidR="000B2286" w:rsidRDefault="000B2286" w:rsidP="00F25189">
      <w:pPr>
        <w:pStyle w:val="enumlev1"/>
        <w:rPr>
          <w:noProof/>
          <w:rtl/>
          <w:lang w:val="en-US" w:bidi="ar-EG"/>
        </w:rPr>
      </w:pPr>
      <w:r>
        <w:rPr>
          <w:noProof/>
          <w:rtl/>
          <w:lang w:val="en-US" w:bidi="ar-EG"/>
        </w:rPr>
        <w:t>•</w:t>
      </w:r>
      <w:r>
        <w:rPr>
          <w:noProof/>
          <w:rtl/>
          <w:lang w:val="en-US" w:bidi="ar-EG"/>
        </w:rPr>
        <w:tab/>
        <w:t>وضع</w:t>
      </w:r>
      <w:r w:rsidR="00F25189">
        <w:rPr>
          <w:rFonts w:hint="cs"/>
          <w:noProof/>
          <w:rtl/>
          <w:lang w:val="en-US" w:bidi="ar-EG"/>
        </w:rPr>
        <w:t xml:space="preserve"> وتعريف</w:t>
      </w:r>
      <w:r>
        <w:rPr>
          <w:noProof/>
          <w:rtl/>
          <w:lang w:val="en-US" w:bidi="ar-EG"/>
        </w:rPr>
        <w:t xml:space="preserve"> معمارية للكيانات الوظيفية (الترابط فيما بينها) </w:t>
      </w:r>
      <w:r w:rsidR="00F25189">
        <w:rPr>
          <w:rFonts w:hint="cs"/>
          <w:noProof/>
          <w:rtl/>
          <w:lang w:val="en-US" w:bidi="ar-EG"/>
        </w:rPr>
        <w:t>اللازمة</w:t>
      </w:r>
      <w:r>
        <w:rPr>
          <w:noProof/>
          <w:rtl/>
          <w:lang w:val="en-US" w:bidi="ar-EG"/>
        </w:rPr>
        <w:t xml:space="preserve"> </w:t>
      </w:r>
      <w:r w:rsidR="00F25189">
        <w:rPr>
          <w:rFonts w:hint="cs"/>
          <w:noProof/>
          <w:rtl/>
          <w:lang w:val="en-US" w:bidi="ar-EG"/>
        </w:rPr>
        <w:t>ل</w:t>
      </w:r>
      <w:r>
        <w:rPr>
          <w:noProof/>
          <w:rtl/>
          <w:lang w:val="en-US" w:bidi="ar-EG"/>
        </w:rPr>
        <w:t>توفير قدرات إدارة التنقلية للاتصالات المتنقلة الدولية وشبكات الجيل التالي.</w:t>
      </w:r>
    </w:p>
    <w:p w:rsidR="000B2286" w:rsidRDefault="000B2286" w:rsidP="000B2286">
      <w:pPr>
        <w:pStyle w:val="enumlev1"/>
        <w:rPr>
          <w:noProof/>
          <w:rtl/>
          <w:lang w:val="en-US" w:bidi="ar-EG"/>
        </w:rPr>
      </w:pPr>
      <w:r>
        <w:rPr>
          <w:noProof/>
          <w:rtl/>
          <w:lang w:val="en-US" w:bidi="ar-EG"/>
        </w:rPr>
        <w:t>•</w:t>
      </w:r>
      <w:r>
        <w:rPr>
          <w:noProof/>
          <w:rtl/>
          <w:lang w:val="en-US" w:bidi="ar-EG"/>
        </w:rPr>
        <w:tab/>
        <w:t>تطوير تدفقات المعلومات وتوقيت التدفقات بين الكيانات الوظيفية لتوفير القدرات اللازمة لإدارة التنقلية لكل من الاتصالات المتنقلة الدولية وشبكات الجيل التالي.</w:t>
      </w:r>
    </w:p>
    <w:p w:rsidR="000B2286" w:rsidRDefault="000B2286" w:rsidP="000B2286">
      <w:pPr>
        <w:pStyle w:val="enumlev1"/>
        <w:rPr>
          <w:noProof/>
          <w:rtl/>
          <w:lang w:val="en-US" w:bidi="ar-EG"/>
        </w:rPr>
      </w:pPr>
      <w:r>
        <w:rPr>
          <w:noProof/>
          <w:rtl/>
          <w:lang w:val="en-US" w:bidi="ar-EG"/>
        </w:rPr>
        <w:t>•</w:t>
      </w:r>
      <w:r>
        <w:rPr>
          <w:noProof/>
          <w:rtl/>
          <w:lang w:val="en-US" w:bidi="ar-EG"/>
        </w:rPr>
        <w:tab/>
      </w:r>
      <w:r w:rsidRPr="00FA7D87">
        <w:rPr>
          <w:noProof/>
          <w:rtl/>
          <w:lang w:val="en-US" w:bidi="ar-EG"/>
        </w:rPr>
        <w:t>تطوير</w:t>
      </w:r>
      <w:r>
        <w:rPr>
          <w:noProof/>
          <w:rtl/>
          <w:lang w:val="en-US" w:bidi="ar-EG"/>
        </w:rPr>
        <w:t xml:space="preserve"> الإجراءات التي تتخذها الكيانات الوظيفية لدى تلقي تدفقات معلومات لازمة لقدرات إدارة التنقلية لكل من الاتصالات المتنقلة الدولية وشبكات الجيل التالي.</w:t>
      </w:r>
    </w:p>
    <w:p w:rsidR="000B2286" w:rsidRDefault="000B2286" w:rsidP="000B2286">
      <w:pPr>
        <w:pStyle w:val="enumlev1"/>
        <w:rPr>
          <w:noProof/>
          <w:rtl/>
          <w:lang w:val="en-US" w:bidi="ar-EG"/>
        </w:rPr>
      </w:pPr>
      <w:r>
        <w:rPr>
          <w:noProof/>
          <w:rtl/>
          <w:lang w:val="en-US" w:bidi="ar-EG"/>
        </w:rPr>
        <w:t>•</w:t>
      </w:r>
      <w:r>
        <w:rPr>
          <w:noProof/>
          <w:rtl/>
          <w:lang w:val="en-US" w:bidi="ar-EG"/>
        </w:rPr>
        <w:tab/>
        <w:t>تخصيص كيانات وظيفية للكيانات المادية لتحديد الأسطح المادية التي يمكن أن تستخدم البروتوكولات الحالية أو التحسينات المدخلة عليها، وتحديد الأسطح البينية التي تتطلب وضع بروتوكولات بشأنها لأغراض قدرات إدارة التنقلية لكل من الاتصالات المتنقلة الدولية وشبكات الجيل التالي.</w:t>
      </w:r>
    </w:p>
    <w:p w:rsidR="000B2286" w:rsidRDefault="000B2286" w:rsidP="000B2286">
      <w:pPr>
        <w:pStyle w:val="enumlev1"/>
        <w:rPr>
          <w:noProof/>
          <w:rtl/>
          <w:lang w:val="en-US" w:bidi="ar-EG"/>
        </w:rPr>
      </w:pPr>
      <w:r>
        <w:rPr>
          <w:noProof/>
          <w:rtl/>
          <w:lang w:val="en-US" w:bidi="ar-EG"/>
        </w:rPr>
        <w:t>•</w:t>
      </w:r>
      <w:r>
        <w:rPr>
          <w:noProof/>
          <w:rtl/>
          <w:lang w:val="en-US" w:bidi="ar-EG"/>
        </w:rPr>
        <w:tab/>
        <w:t>القيام، بالنسبة للأسطح البينية التي تتطلب إدخال تحسينات على البروتوكولات الحالية، بتوفير المتطلبات الوظيفية لهيئة التقييس التي تقوم بوضع البروتوكول.</w:t>
      </w:r>
    </w:p>
    <w:p w:rsidR="000B2286" w:rsidRDefault="000B2286" w:rsidP="000B2286">
      <w:pPr>
        <w:pStyle w:val="enumlev1"/>
        <w:rPr>
          <w:noProof/>
          <w:rtl/>
          <w:lang w:val="en-US" w:bidi="ar-EG"/>
        </w:rPr>
      </w:pPr>
      <w:r>
        <w:rPr>
          <w:noProof/>
          <w:rtl/>
          <w:lang w:val="en-US" w:bidi="ar-EG"/>
        </w:rPr>
        <w:t>•</w:t>
      </w:r>
      <w:r>
        <w:rPr>
          <w:noProof/>
          <w:rtl/>
          <w:lang w:val="en-US" w:bidi="ar-EG"/>
        </w:rPr>
        <w:tab/>
        <w:t>القيام، بالنسبة للأسطح البينية التي تتطلب وضع بروتوكولات جديدة، بتحديد الهيئة الملائمة لوضع البروتوكول، وتوفير المتطلبات الوظيفية لهيئة التقييس، والقيام، عند الاقتضاء، بوضع البروتوكول في إطار هذه المسألة.</w:t>
      </w:r>
    </w:p>
    <w:p w:rsidR="009A0370" w:rsidRDefault="009A0370" w:rsidP="009A0370">
      <w:pPr>
        <w:pStyle w:val="enumlev1"/>
        <w:rPr>
          <w:noProof/>
          <w:rtl/>
          <w:lang w:val="en-US" w:bidi="ar-EG"/>
        </w:rPr>
      </w:pPr>
      <w:r>
        <w:rPr>
          <w:noProof/>
          <w:rtl/>
          <w:lang w:val="en-US" w:bidi="ar-EG"/>
        </w:rPr>
        <w:t>•</w:t>
      </w:r>
      <w:r>
        <w:rPr>
          <w:noProof/>
          <w:rtl/>
          <w:lang w:val="en-US" w:bidi="ar-EG"/>
        </w:rPr>
        <w:tab/>
        <w:t>تحديد ودراسة إمكانية تطبيق معايير الاتصالات المتنقلة الدولية المتطورة المتعلقة بالتقارب في سياق معمارية شبكات الجيل التالي ومتطلبات التقارب بين الخدمات الثابتة والمتنقلة والدعم الوثائقي المتعلق بذلك.</w:t>
      </w:r>
    </w:p>
    <w:p w:rsidR="009A0370" w:rsidRDefault="009A0370" w:rsidP="009A0370">
      <w:pPr>
        <w:pStyle w:val="enumlev1"/>
        <w:rPr>
          <w:noProof/>
          <w:rtl/>
          <w:lang w:val="en-US" w:bidi="ar-EG"/>
        </w:rPr>
      </w:pPr>
      <w:r>
        <w:rPr>
          <w:noProof/>
          <w:rtl/>
          <w:lang w:val="en-US" w:bidi="ar-EG"/>
        </w:rPr>
        <w:t>•</w:t>
      </w:r>
      <w:r>
        <w:rPr>
          <w:noProof/>
          <w:rtl/>
          <w:lang w:val="en-US" w:bidi="ar-EG"/>
        </w:rPr>
        <w:tab/>
      </w:r>
      <w:r>
        <w:rPr>
          <w:noProof/>
          <w:rtl/>
          <w:lang w:val="en-CA" w:bidi="ar-EG"/>
        </w:rPr>
        <w:t>وضع مقترحات لتقارب شبكات الاتصالات المتنقلة الدولية المتطورة والشبكات الثابتة المتطورة، بما في ذلك الجوانب المتصلة بتحكم الشبكات المركزية في تجهيزات شبكات العملاء، وتوثيق هذه المقترحات لكي تنظر فيها هيئات وضع المقاييس كجزء من خطط التطوير الخاصة بها</w:t>
      </w:r>
      <w:r>
        <w:rPr>
          <w:noProof/>
          <w:rtl/>
          <w:lang w:val="en-US" w:bidi="ar-EG"/>
        </w:rPr>
        <w:t>.</w:t>
      </w:r>
    </w:p>
    <w:p w:rsidR="009A0370" w:rsidRDefault="009A0370" w:rsidP="009A0370">
      <w:pPr>
        <w:pStyle w:val="enumlev1"/>
        <w:spacing w:after="120"/>
        <w:rPr>
          <w:noProof/>
          <w:rtl/>
          <w:lang w:val="en-US" w:bidi="ar-EG"/>
        </w:rPr>
      </w:pPr>
      <w:r>
        <w:rPr>
          <w:noProof/>
          <w:rtl/>
          <w:lang w:val="en-US" w:bidi="ar-EG"/>
        </w:rPr>
        <w:t>•</w:t>
      </w:r>
      <w:r>
        <w:rPr>
          <w:noProof/>
          <w:rtl/>
          <w:lang w:val="en-US" w:bidi="ar-EG"/>
        </w:rPr>
        <w:tab/>
        <w:t>تحديد ودراسة مسائل المعماريات والأسطح البينية للشبكات ذات الصلة بالوظائف المحددة للتقارب بين الخدمات الثابتة والمتنقلة في معمارية شبكات الجيل التالي عموماً، وتوثيق ذلك.</w:t>
      </w:r>
    </w:p>
    <w:p w:rsidR="000B2286" w:rsidRDefault="002B77A3" w:rsidP="00ED6747">
      <w:pPr>
        <w:pStyle w:val="Heading3"/>
        <w:spacing w:after="0"/>
        <w:rPr>
          <w:noProof/>
          <w:rtl/>
        </w:rPr>
      </w:pPr>
      <w:r w:rsidRPr="0003615D">
        <w:rPr>
          <w:rFonts w:asciiTheme="majorBidi" w:hAnsiTheme="majorBidi" w:cstheme="majorBidi"/>
          <w:noProof/>
        </w:rPr>
        <w:t>4</w:t>
      </w:r>
      <w:r w:rsidR="000B2286">
        <w:rPr>
          <w:noProof/>
          <w:rtl/>
        </w:rPr>
        <w:tab/>
      </w:r>
      <w:r w:rsidR="000B2286" w:rsidRPr="00DF0CB9">
        <w:rPr>
          <w:rFonts w:cs="Traditional Arabic"/>
          <w:noProof/>
          <w:sz w:val="32"/>
          <w:szCs w:val="32"/>
          <w:rtl/>
        </w:rPr>
        <w:t>الروابط</w:t>
      </w:r>
    </w:p>
    <w:p w:rsidR="000B2286" w:rsidRDefault="000B2286" w:rsidP="000B2286">
      <w:pPr>
        <w:rPr>
          <w:noProof/>
          <w:rtl/>
          <w:lang w:bidi="ar-EG"/>
        </w:rPr>
      </w:pPr>
      <w:r w:rsidRPr="00CA0B22">
        <w:rPr>
          <w:noProof/>
          <w:rtl/>
          <w:lang w:bidi="ar-EG"/>
        </w:rPr>
        <w:t>يقتضي تنفيذ المهام في إطار هذه المسألة التنسيق والتعاون بصورة وثيقة بين كل من:</w:t>
      </w:r>
    </w:p>
    <w:p w:rsidR="000B2286" w:rsidRDefault="000B2286" w:rsidP="002B77A3">
      <w:pPr>
        <w:pStyle w:val="enumlev1"/>
        <w:rPr>
          <w:noProof/>
          <w:rtl/>
          <w:lang w:val="en-US" w:bidi="ar-EG"/>
        </w:rPr>
      </w:pPr>
      <w:r>
        <w:rPr>
          <w:noProof/>
          <w:rtl/>
          <w:lang w:val="en-US" w:bidi="ar-EG"/>
        </w:rPr>
        <w:t>سلسلت</w:t>
      </w:r>
      <w:r w:rsidR="002B77A3">
        <w:rPr>
          <w:rFonts w:hint="cs"/>
          <w:noProof/>
          <w:rtl/>
          <w:lang w:val="en-US" w:bidi="ar-EG"/>
        </w:rPr>
        <w:t>ي</w:t>
      </w:r>
      <w:r>
        <w:rPr>
          <w:noProof/>
          <w:rtl/>
          <w:lang w:val="en-US" w:bidi="ar-EG"/>
        </w:rPr>
        <w:t xml:space="preserve"> التوصيات </w:t>
      </w:r>
      <w:r>
        <w:rPr>
          <w:noProof/>
          <w:lang w:val="en-US" w:bidi="ar-EG"/>
        </w:rPr>
        <w:t>Q</w:t>
      </w:r>
      <w:r>
        <w:rPr>
          <w:noProof/>
          <w:rtl/>
          <w:lang w:val="en-US" w:bidi="ar-EG"/>
        </w:rPr>
        <w:t xml:space="preserve"> و</w:t>
      </w:r>
      <w:r>
        <w:rPr>
          <w:noProof/>
          <w:lang w:val="en-US" w:bidi="ar-EG"/>
        </w:rPr>
        <w:t>Y</w:t>
      </w:r>
    </w:p>
    <w:p w:rsidR="000B2286" w:rsidRPr="002B77A3" w:rsidRDefault="002B77A3" w:rsidP="000B2286">
      <w:pPr>
        <w:pStyle w:val="Headingb"/>
        <w:rPr>
          <w:b w:val="0"/>
          <w:bCs w:val="0"/>
          <w:noProof/>
          <w:rtl/>
          <w:lang w:val="en-US" w:bidi="ar-EG"/>
        </w:rPr>
      </w:pPr>
      <w:r w:rsidRPr="002B77A3">
        <w:rPr>
          <w:rFonts w:hint="cs"/>
          <w:b w:val="0"/>
          <w:bCs w:val="0"/>
          <w:noProof/>
          <w:rtl/>
          <w:lang w:val="en-US" w:bidi="ar-EG"/>
        </w:rPr>
        <w:t>و</w:t>
      </w:r>
      <w:r w:rsidR="000B2286" w:rsidRPr="002B77A3">
        <w:rPr>
          <w:b w:val="0"/>
          <w:bCs w:val="0"/>
          <w:noProof/>
          <w:rtl/>
          <w:lang w:val="en-US" w:bidi="ar-EG"/>
        </w:rPr>
        <w:t>المسائل:</w:t>
      </w:r>
    </w:p>
    <w:p w:rsidR="000B2286" w:rsidRPr="002B77A3" w:rsidRDefault="000B2286" w:rsidP="008A527C">
      <w:pPr>
        <w:pStyle w:val="Headingb"/>
        <w:rPr>
          <w:b w:val="0"/>
          <w:bCs w:val="0"/>
          <w:noProof/>
          <w:rtl/>
          <w:lang w:val="en-US" w:bidi="ar-EG"/>
        </w:rPr>
      </w:pPr>
      <w:r w:rsidRPr="002B77A3">
        <w:rPr>
          <w:b w:val="0"/>
          <w:bCs w:val="0"/>
          <w:noProof/>
          <w:rtl/>
          <w:lang w:val="en-US" w:bidi="ar-EG"/>
        </w:rPr>
        <w:t>لجان الدراسات:</w:t>
      </w:r>
      <w:r w:rsidR="002633DB">
        <w:rPr>
          <w:rFonts w:hint="cs"/>
          <w:b w:val="0"/>
          <w:bCs w:val="0"/>
          <w:noProof/>
          <w:rtl/>
          <w:lang w:val="en-US" w:bidi="ar-EG"/>
        </w:rPr>
        <w:t xml:space="preserve"> </w:t>
      </w:r>
      <w:r w:rsidR="002B77A3" w:rsidRPr="002B77A3">
        <w:rPr>
          <w:b w:val="0"/>
          <w:bCs w:val="0"/>
          <w:noProof/>
          <w:rtl/>
          <w:lang w:val="en-US" w:bidi="ar-EG"/>
        </w:rPr>
        <w:t>لجان الدراسات</w:t>
      </w:r>
      <w:r w:rsidR="008E4986">
        <w:rPr>
          <w:rFonts w:hint="cs"/>
          <w:b w:val="0"/>
          <w:bCs w:val="0"/>
          <w:noProof/>
          <w:rtl/>
          <w:lang w:val="en-US" w:bidi="ar-EG"/>
        </w:rPr>
        <w:t xml:space="preserve"> </w:t>
      </w:r>
      <w:r w:rsidR="002B77A3" w:rsidRPr="002B77A3">
        <w:rPr>
          <w:b w:val="0"/>
          <w:bCs w:val="0"/>
          <w:noProof/>
          <w:rtl/>
          <w:lang w:val="en-US" w:bidi="ar-EG"/>
        </w:rPr>
        <w:t>لقطاع تقييس الاتصالات بالاتحاد المعنية بما يلي: الدراسات المتصلة بشبكات الجيل التالي والتي تتناول وصف السيناريوهات والخدمات، والترقيم والتسمية والعنونة وتحديد المسيرات، والأمن، ونوعية الخدمة، وأداء الشبكات، والتشوير والتحكم</w:t>
      </w:r>
      <w:r w:rsidR="002B77A3">
        <w:rPr>
          <w:rFonts w:hint="cs"/>
          <w:b w:val="0"/>
          <w:bCs w:val="0"/>
          <w:noProof/>
          <w:rtl/>
          <w:lang w:val="en-US" w:bidi="ar-EG"/>
        </w:rPr>
        <w:t xml:space="preserve"> والوسائط المتعددة. لجان الدراسات لقطاع الاتصالات الراديوية المعنية بما</w:t>
      </w:r>
      <w:r w:rsidR="008A527C">
        <w:rPr>
          <w:rFonts w:hint="eastAsia"/>
          <w:b w:val="0"/>
          <w:bCs w:val="0"/>
          <w:noProof/>
          <w:rtl/>
          <w:lang w:val="en-US" w:bidi="ar-EG"/>
        </w:rPr>
        <w:t> </w:t>
      </w:r>
      <w:r w:rsidR="002B77A3">
        <w:rPr>
          <w:rFonts w:hint="cs"/>
          <w:b w:val="0"/>
          <w:bCs w:val="0"/>
          <w:noProof/>
          <w:rtl/>
          <w:lang w:val="en-US" w:bidi="ar-EG"/>
        </w:rPr>
        <w:t>يلي: الخدمة الإذاعية وخدمات الأرض.</w:t>
      </w:r>
    </w:p>
    <w:p w:rsidR="000B2286" w:rsidRPr="00FE07A2" w:rsidRDefault="000B2286" w:rsidP="000B2286">
      <w:pPr>
        <w:pStyle w:val="Headingb"/>
        <w:rPr>
          <w:noProof/>
          <w:rtl/>
          <w:lang w:val="en-US" w:bidi="ar-EG"/>
        </w:rPr>
      </w:pPr>
      <w:r w:rsidRPr="00FE07A2">
        <w:rPr>
          <w:noProof/>
          <w:rtl/>
          <w:lang w:val="en-US" w:bidi="ar-EG"/>
        </w:rPr>
        <w:t>هيئات التقييس:</w:t>
      </w:r>
    </w:p>
    <w:p w:rsidR="005A1869" w:rsidRPr="00A30856" w:rsidRDefault="000B2286" w:rsidP="005A1869">
      <w:pPr>
        <w:pStyle w:val="enumlev1"/>
        <w:rPr>
          <w:noProof/>
          <w:rtl/>
          <w:lang w:val="en-US" w:bidi="ar-EG"/>
        </w:rPr>
      </w:pPr>
      <w:r>
        <w:rPr>
          <w:noProof/>
          <w:rtl/>
          <w:lang w:val="en-US" w:bidi="ar-EG"/>
        </w:rPr>
        <w:t>•</w:t>
      </w:r>
      <w:r>
        <w:rPr>
          <w:noProof/>
          <w:rtl/>
          <w:lang w:val="en-US" w:bidi="ar-EG"/>
        </w:rPr>
        <w:tab/>
      </w:r>
      <w:r w:rsidRPr="00FE07A2">
        <w:rPr>
          <w:noProof/>
          <w:rtl/>
          <w:lang w:val="en-US" w:bidi="ar-EG"/>
        </w:rPr>
        <w:t xml:space="preserve">مشاريع شراكة الجيل الثالث </w:t>
      </w:r>
      <w:r w:rsidR="00A30856">
        <w:rPr>
          <w:noProof/>
          <w:lang w:val="en-US" w:bidi="ar-EG"/>
        </w:rPr>
        <w:t>(3GPP)</w:t>
      </w:r>
    </w:p>
    <w:p w:rsidR="00A30856" w:rsidRDefault="005A1869" w:rsidP="00A30856">
      <w:pPr>
        <w:pStyle w:val="enumlev1"/>
        <w:rPr>
          <w:noProof/>
          <w:rtl/>
          <w:lang w:val="en-US" w:bidi="ar-EG"/>
        </w:rPr>
      </w:pPr>
      <w:r>
        <w:rPr>
          <w:noProof/>
          <w:rtl/>
          <w:lang w:val="en-US" w:bidi="ar-EG"/>
        </w:rPr>
        <w:t>•</w:t>
      </w:r>
      <w:r>
        <w:rPr>
          <w:rFonts w:hint="cs"/>
          <w:noProof/>
          <w:rtl/>
          <w:lang w:val="en-US" w:bidi="ar-EG"/>
        </w:rPr>
        <w:tab/>
      </w:r>
      <w:r w:rsidR="00A30856">
        <w:rPr>
          <w:rStyle w:val="NormalaftertitleChar"/>
          <w:noProof/>
          <w:rtl/>
          <w:lang w:val="en-US" w:bidi="ar-EG"/>
        </w:rPr>
        <w:t xml:space="preserve">فريق مهام هندسة الإنترنت </w:t>
      </w:r>
      <w:r w:rsidR="00A30856">
        <w:rPr>
          <w:rStyle w:val="NormalaftertitleChar"/>
          <w:noProof/>
          <w:lang w:val="en-US" w:bidi="ar-EG"/>
        </w:rPr>
        <w:t>(IETF)</w:t>
      </w:r>
      <w:r w:rsidR="00A30856">
        <w:rPr>
          <w:rStyle w:val="NormalaftertitleChar"/>
          <w:noProof/>
          <w:rtl/>
          <w:lang w:val="en-US" w:bidi="ar-EG"/>
        </w:rPr>
        <w:t>،</w:t>
      </w:r>
    </w:p>
    <w:p w:rsidR="000B2286" w:rsidRDefault="009A29BB" w:rsidP="005E1074">
      <w:pPr>
        <w:pStyle w:val="enumlev1"/>
        <w:rPr>
          <w:noProof/>
          <w:rtl/>
          <w:lang w:val="en-US" w:bidi="ar-EG"/>
        </w:rPr>
      </w:pPr>
      <w:r>
        <w:rPr>
          <w:noProof/>
          <w:rtl/>
          <w:lang w:val="en-US" w:bidi="ar-EG"/>
        </w:rPr>
        <w:t>•</w:t>
      </w:r>
      <w:r>
        <w:rPr>
          <w:rFonts w:hint="cs"/>
          <w:noProof/>
          <w:rtl/>
          <w:lang w:val="en-US" w:bidi="ar-EG"/>
        </w:rPr>
        <w:tab/>
      </w:r>
      <w:r w:rsidR="005E1074">
        <w:rPr>
          <w:rStyle w:val="NormalaftertitleChar"/>
          <w:noProof/>
          <w:rtl/>
          <w:lang w:val="en-US" w:bidi="ar-EG"/>
        </w:rPr>
        <w:t xml:space="preserve">معهد مهندسي الكهرباء والإلكترونيات </w:t>
      </w:r>
      <w:r w:rsidR="005E1074">
        <w:rPr>
          <w:rStyle w:val="NormalaftertitleChar"/>
          <w:noProof/>
          <w:lang w:val="en-US" w:bidi="ar-EG"/>
        </w:rPr>
        <w:t>(IEEE)</w:t>
      </w:r>
    </w:p>
    <w:p w:rsidR="001C58D1" w:rsidRDefault="001C58D1" w:rsidP="005E1074">
      <w:pPr>
        <w:pStyle w:val="enumlev1"/>
        <w:rPr>
          <w:noProof/>
          <w:rtl/>
          <w:lang w:val="en-US" w:bidi="ar-EG"/>
        </w:rPr>
      </w:pPr>
      <w:r>
        <w:rPr>
          <w:noProof/>
          <w:rtl/>
          <w:lang w:val="en-US" w:bidi="ar-EG"/>
        </w:rPr>
        <w:t>•</w:t>
      </w:r>
      <w:r>
        <w:rPr>
          <w:rFonts w:hint="cs"/>
          <w:noProof/>
          <w:rtl/>
          <w:lang w:val="en-US" w:bidi="ar-EG"/>
        </w:rPr>
        <w:tab/>
      </w:r>
      <w:r w:rsidR="00D91F50">
        <w:rPr>
          <w:rFonts w:hint="cs"/>
          <w:noProof/>
          <w:rtl/>
          <w:lang w:val="en-US" w:bidi="ar-EG"/>
        </w:rPr>
        <w:t>الهيئات الأخرى ذات الصلة</w:t>
      </w:r>
    </w:p>
    <w:p w:rsidR="00642F8E" w:rsidRPr="00795FF6" w:rsidRDefault="00491AA4" w:rsidP="001A07B2">
      <w:pPr>
        <w:pStyle w:val="enumlev1"/>
        <w:tabs>
          <w:tab w:val="clear" w:pos="794"/>
        </w:tabs>
        <w:ind w:left="-6" w:firstLine="0"/>
        <w:rPr>
          <w:b/>
          <w:bCs/>
          <w:rtl/>
          <w:lang w:bidi="ar-EG"/>
        </w:rPr>
      </w:pPr>
      <w:r w:rsidRPr="00613A86">
        <w:rPr>
          <w:rFonts w:hint="cs"/>
          <w:b/>
          <w:bCs/>
          <w:noProof/>
          <w:rtl/>
          <w:lang w:val="en-US" w:bidi="ar-EG"/>
        </w:rPr>
        <w:t>ملاحظة</w:t>
      </w:r>
      <w:r>
        <w:rPr>
          <w:rFonts w:hint="cs"/>
          <w:noProof/>
          <w:rtl/>
          <w:lang w:val="en-US" w:bidi="ar-EG"/>
        </w:rPr>
        <w:t xml:space="preserve">: </w:t>
      </w:r>
      <w:r w:rsidR="00C44FDE">
        <w:rPr>
          <w:rFonts w:hint="cs"/>
          <w:noProof/>
          <w:rtl/>
          <w:lang w:val="en-US" w:bidi="ar-EG"/>
        </w:rPr>
        <w:t xml:space="preserve">ترتبط المسألتان </w:t>
      </w:r>
      <w:r w:rsidR="00C44FDE">
        <w:rPr>
          <w:noProof/>
          <w:lang w:val="en-US" w:bidi="ar-EG"/>
        </w:rPr>
        <w:t>8/13</w:t>
      </w:r>
      <w:r w:rsidR="00C44FDE">
        <w:rPr>
          <w:rFonts w:hint="cs"/>
          <w:noProof/>
          <w:rtl/>
          <w:lang w:val="en-US" w:bidi="ar-EG"/>
        </w:rPr>
        <w:t xml:space="preserve"> و</w:t>
      </w:r>
      <w:r w:rsidR="00C44FDE">
        <w:rPr>
          <w:noProof/>
          <w:lang w:val="en-US" w:bidi="ar-EG"/>
        </w:rPr>
        <w:t>11/13</w:t>
      </w:r>
      <w:r w:rsidR="00C44FDE">
        <w:rPr>
          <w:rFonts w:hint="cs"/>
          <w:noProof/>
          <w:rtl/>
          <w:lang w:val="en-US" w:bidi="ar-EG"/>
        </w:rPr>
        <w:t xml:space="preserve"> ارتباطاً وثيقاً من حيث الموضوع التقني قيد البحث.</w:t>
      </w:r>
      <w:r w:rsidR="00F7093F">
        <w:rPr>
          <w:rFonts w:hint="cs"/>
          <w:noProof/>
          <w:rtl/>
          <w:lang w:val="en-US" w:bidi="ar-EG"/>
        </w:rPr>
        <w:t xml:space="preserve"> </w:t>
      </w:r>
      <w:r w:rsidR="007A79C6">
        <w:rPr>
          <w:rFonts w:hint="cs"/>
          <w:noProof/>
          <w:rtl/>
          <w:lang w:val="en-US" w:bidi="ar-EG"/>
        </w:rPr>
        <w:t>و</w:t>
      </w:r>
      <w:r w:rsidR="00613A86">
        <w:rPr>
          <w:rFonts w:hint="cs"/>
          <w:noProof/>
          <w:rtl/>
          <w:lang w:val="en-US" w:bidi="ar-EG"/>
        </w:rPr>
        <w:t xml:space="preserve">لقد </w:t>
      </w:r>
      <w:r w:rsidR="007A79C6">
        <w:rPr>
          <w:rFonts w:hint="cs"/>
          <w:noProof/>
          <w:rtl/>
          <w:lang w:val="en-US" w:bidi="ar-EG"/>
        </w:rPr>
        <w:t xml:space="preserve">اجتمع أعضاء اللجنة </w:t>
      </w:r>
      <w:r w:rsidR="00F7093F">
        <w:rPr>
          <w:rFonts w:hint="cs"/>
          <w:noProof/>
          <w:rtl/>
          <w:lang w:val="en-US" w:bidi="ar-EG"/>
        </w:rPr>
        <w:t xml:space="preserve">منذ بداية فترة الدراسة الحالية </w:t>
      </w:r>
      <w:r w:rsidR="007A79C6">
        <w:rPr>
          <w:rFonts w:hint="cs"/>
          <w:noProof/>
          <w:rtl/>
          <w:lang w:val="en-US" w:bidi="ar-EG"/>
        </w:rPr>
        <w:t>بل وأنتجوا</w:t>
      </w:r>
      <w:r w:rsidR="00F7093F">
        <w:rPr>
          <w:rFonts w:hint="cs"/>
          <w:noProof/>
          <w:rtl/>
          <w:lang w:val="en-US" w:bidi="ar-EG"/>
        </w:rPr>
        <w:t xml:space="preserve"> تقارير الاجتماع المشتركة. </w:t>
      </w:r>
      <w:r w:rsidR="00D1713F">
        <w:rPr>
          <w:rFonts w:hint="cs"/>
          <w:noProof/>
          <w:rtl/>
          <w:lang w:val="en-US" w:bidi="ar-EG"/>
        </w:rPr>
        <w:t xml:space="preserve">وعمل </w:t>
      </w:r>
      <w:r w:rsidR="007A79C6">
        <w:rPr>
          <w:rFonts w:hint="cs"/>
          <w:noProof/>
          <w:rtl/>
          <w:lang w:val="en-US" w:bidi="ar-EG"/>
        </w:rPr>
        <w:t>أسلافهم</w:t>
      </w:r>
      <w:r w:rsidR="00D1713F">
        <w:rPr>
          <w:rFonts w:hint="cs"/>
          <w:noProof/>
          <w:rtl/>
          <w:lang w:val="en-US" w:bidi="ar-EG"/>
        </w:rPr>
        <w:t xml:space="preserve"> ب</w:t>
      </w:r>
      <w:r w:rsidR="007A79C6">
        <w:rPr>
          <w:rFonts w:hint="cs"/>
          <w:noProof/>
          <w:rtl/>
          <w:lang w:val="en-US" w:bidi="ar-EG"/>
        </w:rPr>
        <w:t xml:space="preserve">طريقة مماثلة خلال فترة الدراسة السابقة بالكامل. </w:t>
      </w:r>
      <w:r w:rsidR="00375636">
        <w:rPr>
          <w:rFonts w:hint="cs"/>
          <w:noProof/>
          <w:rtl/>
          <w:lang w:val="en-US" w:bidi="ar-EG"/>
        </w:rPr>
        <w:t xml:space="preserve">ونظراً </w:t>
      </w:r>
      <w:r w:rsidR="001A07B2">
        <w:rPr>
          <w:rFonts w:hint="cs"/>
          <w:noProof/>
          <w:rtl/>
          <w:lang w:val="en-US" w:bidi="ar-EG"/>
        </w:rPr>
        <w:t>لذلك</w:t>
      </w:r>
      <w:r w:rsidR="00613A86">
        <w:rPr>
          <w:rFonts w:hint="cs"/>
          <w:noProof/>
          <w:rtl/>
          <w:lang w:val="en-US" w:bidi="ar-EG"/>
        </w:rPr>
        <w:t xml:space="preserve">، </w:t>
      </w:r>
      <w:r w:rsidR="00375636">
        <w:rPr>
          <w:rFonts w:hint="cs"/>
          <w:noProof/>
          <w:rtl/>
          <w:lang w:val="en-US" w:bidi="ar-EG"/>
        </w:rPr>
        <w:t xml:space="preserve">قررت لجنة الدراسات </w:t>
      </w:r>
      <w:r w:rsidR="00375636">
        <w:rPr>
          <w:noProof/>
          <w:lang w:val="en-US" w:bidi="ar-EG"/>
        </w:rPr>
        <w:t>13</w:t>
      </w:r>
      <w:r w:rsidR="00375636">
        <w:rPr>
          <w:rFonts w:hint="cs"/>
          <w:noProof/>
          <w:rtl/>
          <w:lang w:val="en-US" w:bidi="ar-EG"/>
        </w:rPr>
        <w:t xml:space="preserve"> دمج المسألتين في مسألة جديدة </w:t>
      </w:r>
      <w:r w:rsidR="00D27F80">
        <w:rPr>
          <w:rFonts w:hint="cs"/>
          <w:noProof/>
          <w:rtl/>
          <w:lang w:val="en-US" w:bidi="ar-EG"/>
        </w:rPr>
        <w:t xml:space="preserve">واحدة </w:t>
      </w:r>
      <w:r w:rsidR="00375636">
        <w:rPr>
          <w:rFonts w:hint="cs"/>
          <w:noProof/>
          <w:rtl/>
          <w:lang w:val="en-US" w:bidi="ar-EG"/>
        </w:rPr>
        <w:t xml:space="preserve">رقم </w:t>
      </w:r>
      <w:r w:rsidR="00375636">
        <w:rPr>
          <w:noProof/>
          <w:lang w:val="en-US" w:bidi="ar-EG"/>
        </w:rPr>
        <w:t>22/13</w:t>
      </w:r>
      <w:r w:rsidR="00375636">
        <w:rPr>
          <w:rFonts w:hint="cs"/>
          <w:noProof/>
          <w:rtl/>
          <w:lang w:val="en-US" w:bidi="ar-EG"/>
        </w:rPr>
        <w:t xml:space="preserve"> وإلغاء المسألتين </w:t>
      </w:r>
      <w:r w:rsidR="00375636">
        <w:rPr>
          <w:noProof/>
          <w:lang w:val="en-US" w:bidi="ar-EG"/>
        </w:rPr>
        <w:t>8/13</w:t>
      </w:r>
      <w:r w:rsidR="00375636">
        <w:rPr>
          <w:rFonts w:hint="cs"/>
          <w:noProof/>
          <w:rtl/>
          <w:lang w:val="en-US" w:bidi="ar-EG"/>
        </w:rPr>
        <w:t xml:space="preserve"> و</w:t>
      </w:r>
      <w:r w:rsidR="00375636">
        <w:rPr>
          <w:noProof/>
          <w:lang w:val="en-US" w:bidi="ar-EG"/>
        </w:rPr>
        <w:t>11/13</w:t>
      </w:r>
      <w:r w:rsidR="00375636">
        <w:rPr>
          <w:rFonts w:hint="cs"/>
          <w:noProof/>
          <w:rtl/>
          <w:lang w:val="en-US" w:bidi="ar-EG"/>
        </w:rPr>
        <w:t xml:space="preserve"> (انظر الرسالة </w:t>
      </w:r>
      <w:r w:rsidR="00375636">
        <w:rPr>
          <w:noProof/>
          <w:lang w:val="en-US" w:bidi="ar-EG"/>
        </w:rPr>
        <w:t>110</w:t>
      </w:r>
      <w:r w:rsidR="00375636">
        <w:rPr>
          <w:rFonts w:hint="cs"/>
          <w:noProof/>
          <w:rtl/>
          <w:lang w:val="en-US" w:bidi="ar-EG"/>
        </w:rPr>
        <w:t xml:space="preserve"> لمكتب تقييس الاتصالات المتعلقة بالإلغاء المقترح)</w:t>
      </w:r>
      <w:r w:rsidR="00663CB7">
        <w:rPr>
          <w:rFonts w:hint="cs"/>
          <w:noProof/>
          <w:rtl/>
          <w:lang w:val="en-US" w:bidi="ar-EG"/>
        </w:rPr>
        <w:t>.</w:t>
      </w:r>
    </w:p>
    <w:sectPr w:rsidR="00642F8E" w:rsidRPr="00795FF6" w:rsidSect="008A527C">
      <w:headerReference w:type="default" r:id="rId8"/>
      <w:footerReference w:type="default" r:id="rId9"/>
      <w:footerReference w:type="first" r:id="rId10"/>
      <w:pgSz w:w="11901" w:h="16840" w:code="9"/>
      <w:pgMar w:top="1418"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20E" w:rsidRDefault="009B020E">
      <w:r>
        <w:separator/>
      </w:r>
    </w:p>
  </w:endnote>
  <w:endnote w:type="continuationSeparator" w:id="0">
    <w:p w:rsidR="009B020E" w:rsidRDefault="009B0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16" w:rsidRPr="00AC2B2F" w:rsidRDefault="001E2F19" w:rsidP="001E2F19">
    <w:pPr>
      <w:pStyle w:val="Footer"/>
      <w:jc w:val="right"/>
      <w:rPr>
        <w:sz w:val="18"/>
        <w:szCs w:val="18"/>
        <w:lang w:val="fr-CH"/>
      </w:rPr>
    </w:pPr>
    <w:r w:rsidRPr="00AC2B2F">
      <w:rPr>
        <w:sz w:val="18"/>
        <w:szCs w:val="18"/>
        <w:lang w:val="fr-CH"/>
      </w:rPr>
      <w:t>ITU-T\BUREAU\CIRC\109A.DOC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jc w:val="center"/>
      <w:tblLayout w:type="fixed"/>
      <w:tblLook w:val="0000"/>
    </w:tblPr>
    <w:tblGrid>
      <w:gridCol w:w="10149"/>
    </w:tblGrid>
    <w:tr w:rsidR="00614F3F">
      <w:trPr>
        <w:jc w:val="center"/>
      </w:trPr>
      <w:tc>
        <w:tcPr>
          <w:tcW w:w="10149" w:type="dxa"/>
        </w:tcPr>
        <w:p w:rsidR="00614F3F" w:rsidRDefault="00614F3F">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614F3F" w:rsidRDefault="00614F3F" w:rsidP="00A26EA0">
          <w:pPr>
            <w:tabs>
              <w:tab w:val="left" w:pos="2084"/>
              <w:tab w:val="left" w:pos="2984"/>
              <w:tab w:val="left" w:pos="3289"/>
              <w:tab w:val="left" w:pos="3344"/>
              <w:tab w:val="left" w:pos="3560"/>
              <w:tab w:val="left" w:pos="5684"/>
              <w:tab w:val="left" w:pos="874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Pr="00F11BC4">
              <w:rPr>
                <w:rStyle w:val="Hyperlink"/>
                <w:rFonts w:ascii="Futura Lt BT" w:hAnsi="Futura Lt BT"/>
                <w:sz w:val="18"/>
              </w:rPr>
              <w:t>www.itu.int</w:t>
            </w:r>
          </w:hyperlink>
        </w:p>
        <w:p w:rsidR="00614F3F" w:rsidRDefault="00CA171E">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r>
            <w:rPr>
              <w:rFonts w:ascii="Futura Lt BT" w:hAnsi="Futura Lt BT"/>
              <w:sz w:val="18"/>
            </w:rPr>
            <w:t>SWITZERLAND</w:t>
          </w:r>
          <w:r w:rsidR="00614F3F">
            <w:rPr>
              <w:rFonts w:ascii="Futura Lt BT" w:hAnsi="Futura Lt BT"/>
              <w:sz w:val="18"/>
            </w:rPr>
            <w:tab/>
          </w:r>
          <w:r w:rsidR="00614F3F">
            <w:rPr>
              <w:rFonts w:ascii="Futura Lt BT" w:hAnsi="Futura Lt BT"/>
              <w:sz w:val="18"/>
            </w:rPr>
            <w:tab/>
            <w:t>Gr4:</w:t>
          </w:r>
          <w:r w:rsidR="00614F3F">
            <w:rPr>
              <w:rFonts w:ascii="Futura Lt BT" w:hAnsi="Futura Lt BT"/>
              <w:sz w:val="18"/>
            </w:rPr>
            <w:tab/>
            <w:t>+41 22 730 65 00</w:t>
          </w:r>
        </w:p>
      </w:tc>
    </w:tr>
  </w:tbl>
  <w:p w:rsidR="00614F3F" w:rsidRPr="00795FF6" w:rsidRDefault="00614F3F" w:rsidP="00795FF6">
    <w:pPr>
      <w:pStyle w:val="Footer"/>
      <w:tabs>
        <w:tab w:val="clear" w:pos="4703"/>
        <w:tab w:val="clear" w:pos="9406"/>
        <w:tab w:val="right" w:pos="9617"/>
      </w:tabs>
      <w:bidi w:val="0"/>
      <w:spacing w:before="0"/>
      <w:rPr>
        <w:sz w:val="2"/>
        <w:szCs w:val="2"/>
      </w:rPr>
    </w:pPr>
    <w:r>
      <w:rPr>
        <w:rFonts w:hint="cs"/>
        <w:sz w:val="2"/>
        <w:szCs w:val="2"/>
        <w:rtl/>
      </w:rPr>
      <w:t>خ</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20E" w:rsidRDefault="009B020E">
      <w:r>
        <w:separator/>
      </w:r>
    </w:p>
  </w:footnote>
  <w:footnote w:type="continuationSeparator" w:id="0">
    <w:p w:rsidR="009B020E" w:rsidRDefault="009B0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3F" w:rsidRDefault="00614F3F" w:rsidP="008165EA">
    <w:pPr>
      <w:pStyle w:val="Header"/>
      <w:bidi w:val="0"/>
      <w:spacing w:before="0"/>
      <w:jc w:val="center"/>
    </w:pPr>
    <w:r>
      <w:t>- </w:t>
    </w:r>
    <w:r w:rsidR="00DB4C5E">
      <w:rPr>
        <w:rStyle w:val="PageNumber"/>
      </w:rPr>
      <w:fldChar w:fldCharType="begin"/>
    </w:r>
    <w:r>
      <w:rPr>
        <w:rStyle w:val="PageNumber"/>
      </w:rPr>
      <w:instrText xml:space="preserve"> PAGE </w:instrText>
    </w:r>
    <w:r w:rsidR="00DB4C5E">
      <w:rPr>
        <w:rStyle w:val="PageNumber"/>
      </w:rPr>
      <w:fldChar w:fldCharType="separate"/>
    </w:r>
    <w:r w:rsidR="00AC2B2F">
      <w:rPr>
        <w:rStyle w:val="PageNumber"/>
        <w:noProof/>
      </w:rPr>
      <w:t>3</w:t>
    </w:r>
    <w:r w:rsidR="00DB4C5E">
      <w:rPr>
        <w:rStyle w:val="PageNumber"/>
      </w:rPr>
      <w:fldChar w:fldCharType="end"/>
    </w:r>
    <w: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stylePaneFormatFilter w:val="3F01"/>
  <w:defaultTabStop w:val="794"/>
  <w:hyphenationZone w:val="425"/>
  <w:noPunctuationKerning/>
  <w:characterSpacingControl w:val="doNotCompress"/>
  <w:hdrShapeDefaults>
    <o:shapedefaults v:ext="edit" spidmax="6145"/>
  </w:hdrShapeDefaults>
  <w:footnotePr>
    <w:footnote w:id="-1"/>
    <w:footnote w:id="0"/>
  </w:footnotePr>
  <w:endnotePr>
    <w:endnote w:id="-1"/>
    <w:endnote w:id="0"/>
  </w:endnotePr>
  <w:compat/>
  <w:rsids>
    <w:rsidRoot w:val="009F4B09"/>
    <w:rsid w:val="000132B7"/>
    <w:rsid w:val="0003615D"/>
    <w:rsid w:val="000538A2"/>
    <w:rsid w:val="0006455A"/>
    <w:rsid w:val="00064EC5"/>
    <w:rsid w:val="000A7621"/>
    <w:rsid w:val="000B2286"/>
    <w:rsid w:val="000D3455"/>
    <w:rsid w:val="0010144A"/>
    <w:rsid w:val="001014A9"/>
    <w:rsid w:val="00103BD3"/>
    <w:rsid w:val="00106D13"/>
    <w:rsid w:val="00127FFE"/>
    <w:rsid w:val="00166F8B"/>
    <w:rsid w:val="00180899"/>
    <w:rsid w:val="0019658A"/>
    <w:rsid w:val="001A07B2"/>
    <w:rsid w:val="001A5641"/>
    <w:rsid w:val="001C58D1"/>
    <w:rsid w:val="001D1DF8"/>
    <w:rsid w:val="001D39B3"/>
    <w:rsid w:val="001D3E3A"/>
    <w:rsid w:val="001D6103"/>
    <w:rsid w:val="001E2F19"/>
    <w:rsid w:val="001F1F15"/>
    <w:rsid w:val="001F6CD8"/>
    <w:rsid w:val="00202CA3"/>
    <w:rsid w:val="0021011A"/>
    <w:rsid w:val="0022041F"/>
    <w:rsid w:val="00224522"/>
    <w:rsid w:val="002330BE"/>
    <w:rsid w:val="00235C8A"/>
    <w:rsid w:val="00246AD0"/>
    <w:rsid w:val="00252705"/>
    <w:rsid w:val="002633DB"/>
    <w:rsid w:val="00264241"/>
    <w:rsid w:val="00293F7E"/>
    <w:rsid w:val="002947F9"/>
    <w:rsid w:val="002B45A1"/>
    <w:rsid w:val="002B77A3"/>
    <w:rsid w:val="002C233F"/>
    <w:rsid w:val="002C5576"/>
    <w:rsid w:val="002E3F3A"/>
    <w:rsid w:val="00301350"/>
    <w:rsid w:val="00310129"/>
    <w:rsid w:val="00311F91"/>
    <w:rsid w:val="0031346F"/>
    <w:rsid w:val="00363E8E"/>
    <w:rsid w:val="00375636"/>
    <w:rsid w:val="00382189"/>
    <w:rsid w:val="00393E7C"/>
    <w:rsid w:val="003D56B1"/>
    <w:rsid w:val="004067A6"/>
    <w:rsid w:val="00417512"/>
    <w:rsid w:val="00422171"/>
    <w:rsid w:val="00423E42"/>
    <w:rsid w:val="00425397"/>
    <w:rsid w:val="00446000"/>
    <w:rsid w:val="004579B5"/>
    <w:rsid w:val="004603FF"/>
    <w:rsid w:val="00475A6A"/>
    <w:rsid w:val="00491AA4"/>
    <w:rsid w:val="00496580"/>
    <w:rsid w:val="004A0146"/>
    <w:rsid w:val="004A4F6E"/>
    <w:rsid w:val="004A7A1A"/>
    <w:rsid w:val="004E1059"/>
    <w:rsid w:val="004E17FA"/>
    <w:rsid w:val="004E4BB7"/>
    <w:rsid w:val="004E525D"/>
    <w:rsid w:val="004E5FE0"/>
    <w:rsid w:val="004F0C1A"/>
    <w:rsid w:val="0054515F"/>
    <w:rsid w:val="00555DE7"/>
    <w:rsid w:val="00561BA1"/>
    <w:rsid w:val="00575402"/>
    <w:rsid w:val="00575B6C"/>
    <w:rsid w:val="00586F78"/>
    <w:rsid w:val="00591E68"/>
    <w:rsid w:val="005960F3"/>
    <w:rsid w:val="005A1869"/>
    <w:rsid w:val="005D467E"/>
    <w:rsid w:val="005D488B"/>
    <w:rsid w:val="005E007E"/>
    <w:rsid w:val="005E1074"/>
    <w:rsid w:val="005F33FD"/>
    <w:rsid w:val="005F4416"/>
    <w:rsid w:val="005F5855"/>
    <w:rsid w:val="00605E96"/>
    <w:rsid w:val="00613A86"/>
    <w:rsid w:val="00614F3F"/>
    <w:rsid w:val="00621C7E"/>
    <w:rsid w:val="00625408"/>
    <w:rsid w:val="00637FB5"/>
    <w:rsid w:val="00642F8E"/>
    <w:rsid w:val="00663CB7"/>
    <w:rsid w:val="00674542"/>
    <w:rsid w:val="006765EA"/>
    <w:rsid w:val="00683D30"/>
    <w:rsid w:val="006D49AD"/>
    <w:rsid w:val="006E3A18"/>
    <w:rsid w:val="006E73B1"/>
    <w:rsid w:val="007149A7"/>
    <w:rsid w:val="00746048"/>
    <w:rsid w:val="00757D5F"/>
    <w:rsid w:val="00765B28"/>
    <w:rsid w:val="00775E3D"/>
    <w:rsid w:val="00795FF6"/>
    <w:rsid w:val="007A66C2"/>
    <w:rsid w:val="007A6984"/>
    <w:rsid w:val="007A79C6"/>
    <w:rsid w:val="007F0AC6"/>
    <w:rsid w:val="00815A30"/>
    <w:rsid w:val="008165EA"/>
    <w:rsid w:val="008226F2"/>
    <w:rsid w:val="0082673E"/>
    <w:rsid w:val="00852573"/>
    <w:rsid w:val="00866CFB"/>
    <w:rsid w:val="008A527C"/>
    <w:rsid w:val="008E4986"/>
    <w:rsid w:val="009015FD"/>
    <w:rsid w:val="009048A4"/>
    <w:rsid w:val="00911629"/>
    <w:rsid w:val="0093679C"/>
    <w:rsid w:val="00965582"/>
    <w:rsid w:val="00970986"/>
    <w:rsid w:val="0097338B"/>
    <w:rsid w:val="00973D3C"/>
    <w:rsid w:val="0097559C"/>
    <w:rsid w:val="0097651D"/>
    <w:rsid w:val="0099702B"/>
    <w:rsid w:val="009A0370"/>
    <w:rsid w:val="009A29BB"/>
    <w:rsid w:val="009A61F8"/>
    <w:rsid w:val="009A6617"/>
    <w:rsid w:val="009B020E"/>
    <w:rsid w:val="009B0414"/>
    <w:rsid w:val="009C4ADE"/>
    <w:rsid w:val="009C5E27"/>
    <w:rsid w:val="009F4B09"/>
    <w:rsid w:val="00A161FD"/>
    <w:rsid w:val="00A26EA0"/>
    <w:rsid w:val="00A30856"/>
    <w:rsid w:val="00A54456"/>
    <w:rsid w:val="00A655AC"/>
    <w:rsid w:val="00A83A6D"/>
    <w:rsid w:val="00AB321E"/>
    <w:rsid w:val="00AC2B2F"/>
    <w:rsid w:val="00AD20E3"/>
    <w:rsid w:val="00B06EFE"/>
    <w:rsid w:val="00B10464"/>
    <w:rsid w:val="00B232BD"/>
    <w:rsid w:val="00B7558A"/>
    <w:rsid w:val="00B805FD"/>
    <w:rsid w:val="00B85152"/>
    <w:rsid w:val="00B93EB2"/>
    <w:rsid w:val="00BA379F"/>
    <w:rsid w:val="00BB3AA1"/>
    <w:rsid w:val="00BC087A"/>
    <w:rsid w:val="00BC45BA"/>
    <w:rsid w:val="00BC4F39"/>
    <w:rsid w:val="00BD225D"/>
    <w:rsid w:val="00BE2B4B"/>
    <w:rsid w:val="00C22DAB"/>
    <w:rsid w:val="00C37BAD"/>
    <w:rsid w:val="00C42FC9"/>
    <w:rsid w:val="00C44FDE"/>
    <w:rsid w:val="00C500F9"/>
    <w:rsid w:val="00C56944"/>
    <w:rsid w:val="00C66A30"/>
    <w:rsid w:val="00C863E9"/>
    <w:rsid w:val="00C96833"/>
    <w:rsid w:val="00CA171E"/>
    <w:rsid w:val="00CB63B9"/>
    <w:rsid w:val="00CC30F9"/>
    <w:rsid w:val="00CD508D"/>
    <w:rsid w:val="00CE2555"/>
    <w:rsid w:val="00CF2045"/>
    <w:rsid w:val="00D07074"/>
    <w:rsid w:val="00D119B1"/>
    <w:rsid w:val="00D1713F"/>
    <w:rsid w:val="00D27F80"/>
    <w:rsid w:val="00D34A31"/>
    <w:rsid w:val="00D45212"/>
    <w:rsid w:val="00D73738"/>
    <w:rsid w:val="00D74C42"/>
    <w:rsid w:val="00D807A7"/>
    <w:rsid w:val="00D82615"/>
    <w:rsid w:val="00D84854"/>
    <w:rsid w:val="00D86402"/>
    <w:rsid w:val="00D87242"/>
    <w:rsid w:val="00D91F50"/>
    <w:rsid w:val="00D927D2"/>
    <w:rsid w:val="00DB4C5E"/>
    <w:rsid w:val="00DE76C6"/>
    <w:rsid w:val="00DF0CB9"/>
    <w:rsid w:val="00E16E54"/>
    <w:rsid w:val="00E24356"/>
    <w:rsid w:val="00E27501"/>
    <w:rsid w:val="00E32073"/>
    <w:rsid w:val="00E529E7"/>
    <w:rsid w:val="00E76382"/>
    <w:rsid w:val="00E80F95"/>
    <w:rsid w:val="00E82216"/>
    <w:rsid w:val="00E96B35"/>
    <w:rsid w:val="00EC630A"/>
    <w:rsid w:val="00EC76A4"/>
    <w:rsid w:val="00ED30C0"/>
    <w:rsid w:val="00ED6747"/>
    <w:rsid w:val="00ED743A"/>
    <w:rsid w:val="00EE126F"/>
    <w:rsid w:val="00EF1712"/>
    <w:rsid w:val="00F0698D"/>
    <w:rsid w:val="00F11BC4"/>
    <w:rsid w:val="00F20164"/>
    <w:rsid w:val="00F25189"/>
    <w:rsid w:val="00F261D6"/>
    <w:rsid w:val="00F318DD"/>
    <w:rsid w:val="00F53F36"/>
    <w:rsid w:val="00F7093F"/>
    <w:rsid w:val="00F968D5"/>
    <w:rsid w:val="00FA6851"/>
    <w:rsid w:val="00FA7D87"/>
    <w:rsid w:val="00FB1373"/>
    <w:rsid w:val="00FB6B6D"/>
    <w:rsid w:val="00FC593B"/>
    <w:rsid w:val="00FC641F"/>
    <w:rsid w:val="00FD0459"/>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02B"/>
    <w:pPr>
      <w:bidi/>
      <w:spacing w:before="120" w:line="192" w:lineRule="auto"/>
      <w:jc w:val="both"/>
    </w:pPr>
    <w:rPr>
      <w:rFonts w:cs="Traditional Arabic"/>
      <w:sz w:val="22"/>
      <w:szCs w:val="30"/>
      <w:lang w:val="en-US"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semiHidden/>
    <w:unhideWhenUsed/>
    <w:qFormat/>
    <w:rsid w:val="000B2286"/>
    <w:pPr>
      <w:keepNext/>
      <w:spacing w:before="240" w:after="60"/>
      <w:outlineLvl w:val="1"/>
    </w:pPr>
    <w:rPr>
      <w:rFonts w:ascii="Cambria" w:eastAsia="SimSun" w:hAnsi="Cambria" w:cs="Times New Roman"/>
      <w:b/>
      <w:bCs/>
      <w:i/>
      <w:iCs/>
      <w:sz w:val="28"/>
      <w:szCs w:val="28"/>
    </w:rPr>
  </w:style>
  <w:style w:type="paragraph" w:styleId="Heading3">
    <w:name w:val="heading 3"/>
    <w:basedOn w:val="Normal"/>
    <w:next w:val="Normal"/>
    <w:link w:val="Heading3Char"/>
    <w:semiHidden/>
    <w:unhideWhenUsed/>
    <w:qFormat/>
    <w:rsid w:val="000B2286"/>
    <w:pPr>
      <w:keepNext/>
      <w:spacing w:before="240" w:after="60"/>
      <w:outlineLvl w:val="2"/>
    </w:pPr>
    <w:rPr>
      <w:rFonts w:ascii="Cambria" w:eastAsia="SimSu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702B"/>
    <w:pPr>
      <w:tabs>
        <w:tab w:val="center" w:pos="4703"/>
        <w:tab w:val="right" w:pos="9406"/>
      </w:tabs>
    </w:pPr>
  </w:style>
  <w:style w:type="paragraph" w:styleId="Footer">
    <w:name w:val="footer"/>
    <w:basedOn w:val="Normal"/>
    <w:link w:val="FooterChar"/>
    <w:rsid w:val="0099702B"/>
    <w:pPr>
      <w:tabs>
        <w:tab w:val="center" w:pos="4703"/>
        <w:tab w:val="right" w:pos="9406"/>
      </w:tabs>
    </w:pPr>
  </w:style>
  <w:style w:type="character" w:styleId="Hyperlink">
    <w:name w:val="Hyperlink"/>
    <w:basedOn w:val="DefaultParagraphFont"/>
    <w:rsid w:val="0099702B"/>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Heading2Char">
    <w:name w:val="Heading 2 Char"/>
    <w:basedOn w:val="DefaultParagraphFont"/>
    <w:link w:val="Heading2"/>
    <w:semiHidden/>
    <w:rsid w:val="000B2286"/>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semiHidden/>
    <w:rsid w:val="000B2286"/>
    <w:rPr>
      <w:rFonts w:ascii="Cambria" w:eastAsia="SimSun" w:hAnsi="Cambria" w:cs="Times New Roman"/>
      <w:b/>
      <w:bCs/>
      <w:sz w:val="26"/>
      <w:szCs w:val="26"/>
      <w:lang w:eastAsia="en-US"/>
    </w:rPr>
  </w:style>
  <w:style w:type="paragraph" w:customStyle="1" w:styleId="enumlev1">
    <w:name w:val="enumlev1"/>
    <w:basedOn w:val="Normal"/>
    <w:link w:val="enumlev1Char"/>
    <w:rsid w:val="000B2286"/>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rPr>
  </w:style>
  <w:style w:type="paragraph" w:customStyle="1" w:styleId="Headingb">
    <w:name w:val="Heading_b"/>
    <w:basedOn w:val="Normal"/>
    <w:next w:val="Normal"/>
    <w:link w:val="HeadingbChar"/>
    <w:rsid w:val="000B2286"/>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sz w:val="24"/>
      <w:szCs w:val="32"/>
      <w:lang w:val="en-GB"/>
    </w:rPr>
  </w:style>
  <w:style w:type="character" w:customStyle="1" w:styleId="enumlev1Char">
    <w:name w:val="enumlev1 Char"/>
    <w:basedOn w:val="DefaultParagraphFont"/>
    <w:link w:val="enumlev1"/>
    <w:rsid w:val="000B2286"/>
    <w:rPr>
      <w:rFonts w:eastAsia="Batang" w:cs="Traditional Arabic"/>
      <w:sz w:val="22"/>
      <w:szCs w:val="30"/>
      <w:lang w:val="en-GB" w:eastAsia="en-US"/>
    </w:rPr>
  </w:style>
  <w:style w:type="character" w:customStyle="1" w:styleId="HeadingbChar">
    <w:name w:val="Heading_b Char"/>
    <w:basedOn w:val="DefaultParagraphFont"/>
    <w:link w:val="Headingb"/>
    <w:rsid w:val="000B2286"/>
    <w:rPr>
      <w:rFonts w:ascii="Times New Roman Bold" w:eastAsia="Batang" w:hAnsi="Times New Roman Bold" w:cs="Traditional Arabic"/>
      <w:b/>
      <w:bCs/>
      <w:sz w:val="24"/>
      <w:szCs w:val="32"/>
      <w:lang w:val="en-GB" w:eastAsia="en-US"/>
    </w:rPr>
  </w:style>
  <w:style w:type="paragraph" w:customStyle="1" w:styleId="Normalaftertitle">
    <w:name w:val="Normal after title"/>
    <w:basedOn w:val="Normal"/>
    <w:next w:val="Normal"/>
    <w:link w:val="NormalaftertitleChar"/>
    <w:rsid w:val="00A30856"/>
    <w:pPr>
      <w:tabs>
        <w:tab w:val="left" w:pos="794"/>
        <w:tab w:val="left" w:pos="1191"/>
        <w:tab w:val="left" w:pos="1588"/>
        <w:tab w:val="left" w:pos="1985"/>
      </w:tabs>
      <w:overflowPunct w:val="0"/>
      <w:autoSpaceDE w:val="0"/>
      <w:autoSpaceDN w:val="0"/>
      <w:bidi w:val="0"/>
      <w:adjustRightInd w:val="0"/>
      <w:spacing w:before="320" w:line="240" w:lineRule="auto"/>
      <w:jc w:val="left"/>
      <w:textAlignment w:val="baseline"/>
    </w:pPr>
    <w:rPr>
      <w:rFonts w:cs="Times New Roman"/>
      <w:sz w:val="24"/>
      <w:szCs w:val="20"/>
      <w:lang w:val="en-GB"/>
    </w:rPr>
  </w:style>
  <w:style w:type="character" w:customStyle="1" w:styleId="NormalaftertitleChar">
    <w:name w:val="Normal after title Char"/>
    <w:basedOn w:val="DefaultParagraphFont"/>
    <w:link w:val="Normalaftertitle"/>
    <w:rsid w:val="00A30856"/>
    <w:rPr>
      <w:sz w:val="24"/>
      <w:lang w:val="en-GB" w:eastAsia="en-US"/>
    </w:rPr>
  </w:style>
  <w:style w:type="character" w:customStyle="1" w:styleId="FooterChar">
    <w:name w:val="Footer Char"/>
    <w:basedOn w:val="DefaultParagraphFont"/>
    <w:link w:val="Footer"/>
    <w:rsid w:val="005F4416"/>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sbsg13@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file:///C:\Documents%20and%20Settings\schiffer\Local%20Settings\Temporary%20Internet%20Files\Content.Outlook\SUZJPZIW\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6102</CharactersWithSpaces>
  <SharedDoc>false</SharedDoc>
  <HLinks>
    <vt:vector size="12" baseType="variant">
      <vt:variant>
        <vt:i4>2162703</vt:i4>
      </vt:variant>
      <vt:variant>
        <vt:i4>0</vt:i4>
      </vt:variant>
      <vt:variant>
        <vt:i4>0</vt:i4>
      </vt:variant>
      <vt:variant>
        <vt:i4>5</vt:i4>
      </vt:variant>
      <vt:variant>
        <vt:lpwstr>mailto:tsbsg13@itu.int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schiffer</cp:lastModifiedBy>
  <cp:revision>2</cp:revision>
  <cp:lastPrinted>2010-06-10T08:15:00Z</cp:lastPrinted>
  <dcterms:created xsi:type="dcterms:W3CDTF">2010-06-10T13:25:00Z</dcterms:created>
  <dcterms:modified xsi:type="dcterms:W3CDTF">2010-06-10T13:25:00Z</dcterms:modified>
</cp:coreProperties>
</file>