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56" w:rsidRDefault="00205756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205756" w:rsidRPr="00C56944" w:rsidTr="00EE2C4A">
        <w:trPr>
          <w:cantSplit/>
        </w:trPr>
        <w:tc>
          <w:tcPr>
            <w:tcW w:w="3827" w:type="dxa"/>
            <w:vAlign w:val="center"/>
          </w:tcPr>
          <w:p w:rsidR="00205756" w:rsidRPr="00BB168F" w:rsidRDefault="00205756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6096" w:type="dxa"/>
            <w:gridSpan w:val="2"/>
            <w:vAlign w:val="center"/>
          </w:tcPr>
          <w:p w:rsidR="00205756" w:rsidRPr="00C56944" w:rsidRDefault="00205756" w:rsidP="00EE2C4A">
            <w:pPr>
              <w:jc w:val="right"/>
              <w:rPr>
                <w:b/>
                <w:bCs/>
                <w:sz w:val="44"/>
                <w:szCs w:val="44"/>
              </w:rPr>
            </w:pPr>
            <w:r w:rsidRPr="00AE3A86">
              <w:rPr>
                <w:rFonts w:ascii="Times" w:hAnsi="Times"/>
                <w:lang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59.25pt">
                  <v:imagedata r:id="rId6" o:title=""/>
                </v:shape>
              </w:pict>
            </w:r>
          </w:p>
        </w:tc>
      </w:tr>
      <w:tr w:rsidR="00205756" w:rsidRPr="00617BE4" w:rsidTr="00EE2C4A">
        <w:trPr>
          <w:cantSplit/>
        </w:trPr>
        <w:tc>
          <w:tcPr>
            <w:tcW w:w="6803" w:type="dxa"/>
            <w:gridSpan w:val="2"/>
          </w:tcPr>
          <w:p w:rsidR="00205756" w:rsidRPr="00617BE4" w:rsidRDefault="00205756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205756" w:rsidRPr="00617BE4" w:rsidRDefault="00205756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05756" w:rsidTr="00EE2C4A">
        <w:trPr>
          <w:cantSplit/>
          <w:trHeight w:val="340"/>
          <w:jc w:val="center"/>
        </w:trPr>
        <w:tc>
          <w:tcPr>
            <w:tcW w:w="1533" w:type="dxa"/>
          </w:tcPr>
          <w:p w:rsidR="00205756" w:rsidRDefault="002057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05756" w:rsidRDefault="002057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05756" w:rsidRDefault="002057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</w:rPr>
              <w:t>جنيف،</w:t>
            </w:r>
            <w:r>
              <w:rPr>
                <w:sz w:val="21"/>
                <w:szCs w:val="28"/>
                <w:rtl/>
                <w:lang w:bidi="ar-EG"/>
              </w:rPr>
              <w:t xml:space="preserve"> </w:t>
            </w:r>
            <w:r>
              <w:rPr>
                <w:sz w:val="21"/>
                <w:szCs w:val="28"/>
                <w:lang w:bidi="ar-EG"/>
              </w:rPr>
              <w:t>3</w:t>
            </w:r>
            <w:r>
              <w:rPr>
                <w:sz w:val="21"/>
                <w:szCs w:val="28"/>
                <w:rtl/>
                <w:lang w:bidi="ar-EG"/>
              </w:rPr>
              <w:t xml:space="preserve"> فبراير </w:t>
            </w:r>
            <w:r>
              <w:rPr>
                <w:sz w:val="21"/>
                <w:szCs w:val="28"/>
                <w:lang w:bidi="ar-EG"/>
              </w:rPr>
              <w:t>2010</w:t>
            </w:r>
          </w:p>
          <w:p w:rsidR="00205756" w:rsidRDefault="0020575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05756" w:rsidTr="00EE2C4A">
        <w:trPr>
          <w:cantSplit/>
          <w:trHeight w:val="340"/>
          <w:jc w:val="center"/>
        </w:trPr>
        <w:tc>
          <w:tcPr>
            <w:tcW w:w="1533" w:type="dxa"/>
          </w:tcPr>
          <w:p w:rsidR="00205756" w:rsidRDefault="00205756" w:rsidP="00FE1AA4">
            <w:pPr>
              <w:tabs>
                <w:tab w:val="left" w:pos="4111"/>
              </w:tabs>
              <w:spacing w:before="0" w:line="300" w:lineRule="exact"/>
              <w:ind w:left="57"/>
              <w:rPr>
                <w:sz w:val="21"/>
                <w:szCs w:val="28"/>
              </w:rPr>
            </w:pPr>
            <w:r>
              <w:rPr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05756" w:rsidRDefault="00205756" w:rsidP="00FE1AA4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 89</w:t>
            </w:r>
          </w:p>
          <w:p w:rsidR="00205756" w:rsidRDefault="00205756" w:rsidP="00FE1AA4">
            <w:pPr>
              <w:tabs>
                <w:tab w:val="left" w:pos="4111"/>
              </w:tabs>
              <w:spacing w:before="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>COM 13/TK</w:t>
            </w:r>
          </w:p>
        </w:tc>
        <w:tc>
          <w:tcPr>
            <w:tcW w:w="4760" w:type="dxa"/>
          </w:tcPr>
          <w:p w:rsidR="00205756" w:rsidRDefault="00205756" w:rsidP="00FE1AA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إلى إدارات الدول الأعضاء في الاتحاد؛</w:t>
            </w:r>
          </w:p>
          <w:p w:rsidR="00205756" w:rsidRDefault="00205756" w:rsidP="00FE1AA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إلى أعضاء قطاع تقييس الاتصالات؛</w:t>
            </w:r>
          </w:p>
          <w:p w:rsidR="00205756" w:rsidRDefault="00205756" w:rsidP="00FE1AA4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</w:rPr>
            </w:pPr>
            <w:r>
              <w:rPr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إلى المنتسبين إلى قطاع تقييس الاتصالات</w:t>
            </w:r>
          </w:p>
        </w:tc>
      </w:tr>
      <w:tr w:rsidR="00205756" w:rsidTr="00EE2C4A">
        <w:trPr>
          <w:cantSplit/>
          <w:jc w:val="center"/>
        </w:trPr>
        <w:tc>
          <w:tcPr>
            <w:tcW w:w="1533" w:type="dxa"/>
          </w:tcPr>
          <w:p w:rsidR="00205756" w:rsidRDefault="00205756" w:rsidP="00CE1D36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sz w:val="21"/>
                <w:szCs w:val="28"/>
                <w:rtl/>
                <w:lang w:bidi="ar-SY"/>
              </w:rPr>
              <w:t>الهاتف</w:t>
            </w:r>
            <w:r>
              <w:rPr>
                <w:sz w:val="21"/>
                <w:szCs w:val="28"/>
                <w:rtl/>
              </w:rPr>
              <w:t>:</w:t>
            </w:r>
            <w:r>
              <w:rPr>
                <w:sz w:val="21"/>
                <w:szCs w:val="28"/>
                <w:rtl/>
              </w:rPr>
              <w:br/>
              <w:t>الفاكس:</w:t>
            </w:r>
            <w:r>
              <w:rPr>
                <w:sz w:val="21"/>
                <w:szCs w:val="28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205756" w:rsidRDefault="00205756" w:rsidP="00CE1D36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+41 22 730  5126</w:t>
            </w:r>
            <w:r>
              <w:rPr>
                <w:sz w:val="21"/>
                <w:szCs w:val="28"/>
                <w:rtl/>
                <w:lang w:bidi="ar-EG"/>
              </w:rPr>
              <w:br/>
            </w:r>
            <w:r>
              <w:rPr>
                <w:sz w:val="21"/>
                <w:szCs w:val="28"/>
              </w:rPr>
              <w:t>+41 22 730 5853</w:t>
            </w:r>
            <w:r>
              <w:rPr>
                <w:sz w:val="21"/>
                <w:szCs w:val="28"/>
                <w:rtl/>
              </w:rPr>
              <w:br/>
            </w:r>
            <w:hyperlink r:id="rId7" w:history="1">
              <w:r w:rsidRPr="0068021A">
                <w:rPr>
                  <w:rStyle w:val="Hyperlink"/>
                  <w:rFonts w:cs="Traditional Arabic"/>
                  <w:sz w:val="21"/>
                  <w:szCs w:val="28"/>
                </w:rPr>
                <w:t>tsbsg13@itu.int</w:t>
              </w:r>
            </w:hyperlink>
          </w:p>
        </w:tc>
        <w:tc>
          <w:tcPr>
            <w:tcW w:w="4760" w:type="dxa"/>
          </w:tcPr>
          <w:p w:rsidR="00205756" w:rsidRDefault="00205756" w:rsidP="00CE1D36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  <w:lang w:bidi="ar-EG"/>
              </w:rPr>
            </w:pPr>
            <w:r>
              <w:rPr>
                <w:b/>
                <w:bCs/>
                <w:sz w:val="21"/>
                <w:szCs w:val="28"/>
                <w:rtl/>
              </w:rPr>
              <w:t>نسخة إلى:</w:t>
            </w:r>
          </w:p>
          <w:p w:rsidR="00205756" w:rsidRDefault="00205756" w:rsidP="00CE1D3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رئيس لجنة الدراسات </w:t>
            </w:r>
            <w:r>
              <w:rPr>
                <w:sz w:val="21"/>
                <w:szCs w:val="28"/>
              </w:rPr>
              <w:t>13</w:t>
            </w:r>
            <w:r>
              <w:rPr>
                <w:sz w:val="21"/>
                <w:szCs w:val="28"/>
                <w:rtl/>
              </w:rPr>
              <w:t xml:space="preserve"> ونوابه؛</w:t>
            </w:r>
          </w:p>
          <w:p w:rsidR="00205756" w:rsidRDefault="00205756" w:rsidP="00CE1D3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الاتصالات؛</w:t>
            </w:r>
          </w:p>
          <w:p w:rsidR="00205756" w:rsidRDefault="00205756" w:rsidP="001C7A90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</w:rPr>
            </w:pPr>
            <w:r>
              <w:rPr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05756" w:rsidRDefault="00205756">
      <w:pPr>
        <w:spacing w:before="0" w:after="120"/>
        <w:rPr>
          <w:sz w:val="21"/>
          <w:szCs w:val="28"/>
          <w:rtl/>
        </w:rPr>
      </w:pPr>
    </w:p>
    <w:p w:rsidR="00205756" w:rsidRPr="00BA7B07" w:rsidRDefault="00205756" w:rsidP="0035463C">
      <w:pPr>
        <w:spacing w:before="0" w:line="180" w:lineRule="auto"/>
        <w:ind w:left="924" w:right="3240" w:hanging="924"/>
        <w:jc w:val="left"/>
        <w:rPr>
          <w:b/>
          <w:bCs/>
          <w:rtl/>
          <w:lang w:bidi="ar-EG"/>
        </w:rPr>
      </w:pPr>
      <w:r w:rsidRPr="004F7EA2">
        <w:rPr>
          <w:rtl/>
        </w:rPr>
        <w:t>الموضوع:</w:t>
      </w:r>
      <w:r>
        <w:rPr>
          <w:rtl/>
        </w:rPr>
        <w:tab/>
      </w:r>
      <w:r>
        <w:rPr>
          <w:b/>
          <w:bCs/>
          <w:rtl/>
        </w:rPr>
        <w:t xml:space="preserve">الموافقة على توصيتين جديدتين </w:t>
      </w:r>
      <w:r>
        <w:rPr>
          <w:b/>
          <w:bCs/>
        </w:rPr>
        <w:t>ITU-T Y.2007</w:t>
      </w:r>
      <w:r>
        <w:rPr>
          <w:b/>
          <w:bCs/>
          <w:rtl/>
          <w:lang w:bidi="ar-EG"/>
        </w:rPr>
        <w:t xml:space="preserve"> و</w:t>
      </w:r>
      <w:r>
        <w:rPr>
          <w:b/>
          <w:bCs/>
        </w:rPr>
        <w:t>ITU-T Y.2237</w:t>
      </w:r>
    </w:p>
    <w:p w:rsidR="00205756" w:rsidRPr="004F7EA2" w:rsidRDefault="00205756" w:rsidP="00327D19">
      <w:pPr>
        <w:spacing w:before="360" w:line="180" w:lineRule="auto"/>
        <w:rPr>
          <w:rtl/>
          <w:lang w:bidi="ar-EG"/>
        </w:rPr>
      </w:pPr>
      <w:r w:rsidRPr="004F7EA2">
        <w:rPr>
          <w:rtl/>
        </w:rPr>
        <w:t>حضرات السادة والسيدات،</w:t>
      </w:r>
    </w:p>
    <w:p w:rsidR="00205756" w:rsidRPr="004F7EA2" w:rsidRDefault="00205756" w:rsidP="00327D19">
      <w:pPr>
        <w:spacing w:before="160" w:line="180" w:lineRule="auto"/>
        <w:rPr>
          <w:rtl/>
        </w:rPr>
      </w:pPr>
      <w:r w:rsidRPr="004F7EA2">
        <w:rPr>
          <w:rtl/>
        </w:rPr>
        <w:t>تحية طيبة وبعد ...</w:t>
      </w:r>
    </w:p>
    <w:p w:rsidR="00205756" w:rsidRPr="004A339A" w:rsidRDefault="00205756" w:rsidP="00E237D3">
      <w:pPr>
        <w:rPr>
          <w:rtl/>
          <w:lang w:bidi="ar-EG"/>
        </w:rPr>
      </w:pPr>
      <w:r w:rsidRPr="004A339A">
        <w:rPr>
          <w:rFonts w:eastAsia="SimSun"/>
          <w:lang w:bidi="ar-EG"/>
        </w:rPr>
        <w:t>1</w:t>
      </w:r>
      <w:r w:rsidRPr="004A339A">
        <w:rPr>
          <w:rFonts w:eastAsia="SimSun"/>
          <w:lang w:bidi="ar-EG"/>
        </w:rPr>
        <w:tab/>
      </w:r>
      <w:r w:rsidRPr="004A339A">
        <w:rPr>
          <w:rtl/>
          <w:lang w:bidi="ar-EG"/>
        </w:rPr>
        <w:t xml:space="preserve">إلحاقاً بالإعلان </w:t>
      </w:r>
      <w:r w:rsidRPr="004A339A">
        <w:rPr>
          <w:rFonts w:eastAsia="SimSun"/>
          <w:lang w:bidi="ar-EG"/>
        </w:rPr>
        <w:t>TSB AAP-26</w:t>
      </w:r>
      <w:r w:rsidRPr="004A339A">
        <w:rPr>
          <w:rtl/>
          <w:lang w:bidi="ar-EG"/>
        </w:rPr>
        <w:t xml:space="preserve"> (</w:t>
      </w:r>
      <w:r w:rsidRPr="004A339A">
        <w:rPr>
          <w:rFonts w:eastAsia="SimSun"/>
          <w:lang w:bidi="ar-EG"/>
        </w:rPr>
        <w:t>1</w:t>
      </w:r>
      <w:r w:rsidRPr="004A339A">
        <w:rPr>
          <w:rtl/>
          <w:lang w:bidi="ar-EG"/>
        </w:rPr>
        <w:t xml:space="preserve"> ديسمبر </w:t>
      </w:r>
      <w:r w:rsidRPr="004A339A">
        <w:rPr>
          <w:rFonts w:eastAsia="SimSun"/>
          <w:lang w:bidi="ar-EG"/>
        </w:rPr>
        <w:t>(2009</w:t>
      </w:r>
      <w:r w:rsidRPr="004A339A">
        <w:rPr>
          <w:rtl/>
          <w:lang w:bidi="ar-EG"/>
        </w:rPr>
        <w:t xml:space="preserve"> والإعلان </w:t>
      </w:r>
      <w:r w:rsidRPr="004A339A">
        <w:rPr>
          <w:rFonts w:eastAsia="SimSun"/>
          <w:lang w:bidi="ar-EG"/>
        </w:rPr>
        <w:t>TSB AAP-27</w:t>
      </w:r>
      <w:r w:rsidRPr="004A339A">
        <w:rPr>
          <w:rtl/>
          <w:lang w:bidi="ar-EG"/>
        </w:rPr>
        <w:t xml:space="preserve"> (</w:t>
      </w:r>
      <w:r w:rsidRPr="004A339A">
        <w:rPr>
          <w:rFonts w:eastAsia="SimSun"/>
          <w:lang w:bidi="ar-EG"/>
        </w:rPr>
        <w:t>16</w:t>
      </w:r>
      <w:r w:rsidRPr="004A339A">
        <w:rPr>
          <w:rtl/>
          <w:lang w:bidi="ar-EG"/>
        </w:rPr>
        <w:t xml:space="preserve"> ديسمبر </w:t>
      </w:r>
      <w:r w:rsidRPr="004A339A">
        <w:rPr>
          <w:rFonts w:eastAsia="SimSun"/>
          <w:lang w:bidi="ar-EG"/>
        </w:rPr>
        <w:t>(2009</w:t>
      </w:r>
      <w:r w:rsidRPr="004A339A">
        <w:rPr>
          <w:rtl/>
          <w:lang w:bidi="ar-EG"/>
        </w:rPr>
        <w:t>، وعملاً بالفقرة</w:t>
      </w:r>
      <w:r>
        <w:rPr>
          <w:rtl/>
          <w:lang w:bidi="ar-EG"/>
        </w:rPr>
        <w:t> </w:t>
      </w:r>
      <w:r w:rsidRPr="004A339A">
        <w:rPr>
          <w:rFonts w:eastAsia="SimSun"/>
          <w:lang w:bidi="ar-EG"/>
        </w:rPr>
        <w:t>2.6</w:t>
      </w:r>
      <w:r w:rsidRPr="004A339A">
        <w:rPr>
          <w:rtl/>
          <w:lang w:bidi="ar-EG"/>
        </w:rPr>
        <w:t xml:space="preserve"> من التوصية </w:t>
      </w:r>
      <w:r w:rsidRPr="004A339A">
        <w:rPr>
          <w:rFonts w:eastAsia="SimSun"/>
          <w:lang w:bidi="ar-EG"/>
        </w:rPr>
        <w:t>A.8</w:t>
      </w:r>
      <w:r w:rsidRPr="004A339A">
        <w:rPr>
          <w:rtl/>
          <w:lang w:bidi="ar-EG"/>
        </w:rPr>
        <w:t xml:space="preserve"> (جوهانسبرغ، </w:t>
      </w:r>
      <w:r w:rsidRPr="004A339A">
        <w:rPr>
          <w:rFonts w:eastAsia="SimSun"/>
          <w:lang w:bidi="ar-EG"/>
        </w:rPr>
        <w:t>(2008</w:t>
      </w:r>
      <w:r w:rsidRPr="004A339A">
        <w:rPr>
          <w:rtl/>
          <w:lang w:bidi="ar-EG"/>
        </w:rPr>
        <w:t xml:space="preserve">، أود أن أحيطكم علماً أن لجنة الدراسات </w:t>
      </w:r>
      <w:r w:rsidRPr="004A339A">
        <w:rPr>
          <w:rFonts w:eastAsia="SimSun"/>
          <w:lang w:bidi="ar-EG"/>
        </w:rPr>
        <w:t>13</w:t>
      </w:r>
      <w:r w:rsidRPr="004A339A">
        <w:rPr>
          <w:rtl/>
          <w:lang w:bidi="ar-EG"/>
        </w:rPr>
        <w:t xml:space="preserve"> </w:t>
      </w:r>
      <w:r w:rsidRPr="004A339A">
        <w:rPr>
          <w:b/>
          <w:bCs/>
          <w:rtl/>
          <w:lang w:bidi="ar-EG"/>
        </w:rPr>
        <w:t xml:space="preserve">وافقت </w:t>
      </w:r>
      <w:r w:rsidRPr="004A339A">
        <w:rPr>
          <w:rtl/>
          <w:lang w:bidi="ar-EG"/>
        </w:rPr>
        <w:t xml:space="preserve">على نص كل من مشروعي التوصيتين الجديدتين </w:t>
      </w:r>
      <w:r w:rsidRPr="004A339A">
        <w:rPr>
          <w:rFonts w:eastAsia="SimSun"/>
        </w:rPr>
        <w:t>ITU-T Y.2007</w:t>
      </w:r>
      <w:r w:rsidRPr="004A339A">
        <w:rPr>
          <w:b/>
          <w:bCs/>
          <w:rtl/>
          <w:lang w:bidi="ar-EG"/>
        </w:rPr>
        <w:t xml:space="preserve"> و</w:t>
      </w:r>
      <w:r w:rsidRPr="004A339A">
        <w:rPr>
          <w:rFonts w:eastAsia="SimSun"/>
          <w:b/>
          <w:bCs/>
        </w:rPr>
        <w:t xml:space="preserve"> </w:t>
      </w:r>
      <w:r w:rsidRPr="004A339A">
        <w:rPr>
          <w:rFonts w:eastAsia="SimSun"/>
        </w:rPr>
        <w:t>Y.2237</w:t>
      </w:r>
      <w:r w:rsidRPr="004A339A">
        <w:rPr>
          <w:rtl/>
          <w:lang w:bidi="ar-EG"/>
        </w:rPr>
        <w:t xml:space="preserve"> أثناء جلستها العامة المعقودة في </w:t>
      </w:r>
      <w:r w:rsidRPr="004A339A">
        <w:rPr>
          <w:rFonts w:eastAsia="SimSun"/>
          <w:lang w:bidi="ar-EG"/>
        </w:rPr>
        <w:t>29</w:t>
      </w:r>
      <w:r w:rsidRPr="004A339A">
        <w:rPr>
          <w:rtl/>
          <w:lang w:bidi="ar-EG"/>
        </w:rPr>
        <w:t xml:space="preserve"> يناير </w:t>
      </w:r>
      <w:r w:rsidRPr="004A339A">
        <w:rPr>
          <w:rFonts w:eastAsia="SimSun"/>
          <w:lang w:bidi="ar-EG"/>
        </w:rPr>
        <w:t>2010</w:t>
      </w:r>
      <w:r w:rsidRPr="004A339A">
        <w:rPr>
          <w:rtl/>
          <w:lang w:bidi="ar-EG"/>
        </w:rPr>
        <w:t>.</w:t>
      </w:r>
    </w:p>
    <w:p w:rsidR="00205756" w:rsidRPr="004A339A" w:rsidRDefault="00205756" w:rsidP="005466F9">
      <w:pPr>
        <w:rPr>
          <w:rtl/>
          <w:lang w:bidi="ar-EG"/>
        </w:rPr>
      </w:pPr>
      <w:r w:rsidRPr="004A339A">
        <w:rPr>
          <w:rFonts w:eastAsia="SimSun"/>
          <w:lang w:bidi="ar-EG"/>
        </w:rPr>
        <w:t>2</w:t>
      </w:r>
      <w:r w:rsidRPr="004A339A">
        <w:rPr>
          <w:rFonts w:eastAsia="SimSun"/>
          <w:lang w:bidi="ar-EG"/>
        </w:rPr>
        <w:tab/>
      </w:r>
      <w:r w:rsidRPr="004A339A">
        <w:rPr>
          <w:rtl/>
          <w:lang w:bidi="ar-EG"/>
        </w:rPr>
        <w:t xml:space="preserve">ويرد فيما يلي عنوان كل من التوصيتين الجديدتين </w:t>
      </w:r>
      <w:r w:rsidRPr="004A339A">
        <w:rPr>
          <w:rFonts w:eastAsia="SimSun"/>
        </w:rPr>
        <w:t>ITU-T Y.2007</w:t>
      </w:r>
      <w:r w:rsidRPr="004A339A">
        <w:rPr>
          <w:rtl/>
          <w:lang w:bidi="ar-EG"/>
        </w:rPr>
        <w:t xml:space="preserve"> و</w:t>
      </w:r>
      <w:r w:rsidRPr="004A339A">
        <w:rPr>
          <w:rFonts w:eastAsia="SimSun"/>
        </w:rPr>
        <w:t>ITU-T Y.2237</w:t>
      </w:r>
      <w:r w:rsidRPr="004A339A">
        <w:rPr>
          <w:rtl/>
          <w:lang w:bidi="ar-EG"/>
        </w:rPr>
        <w:t xml:space="preserve"> اللتين حظيتا بالموافقة:</w:t>
      </w:r>
    </w:p>
    <w:p w:rsidR="00205756" w:rsidRPr="004A339A" w:rsidRDefault="00205756" w:rsidP="005466F9">
      <w:pPr>
        <w:tabs>
          <w:tab w:val="left" w:pos="720"/>
          <w:tab w:val="left" w:pos="1701"/>
        </w:tabs>
        <w:rPr>
          <w:rtl/>
          <w:lang w:bidi="ar-EG"/>
        </w:rPr>
      </w:pPr>
      <w:r w:rsidRPr="004A339A">
        <w:rPr>
          <w:rtl/>
          <w:lang w:bidi="ar-EG"/>
        </w:rPr>
        <w:tab/>
      </w:r>
      <w:r w:rsidRPr="004A339A">
        <w:rPr>
          <w:rFonts w:eastAsia="SimSun"/>
          <w:lang w:bidi="ar-EG"/>
        </w:rPr>
        <w:t>Y.2007</w:t>
      </w:r>
      <w:r w:rsidRPr="004A339A">
        <w:rPr>
          <w:rtl/>
          <w:lang w:bidi="ar-EG"/>
        </w:rPr>
        <w:t>:</w:t>
      </w:r>
      <w:r w:rsidRPr="004A339A">
        <w:rPr>
          <w:rtl/>
          <w:lang w:bidi="ar-EG"/>
        </w:rPr>
        <w:tab/>
      </w:r>
      <w:r w:rsidRPr="004A339A">
        <w:rPr>
          <w:i/>
          <w:iCs/>
          <w:rtl/>
          <w:lang w:bidi="ar-EG"/>
        </w:rPr>
        <w:t xml:space="preserve">المجموعة </w:t>
      </w:r>
      <w:r w:rsidRPr="004A339A">
        <w:rPr>
          <w:rFonts w:eastAsia="SimSun"/>
          <w:i/>
          <w:iCs/>
          <w:lang w:bidi="ar-EG"/>
        </w:rPr>
        <w:t>2</w:t>
      </w:r>
      <w:r w:rsidRPr="004A339A">
        <w:rPr>
          <w:i/>
          <w:iCs/>
          <w:rtl/>
          <w:lang w:bidi="ar-EG"/>
        </w:rPr>
        <w:t xml:space="preserve"> لمقدرات شبكات الجيل التالي</w:t>
      </w:r>
      <w:r w:rsidRPr="004A339A">
        <w:rPr>
          <w:rtl/>
          <w:lang w:bidi="ar-EG"/>
        </w:rPr>
        <w:t>.</w:t>
      </w:r>
    </w:p>
    <w:p w:rsidR="00205756" w:rsidRPr="004A339A" w:rsidRDefault="00205756" w:rsidP="005466F9">
      <w:pPr>
        <w:tabs>
          <w:tab w:val="left" w:pos="720"/>
          <w:tab w:val="left" w:pos="1701"/>
        </w:tabs>
        <w:ind w:left="1701" w:hanging="1701"/>
        <w:rPr>
          <w:i/>
          <w:iCs/>
          <w:rtl/>
          <w:lang w:bidi="ar-EG"/>
        </w:rPr>
      </w:pPr>
      <w:r w:rsidRPr="004A339A">
        <w:rPr>
          <w:rtl/>
          <w:lang w:bidi="ar-EG"/>
        </w:rPr>
        <w:tab/>
      </w:r>
      <w:r w:rsidRPr="004A339A">
        <w:rPr>
          <w:rFonts w:eastAsia="SimSun"/>
          <w:lang w:bidi="ar-EG"/>
        </w:rPr>
        <w:t>Y.2237</w:t>
      </w:r>
      <w:r w:rsidRPr="004A339A">
        <w:rPr>
          <w:rtl/>
          <w:lang w:bidi="ar-EG"/>
        </w:rPr>
        <w:t>:</w:t>
      </w:r>
      <w:r w:rsidRPr="004A339A">
        <w:rPr>
          <w:rtl/>
          <w:lang w:bidi="ar-EG"/>
        </w:rPr>
        <w:tab/>
      </w:r>
      <w:r w:rsidRPr="004A339A">
        <w:rPr>
          <w:i/>
          <w:iCs/>
          <w:rtl/>
          <w:lang w:bidi="ar-EG"/>
        </w:rPr>
        <w:t>نموذج وظيفي وسيناريوهات الخدمة في الخدمة الهاتفية القائمة على بروتوكول الإنترنت ذات نوعية الخدمة المعززة.</w:t>
      </w:r>
    </w:p>
    <w:p w:rsidR="00205756" w:rsidRPr="004A339A" w:rsidRDefault="00205756" w:rsidP="005466F9">
      <w:pPr>
        <w:rPr>
          <w:spacing w:val="-5"/>
          <w:rtl/>
          <w:lang w:bidi="ar-EG"/>
        </w:rPr>
      </w:pPr>
      <w:r w:rsidRPr="004A339A">
        <w:rPr>
          <w:rFonts w:eastAsia="SimSun"/>
        </w:rPr>
        <w:t>3</w:t>
      </w:r>
      <w:r w:rsidRPr="004A339A">
        <w:rPr>
          <w:rFonts w:eastAsia="SimSun"/>
        </w:rPr>
        <w:tab/>
      </w:r>
      <w:r w:rsidRPr="004A339A">
        <w:rPr>
          <w:spacing w:val="-5"/>
          <w:rtl/>
        </w:rPr>
        <w:t>ويمكن الاطلاع على معلومات براءات الاختراع المتاحة على الخط مباشرة في الموقع الإلكتروني لقطاع تقييس الاتصالات.</w:t>
      </w:r>
    </w:p>
    <w:p w:rsidR="00205756" w:rsidRPr="004A339A" w:rsidRDefault="00205756" w:rsidP="005466F9">
      <w:pPr>
        <w:rPr>
          <w:rtl/>
          <w:lang w:bidi="ar-EG"/>
        </w:rPr>
      </w:pPr>
      <w:r w:rsidRPr="004A339A">
        <w:rPr>
          <w:rFonts w:eastAsia="SimSun"/>
        </w:rPr>
        <w:t>4</w:t>
      </w:r>
      <w:r w:rsidRPr="004A339A">
        <w:rPr>
          <w:rFonts w:eastAsia="SimSun"/>
        </w:rPr>
        <w:tab/>
      </w:r>
      <w:r w:rsidRPr="004A339A">
        <w:rPr>
          <w:rtl/>
        </w:rPr>
        <w:t>وسيتوفر قريباً نص كل من التوصيتين في نسخة مسبقة النشر في الموقع الإلكتروني لقطاع تقييس الاتصالات</w:t>
      </w:r>
      <w:r w:rsidRPr="004A339A">
        <w:rPr>
          <w:rtl/>
          <w:lang w:bidi="ar-EG"/>
        </w:rPr>
        <w:t>.</w:t>
      </w:r>
    </w:p>
    <w:p w:rsidR="00205756" w:rsidRPr="004A339A" w:rsidRDefault="00205756" w:rsidP="005466F9">
      <w:pPr>
        <w:rPr>
          <w:rtl/>
          <w:lang w:bidi="ar-EG"/>
        </w:rPr>
      </w:pPr>
      <w:r w:rsidRPr="004A339A">
        <w:rPr>
          <w:rFonts w:eastAsia="SimSun"/>
        </w:rPr>
        <w:t>5</w:t>
      </w:r>
      <w:r w:rsidRPr="004A339A">
        <w:rPr>
          <w:rtl/>
          <w:lang w:bidi="ar-SY"/>
        </w:rPr>
        <w:tab/>
        <w:t>وسينشر الاتحاد نصوص هاتين التوصيتين بأسرع ما يمكن.</w:t>
      </w:r>
    </w:p>
    <w:p w:rsidR="00205756" w:rsidRPr="004A339A" w:rsidRDefault="00205756" w:rsidP="00182C13">
      <w:pPr>
        <w:spacing w:before="240"/>
        <w:rPr>
          <w:rtl/>
          <w:lang w:bidi="ar-EG"/>
        </w:rPr>
      </w:pPr>
      <w:r w:rsidRPr="004A339A">
        <w:rPr>
          <w:rtl/>
          <w:lang w:bidi="ar-EG"/>
        </w:rPr>
        <w:t>وتفضلوا بقبول فائق التقدير والاحترام.</w:t>
      </w:r>
    </w:p>
    <w:p w:rsidR="00205756" w:rsidRDefault="00205756" w:rsidP="004A339A">
      <w:pPr>
        <w:tabs>
          <w:tab w:val="left" w:pos="2423"/>
        </w:tabs>
        <w:spacing w:before="1440" w:line="180" w:lineRule="auto"/>
        <w:jc w:val="left"/>
        <w:rPr>
          <w:sz w:val="21"/>
          <w:szCs w:val="28"/>
          <w:rtl/>
          <w:lang w:bidi="ar-EG"/>
        </w:rPr>
      </w:pPr>
      <w:r w:rsidRPr="004A339A">
        <w:rPr>
          <w:rtl/>
        </w:rPr>
        <w:t>مالكولم جونسون</w:t>
      </w:r>
      <w:r w:rsidRPr="004A339A">
        <w:rPr>
          <w:rtl/>
          <w:lang w:bidi="ar-EG"/>
        </w:rPr>
        <w:br/>
        <w:t>مدير مكتب تقييس الاتصالات</w:t>
      </w:r>
    </w:p>
    <w:sectPr w:rsidR="00205756" w:rsidSect="00EE2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701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56" w:rsidRDefault="00205756">
      <w:r>
        <w:separator/>
      </w:r>
    </w:p>
  </w:endnote>
  <w:endnote w:type="continuationSeparator" w:id="0">
    <w:p w:rsidR="00205756" w:rsidRDefault="0020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56" w:rsidRDefault="002057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56" w:rsidRDefault="00205756">
    <w:pPr>
      <w:pStyle w:val="Footer"/>
      <w:tabs>
        <w:tab w:val="clear" w:pos="9406"/>
        <w:tab w:val="right" w:pos="9617"/>
      </w:tabs>
      <w:bidi w:val="0"/>
      <w:spacing w:before="0"/>
      <w:rPr>
        <w:sz w:val="20"/>
        <w:szCs w:val="26"/>
        <w:lang w:val="fr-FR"/>
      </w:rPr>
    </w:pPr>
    <w:fldSimple w:instr=" FILENAME \p \* MERGEFORMAT ">
      <w:r>
        <w:rPr>
          <w:noProof/>
          <w:sz w:val="20"/>
          <w:szCs w:val="26"/>
          <w:lang w:val="fr-FR"/>
        </w:rPr>
        <w:t>P:\ARA\ITU-T\BUREAU\CIRC\000\089A.docx</w:t>
      </w:r>
    </w:fldSimple>
    <w:r>
      <w:rPr>
        <w:sz w:val="20"/>
        <w:szCs w:val="26"/>
        <w:lang w:val="fr-FR"/>
      </w:rPr>
      <w:t xml:space="preserve">   (283769)</w:t>
    </w:r>
    <w:r>
      <w:rPr>
        <w:sz w:val="20"/>
        <w:szCs w:val="26"/>
        <w:lang w:val="fr-FR"/>
      </w:rPr>
      <w:tab/>
    </w:r>
    <w:r>
      <w:rPr>
        <w:sz w:val="20"/>
        <w:szCs w:val="26"/>
        <w:lang w:val="fr-FR"/>
      </w:rPr>
      <w:tab/>
      <w:t>15.12.04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149" w:type="dxa"/>
      <w:tblInd w:w="-284" w:type="dxa"/>
      <w:tblLayout w:type="fixed"/>
      <w:tblLook w:val="0000"/>
    </w:tblPr>
    <w:tblGrid>
      <w:gridCol w:w="9757"/>
    </w:tblGrid>
    <w:tr w:rsidR="00205756">
      <w:tc>
        <w:tcPr>
          <w:tcW w:w="10149" w:type="dxa"/>
        </w:tcPr>
        <w:p w:rsidR="00205756" w:rsidRDefault="00205756" w:rsidP="00F34988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205756" w:rsidRDefault="00205756" w:rsidP="00F3498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205756" w:rsidRDefault="00205756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205756" w:rsidRPr="00FD2FBA" w:rsidRDefault="00205756" w:rsidP="00FD2FBA">
    <w:pPr>
      <w:tabs>
        <w:tab w:val="left" w:pos="5670"/>
        <w:tab w:val="right" w:pos="9639"/>
      </w:tabs>
      <w:bidi w:val="0"/>
      <w:spacing w:before="0" w:line="276" w:lineRule="auto"/>
      <w:jc w:val="left"/>
      <w:rPr>
        <w:rFonts w:eastAsia="SimSun" w:cs="Times New Roman"/>
        <w:noProof/>
        <w:vanish/>
        <w:sz w:val="16"/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56" w:rsidRDefault="00205756">
      <w:r>
        <w:separator/>
      </w:r>
    </w:p>
  </w:footnote>
  <w:footnote w:type="continuationSeparator" w:id="0">
    <w:p w:rsidR="00205756" w:rsidRDefault="00205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56" w:rsidRDefault="002057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56" w:rsidRDefault="002057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56" w:rsidRDefault="002057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1B"/>
    <w:rsid w:val="00026EF4"/>
    <w:rsid w:val="00056515"/>
    <w:rsid w:val="0007351F"/>
    <w:rsid w:val="00075A54"/>
    <w:rsid w:val="000B4DB6"/>
    <w:rsid w:val="000C1E88"/>
    <w:rsid w:val="00100B90"/>
    <w:rsid w:val="00112A61"/>
    <w:rsid w:val="00182C13"/>
    <w:rsid w:val="001C7A90"/>
    <w:rsid w:val="001F47BA"/>
    <w:rsid w:val="00205756"/>
    <w:rsid w:val="0027101B"/>
    <w:rsid w:val="00310D57"/>
    <w:rsid w:val="00327D19"/>
    <w:rsid w:val="0035150F"/>
    <w:rsid w:val="0035463C"/>
    <w:rsid w:val="00357D8E"/>
    <w:rsid w:val="003A7B72"/>
    <w:rsid w:val="003F047B"/>
    <w:rsid w:val="00403BC1"/>
    <w:rsid w:val="00487180"/>
    <w:rsid w:val="004A339A"/>
    <w:rsid w:val="004C225F"/>
    <w:rsid w:val="004E63E7"/>
    <w:rsid w:val="004F7EA2"/>
    <w:rsid w:val="0053392E"/>
    <w:rsid w:val="00540F7C"/>
    <w:rsid w:val="005466F9"/>
    <w:rsid w:val="00607F7E"/>
    <w:rsid w:val="00617BE4"/>
    <w:rsid w:val="00642ACB"/>
    <w:rsid w:val="00670383"/>
    <w:rsid w:val="0068021A"/>
    <w:rsid w:val="00741B84"/>
    <w:rsid w:val="007A418B"/>
    <w:rsid w:val="007C4670"/>
    <w:rsid w:val="00831DA9"/>
    <w:rsid w:val="00883266"/>
    <w:rsid w:val="008A5215"/>
    <w:rsid w:val="008E503A"/>
    <w:rsid w:val="008F36A8"/>
    <w:rsid w:val="009A68D4"/>
    <w:rsid w:val="00A8423C"/>
    <w:rsid w:val="00AD4EA1"/>
    <w:rsid w:val="00AE3A86"/>
    <w:rsid w:val="00B1587B"/>
    <w:rsid w:val="00B25192"/>
    <w:rsid w:val="00B53CFB"/>
    <w:rsid w:val="00BA7B07"/>
    <w:rsid w:val="00BB168F"/>
    <w:rsid w:val="00BC00E5"/>
    <w:rsid w:val="00BE1F74"/>
    <w:rsid w:val="00C003B2"/>
    <w:rsid w:val="00C55630"/>
    <w:rsid w:val="00C56944"/>
    <w:rsid w:val="00CE1180"/>
    <w:rsid w:val="00CE1D36"/>
    <w:rsid w:val="00D16E33"/>
    <w:rsid w:val="00D718F9"/>
    <w:rsid w:val="00D819C4"/>
    <w:rsid w:val="00D828E0"/>
    <w:rsid w:val="00DA57A5"/>
    <w:rsid w:val="00DE56BF"/>
    <w:rsid w:val="00E237D3"/>
    <w:rsid w:val="00E5391A"/>
    <w:rsid w:val="00E94145"/>
    <w:rsid w:val="00EE2C4A"/>
    <w:rsid w:val="00EE4A38"/>
    <w:rsid w:val="00EE6CCC"/>
    <w:rsid w:val="00F107DD"/>
    <w:rsid w:val="00F34988"/>
    <w:rsid w:val="00F57F01"/>
    <w:rsid w:val="00FA690A"/>
    <w:rsid w:val="00FD2FBA"/>
    <w:rsid w:val="00FD65B7"/>
    <w:rsid w:val="00FE1AA4"/>
    <w:rsid w:val="00FF05A6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86"/>
    <w:pPr>
      <w:bidi/>
      <w:spacing w:before="120" w:line="192" w:lineRule="auto"/>
      <w:jc w:val="both"/>
    </w:pPr>
    <w:rPr>
      <w:rFonts w:cs="Traditional Arabic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3A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67A"/>
    <w:rPr>
      <w:rFonts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rsid w:val="00AE3A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67A"/>
    <w:rPr>
      <w:rFonts w:cs="Traditional Arabic"/>
      <w:szCs w:val="30"/>
      <w:lang w:eastAsia="en-US"/>
    </w:rPr>
  </w:style>
  <w:style w:type="character" w:styleId="Hyperlink">
    <w:name w:val="Hyperlink"/>
    <w:basedOn w:val="DefaultParagraphFont"/>
    <w:uiPriority w:val="99"/>
    <w:rsid w:val="00AE3A8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1</TotalTime>
  <Pages>1</Pages>
  <Words>213</Words>
  <Characters>1220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schiffer</cp:lastModifiedBy>
  <cp:revision>2</cp:revision>
  <cp:lastPrinted>2010-02-04T17:43:00Z</cp:lastPrinted>
  <dcterms:created xsi:type="dcterms:W3CDTF">2010-02-10T16:38:00Z</dcterms:created>
  <dcterms:modified xsi:type="dcterms:W3CDTF">2010-02-10T16:38:00Z</dcterms:modified>
</cp:coreProperties>
</file>