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Default="00E643A2" w:rsidP="001E677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1E6776">
        <w:t>8</w:t>
      </w:r>
      <w:r w:rsidR="00574834">
        <w:t xml:space="preserve"> October</w:t>
      </w:r>
      <w:r w:rsidR="0049754E">
        <w:t xml:space="preserve"> 2010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4685"/>
        <w:gridCol w:w="4536"/>
      </w:tblGrid>
      <w:tr w:rsidR="00E643A2" w:rsidTr="00226450">
        <w:trPr>
          <w:cantSplit/>
          <w:trHeight w:val="340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685" w:type="dxa"/>
          </w:tcPr>
          <w:p w:rsidR="00E643A2" w:rsidRDefault="0049754E" w:rsidP="0057483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574834">
              <w:rPr>
                <w:b/>
              </w:rPr>
              <w:t>5</w:t>
            </w:r>
            <w:r>
              <w:rPr>
                <w:b/>
              </w:rPr>
              <w:t>/SG3RG-LAC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226450">
        <w:trPr>
          <w:cantSplit/>
        </w:trPr>
        <w:tc>
          <w:tcPr>
            <w:tcW w:w="985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685" w:type="dxa"/>
          </w:tcPr>
          <w:p w:rsidR="00E643A2" w:rsidRDefault="00E643A2" w:rsidP="0049754E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9754E">
              <w:t xml:space="preserve"> 5887</w:t>
            </w:r>
            <w:r>
              <w:br/>
              <w:t>+41 22 730 5853</w:t>
            </w:r>
            <w:r>
              <w:br/>
            </w:r>
            <w:hyperlink r:id="rId8" w:history="1">
              <w:r w:rsidR="0049754E" w:rsidRPr="003B43E0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E643A2" w:rsidP="0049754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</w:t>
            </w:r>
            <w:r w:rsidR="0049754E">
              <w:t>the members of the Study Group 3 Regional Group for Latin America and the Caribbean (SG3RG-LAC)</w:t>
            </w:r>
          </w:p>
        </w:tc>
      </w:tr>
    </w:tbl>
    <w:p w:rsidR="00E643A2" w:rsidRDefault="00E643A2" w:rsidP="00CF27E8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8788"/>
      </w:tblGrid>
      <w:tr w:rsidR="00E643A2" w:rsidTr="00226450">
        <w:trPr>
          <w:cantSplit/>
          <w:trHeight w:val="799"/>
        </w:trPr>
        <w:tc>
          <w:tcPr>
            <w:tcW w:w="985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788" w:type="dxa"/>
          </w:tcPr>
          <w:p w:rsidR="00574834" w:rsidRPr="009E0E56" w:rsidRDefault="00574834" w:rsidP="0057483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Questionnaire on the economic and tariff consequences of convergence and next-generation networks (NGN) for SG3RG-LAC</w:t>
            </w:r>
          </w:p>
        </w:tc>
      </w:tr>
      <w:tr w:rsidR="00226450" w:rsidTr="00226450">
        <w:trPr>
          <w:cantSplit/>
          <w:trHeight w:val="680"/>
        </w:trPr>
        <w:tc>
          <w:tcPr>
            <w:tcW w:w="985" w:type="dxa"/>
          </w:tcPr>
          <w:p w:rsidR="00226450" w:rsidRPr="00226450" w:rsidRDefault="00226450" w:rsidP="0057133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>
              <w:rPr>
                <w:sz w:val="22"/>
              </w:rPr>
              <w:t>Deadline:</w:t>
            </w:r>
          </w:p>
        </w:tc>
        <w:tc>
          <w:tcPr>
            <w:tcW w:w="8788" w:type="dxa"/>
          </w:tcPr>
          <w:p w:rsidR="00226450" w:rsidRDefault="00226450" w:rsidP="0057483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CF27E8">
              <w:t>All replies to be received by TSB by</w:t>
            </w:r>
            <w:r>
              <w:rPr>
                <w:b/>
                <w:bCs/>
              </w:rPr>
              <w:t xml:space="preserve"> 15 January 2011</w:t>
            </w:r>
          </w:p>
        </w:tc>
      </w:tr>
    </w:tbl>
    <w:p w:rsidR="00E643A2" w:rsidRDefault="00E643A2" w:rsidP="00E643A2">
      <w:r>
        <w:t>Dear Sir/Madam,</w:t>
      </w:r>
    </w:p>
    <w:p w:rsidR="00574834" w:rsidRDefault="00E643A2" w:rsidP="00F84311">
      <w:r>
        <w:rPr>
          <w:bCs/>
        </w:rPr>
        <w:t>1</w:t>
      </w:r>
      <w:r>
        <w:tab/>
      </w:r>
      <w:r w:rsidR="00F3118A">
        <w:t xml:space="preserve">At </w:t>
      </w:r>
      <w:r w:rsidR="00F84311">
        <w:t xml:space="preserve">the meeting that took place in Lima, Peru, from 23 to 26 June </w:t>
      </w:r>
      <w:r w:rsidR="00F3118A">
        <w:t>2009</w:t>
      </w:r>
      <w:r w:rsidR="004C7488">
        <w:t xml:space="preserve">, </w:t>
      </w:r>
      <w:r w:rsidR="00F3118A">
        <w:t xml:space="preserve">the ITU-T Study Group 3 Regional Group for Latin America and the Caribbean (SG3RG-LAC) decided to include the subject of </w:t>
      </w:r>
      <w:r w:rsidR="00F3118A" w:rsidRPr="00F3118A">
        <w:t>the economic and tariff consequences of convergence and next-generation networks (NGN)</w:t>
      </w:r>
      <w:r w:rsidR="00F3118A">
        <w:t xml:space="preserve"> in its work programme.  It was further agreed that the work and discussions on this subject should also include case studies.</w:t>
      </w:r>
    </w:p>
    <w:p w:rsidR="002A4DCE" w:rsidRDefault="00226450" w:rsidP="00F84311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</w:r>
      <w:r w:rsidR="00F3118A">
        <w:rPr>
          <w:szCs w:val="24"/>
        </w:rPr>
        <w:t xml:space="preserve">In order to collect these case studies, a questionnaire was devised </w:t>
      </w:r>
      <w:r>
        <w:rPr>
          <w:szCs w:val="24"/>
        </w:rPr>
        <w:t>and sent to the mailing list of the group back in January 2010 and an interim report was presented to the 2010 meeting of the group</w:t>
      </w:r>
      <w:r w:rsidR="00CF27E8">
        <w:rPr>
          <w:szCs w:val="24"/>
        </w:rPr>
        <w:t xml:space="preserve"> (Santo Domingo, 6-9 July 2010)</w:t>
      </w:r>
      <w:r>
        <w:rPr>
          <w:szCs w:val="24"/>
        </w:rPr>
        <w:t xml:space="preserve">, by the </w:t>
      </w:r>
      <w:proofErr w:type="spellStart"/>
      <w:r w:rsidR="00F84311">
        <w:rPr>
          <w:szCs w:val="24"/>
        </w:rPr>
        <w:t>Rapporteur</w:t>
      </w:r>
      <w:proofErr w:type="spellEnd"/>
      <w:r>
        <w:rPr>
          <w:szCs w:val="24"/>
        </w:rPr>
        <w:t xml:space="preserve"> for this matter.  Unfortunately, only one reply was received.</w:t>
      </w:r>
    </w:p>
    <w:p w:rsidR="00226450" w:rsidRDefault="00226450" w:rsidP="00226450">
      <w:pPr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  <w:t xml:space="preserve">At this </w:t>
      </w:r>
      <w:r w:rsidR="00CF27E8">
        <w:rPr>
          <w:szCs w:val="24"/>
        </w:rPr>
        <w:t xml:space="preserve">same </w:t>
      </w:r>
      <w:r>
        <w:rPr>
          <w:szCs w:val="24"/>
        </w:rPr>
        <w:t xml:space="preserve">meeting, the SG3RG-LAC reiterated the importance of </w:t>
      </w:r>
      <w:r w:rsidR="00CF27E8">
        <w:rPr>
          <w:szCs w:val="24"/>
        </w:rPr>
        <w:t xml:space="preserve">the case studies for the thorough discussion of </w:t>
      </w:r>
      <w:r>
        <w:rPr>
          <w:szCs w:val="24"/>
        </w:rPr>
        <w:t>this subject and thus the TSB has decided to disseminate the questionnaire to all the Administrations in the region through this Collective letter.</w:t>
      </w:r>
    </w:p>
    <w:p w:rsidR="00226450" w:rsidRDefault="00226450" w:rsidP="00CF27E8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 w:rsidR="00CF27E8">
        <w:rPr>
          <w:szCs w:val="24"/>
        </w:rPr>
        <w:t xml:space="preserve">You may send your reply either by fax to +41 22 730 5853, or by email to </w:t>
      </w:r>
      <w:hyperlink r:id="rId9" w:history="1">
        <w:r w:rsidR="00CF27E8" w:rsidRPr="00B805F2">
          <w:rPr>
            <w:rStyle w:val="Hyperlink"/>
            <w:szCs w:val="24"/>
          </w:rPr>
          <w:t>tsbsg3@itu.int</w:t>
        </w:r>
      </w:hyperlink>
      <w:r w:rsidR="00CF27E8">
        <w:rPr>
          <w:szCs w:val="24"/>
        </w:rPr>
        <w:t xml:space="preserve">. </w:t>
      </w:r>
    </w:p>
    <w:p w:rsidR="00CF27E8" w:rsidRDefault="00CF27E8" w:rsidP="00CF27E8">
      <w:pPr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</w:r>
      <w:r w:rsidRPr="00F7126F">
        <w:t xml:space="preserve">I rely on your cooperation in making sure that your replies are as accurate as possible and reach </w:t>
      </w:r>
      <w:r>
        <w:t xml:space="preserve">the TSB </w:t>
      </w:r>
      <w:r w:rsidRPr="00F7126F">
        <w:t>before the deadline.</w:t>
      </w:r>
    </w:p>
    <w:p w:rsidR="00036A40" w:rsidRDefault="00036A40" w:rsidP="00CF27E8">
      <w:pPr>
        <w:spacing w:before="240"/>
        <w:ind w:right="92"/>
      </w:pPr>
      <w:r>
        <w:t>Yours faithfully,</w:t>
      </w:r>
    </w:p>
    <w:p w:rsidR="00036A40" w:rsidRDefault="002A7DD3" w:rsidP="00CF27E8">
      <w:pPr>
        <w:spacing w:before="1440"/>
        <w:ind w:right="91"/>
      </w:pPr>
      <w:r w:rsidRPr="002A7DD3">
        <w:rPr>
          <w:lang w:val="en-US"/>
        </w:rPr>
        <w:t>Malcolm Johnson</w:t>
      </w:r>
      <w:r w:rsidR="00036A40">
        <w:br/>
        <w:t>Director of the Telecommunication</w:t>
      </w:r>
      <w:r w:rsidR="00036A40">
        <w:br/>
        <w:t>Standardization Bureau</w:t>
      </w:r>
    </w:p>
    <w:p w:rsidR="00732428" w:rsidRDefault="00036A40" w:rsidP="00CF27E8">
      <w:pPr>
        <w:spacing w:before="240"/>
        <w:ind w:right="92"/>
        <w:rPr>
          <w:szCs w:val="24"/>
        </w:rPr>
      </w:pPr>
      <w:r w:rsidRPr="00A27862">
        <w:rPr>
          <w:b/>
          <w:lang w:val="en-US"/>
        </w:rPr>
        <w:t>Annex:</w:t>
      </w:r>
      <w:r w:rsidR="00732428" w:rsidRPr="00A27862">
        <w:rPr>
          <w:b/>
          <w:lang w:val="en-US"/>
        </w:rPr>
        <w:t xml:space="preserve"> </w:t>
      </w:r>
      <w:r w:rsidR="00732428" w:rsidRPr="00A27862">
        <w:rPr>
          <w:lang w:val="en-US"/>
        </w:rPr>
        <w:t>1</w:t>
      </w:r>
      <w:r w:rsidR="00732428">
        <w:rPr>
          <w:szCs w:val="24"/>
        </w:rPr>
        <w:br w:type="page"/>
      </w:r>
    </w:p>
    <w:p w:rsidR="00686E0F" w:rsidRDefault="00574834" w:rsidP="00574834">
      <w:pPr>
        <w:jc w:val="center"/>
        <w:rPr>
          <w:szCs w:val="24"/>
        </w:rPr>
      </w:pPr>
      <w:r>
        <w:rPr>
          <w:szCs w:val="24"/>
        </w:rPr>
        <w:lastRenderedPageBreak/>
        <w:t>ANNEX</w:t>
      </w:r>
      <w:r w:rsidR="00732428">
        <w:rPr>
          <w:szCs w:val="24"/>
        </w:rPr>
        <w:br/>
        <w:t xml:space="preserve">(to TSB Collective letter </w:t>
      </w:r>
      <w:r>
        <w:rPr>
          <w:szCs w:val="24"/>
        </w:rPr>
        <w:t>5</w:t>
      </w:r>
      <w:r w:rsidR="00732428">
        <w:rPr>
          <w:szCs w:val="24"/>
        </w:rPr>
        <w:t>/SG3RG-LAC)</w:t>
      </w:r>
    </w:p>
    <w:p w:rsidR="00732428" w:rsidRDefault="00732428" w:rsidP="00732428">
      <w:pPr>
        <w:jc w:val="center"/>
        <w:rPr>
          <w:szCs w:val="24"/>
        </w:rPr>
      </w:pPr>
    </w:p>
    <w:p w:rsidR="00D47C5F" w:rsidRPr="00574834" w:rsidRDefault="00574834" w:rsidP="00574834">
      <w:pPr>
        <w:jc w:val="center"/>
        <w:rPr>
          <w:b/>
          <w:bCs/>
          <w:i/>
          <w:iCs/>
          <w:sz w:val="28"/>
          <w:szCs w:val="28"/>
        </w:rPr>
      </w:pPr>
      <w:r w:rsidRPr="00574834">
        <w:rPr>
          <w:b/>
          <w:bCs/>
          <w:i/>
          <w:iCs/>
          <w:sz w:val="28"/>
          <w:szCs w:val="28"/>
        </w:rPr>
        <w:t>Questionnaire on the economic and tariff consequences</w:t>
      </w:r>
      <w:r>
        <w:rPr>
          <w:b/>
          <w:bCs/>
          <w:i/>
          <w:iCs/>
          <w:sz w:val="28"/>
          <w:szCs w:val="28"/>
        </w:rPr>
        <w:br/>
      </w:r>
      <w:r w:rsidRPr="00574834">
        <w:rPr>
          <w:b/>
          <w:bCs/>
          <w:i/>
          <w:iCs/>
          <w:sz w:val="28"/>
          <w:szCs w:val="28"/>
        </w:rPr>
        <w:t>of convergence and next-generation networks (NGN)</w:t>
      </w:r>
      <w:r>
        <w:rPr>
          <w:b/>
          <w:bCs/>
          <w:i/>
          <w:iCs/>
          <w:sz w:val="28"/>
          <w:szCs w:val="28"/>
        </w:rPr>
        <w:br/>
      </w:r>
      <w:r w:rsidRPr="00574834">
        <w:rPr>
          <w:b/>
          <w:bCs/>
          <w:i/>
          <w:iCs/>
          <w:sz w:val="28"/>
          <w:szCs w:val="28"/>
        </w:rPr>
        <w:t>for SG3RG-LAC</w:t>
      </w:r>
    </w:p>
    <w:p w:rsidR="00732428" w:rsidRDefault="00732428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7938EE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574834" w:rsidRDefault="00574834" w:rsidP="00574834">
      <w:r>
        <w:t xml:space="preserve">In accordance with the work programme approved at the 2009 meeting of the Study Group 3 Regional Group for Latin America and the </w:t>
      </w:r>
      <w:smartTag w:uri="urn:schemas-microsoft-com:office:smarttags" w:element="place">
        <w:r>
          <w:t>Caribbean</w:t>
        </w:r>
      </w:smartTag>
      <w:r>
        <w:t xml:space="preserve"> (SG3RG-LAC) regarding the economic and tariff consequences of convergence and NGNs, including case studies, we request you to answer the following questions:</w:t>
      </w:r>
    </w:p>
    <w:p w:rsidR="00574834" w:rsidRDefault="00574834" w:rsidP="00574834">
      <w:r>
        <w:t>1</w:t>
      </w:r>
      <w:r>
        <w:tab/>
        <w:t>Has your organization effected a technical and economic study on taking the decision to implement NGN migration? If it has, please provide a summary thereof.</w:t>
      </w:r>
    </w:p>
    <w:p w:rsidR="00574834" w:rsidRDefault="00574834" w:rsidP="00574834">
      <w:r>
        <w:t>2</w:t>
      </w:r>
      <w:r>
        <w:tab/>
        <w:t xml:space="preserve">Does your organization have a gradual NGN migration plan that maximizes return on investment and facilitates the provision of new converging services? If so, please comment on the plan. </w:t>
      </w:r>
    </w:p>
    <w:p w:rsidR="00574834" w:rsidRDefault="00574834" w:rsidP="00574834">
      <w:r>
        <w:t>3</w:t>
      </w:r>
      <w:r>
        <w:tab/>
        <w:t>Has your organization realized experimental projects with a view to NGN migration, and has it been able to assess the resulting technical and economic benefits? If so, please comment on the results.</w:t>
      </w:r>
    </w:p>
    <w:p w:rsidR="00574834" w:rsidRDefault="00574834" w:rsidP="00574834">
      <w:r>
        <w:t>4</w:t>
      </w:r>
      <w:r>
        <w:tab/>
        <w:t>Does your organization consider it appropriate to reformulate or adopt new cost and tariff models applicable to NGN services? Please indicate the criterion and model.</w:t>
      </w:r>
    </w:p>
    <w:p w:rsidR="00574834" w:rsidRDefault="00574834" w:rsidP="00574834">
      <w:r>
        <w:t>5</w:t>
      </w:r>
      <w:r>
        <w:tab/>
        <w:t>Would the model make it possible not to raise tariffs while at the same time allowing operators to access a viable economic space? Please provide details.</w:t>
      </w:r>
    </w:p>
    <w:p w:rsidR="00574834" w:rsidRDefault="00574834" w:rsidP="00574834">
      <w:r>
        <w:t>6</w:t>
      </w:r>
      <w:r>
        <w:tab/>
        <w:t>How would it be possible to create a regulatory environment that encourages and provides incentives for investment in networks using NGN technology without affecting the tariffs of services already currently provided?</w:t>
      </w:r>
    </w:p>
    <w:p w:rsidR="00574834" w:rsidRDefault="00574834" w:rsidP="00574834">
      <w:r>
        <w:t>7</w:t>
      </w:r>
      <w:r>
        <w:tab/>
        <w:t xml:space="preserve">What regulatory mechanisms should be introduced in order to preserve competition and allow the entry of new players in an NGN environment? </w:t>
      </w:r>
    </w:p>
    <w:p w:rsidR="00574834" w:rsidRDefault="00574834" w:rsidP="00574834">
      <w:r>
        <w:t>8</w:t>
      </w:r>
      <w:r>
        <w:tab/>
        <w:t>Does your organization consider that the type of NGN network has any impact on the setting of interconnection charges? If so, please explain the impact.</w:t>
      </w:r>
    </w:p>
    <w:p w:rsidR="00574834" w:rsidRPr="008043A7" w:rsidRDefault="00574834" w:rsidP="00574834">
      <w:r>
        <w:t>In addition, we should be grateful to you for providing any other comments you may wish to make, and for providing any relevant case studies or theoretical cases available to you.</w:t>
      </w:r>
    </w:p>
    <w:p w:rsidR="00D47C5F" w:rsidRDefault="00D47C5F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7938EE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</w:p>
    <w:p w:rsidR="00574834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</w:rPr>
      </w:pPr>
      <w:r>
        <w:rPr>
          <w:szCs w:val="24"/>
        </w:rPr>
        <w:t>Please return to:</w:t>
      </w:r>
    </w:p>
    <w:p w:rsidR="007938EE" w:rsidRPr="00C264F3" w:rsidRDefault="007938EE" w:rsidP="007938EE">
      <w:pPr>
        <w:tabs>
          <w:tab w:val="clear" w:pos="1191"/>
          <w:tab w:val="clear" w:pos="1588"/>
          <w:tab w:val="left" w:pos="1418"/>
        </w:tabs>
        <w:rPr>
          <w:szCs w:val="24"/>
          <w:lang w:val="en-US"/>
        </w:rPr>
      </w:pPr>
      <w:r w:rsidRPr="00C264F3">
        <w:rPr>
          <w:szCs w:val="24"/>
          <w:lang w:val="en-US"/>
        </w:rPr>
        <w:t xml:space="preserve">Fax: </w:t>
      </w:r>
      <w:r w:rsidRPr="00C264F3">
        <w:rPr>
          <w:szCs w:val="24"/>
          <w:lang w:val="en-US"/>
        </w:rPr>
        <w:tab/>
        <w:t>+41 22 730 5853</w:t>
      </w:r>
      <w:r w:rsidRPr="00C264F3">
        <w:rPr>
          <w:szCs w:val="24"/>
          <w:lang w:val="en-US"/>
        </w:rPr>
        <w:br/>
        <w:t xml:space="preserve">Email: </w:t>
      </w:r>
      <w:r w:rsidRPr="00C264F3">
        <w:rPr>
          <w:szCs w:val="24"/>
          <w:lang w:val="en-US"/>
        </w:rPr>
        <w:tab/>
      </w:r>
      <w:hyperlink r:id="rId10" w:history="1">
        <w:r w:rsidRPr="00C264F3">
          <w:rPr>
            <w:rStyle w:val="Hyperlink"/>
            <w:szCs w:val="24"/>
            <w:lang w:val="en-US"/>
          </w:rPr>
          <w:t>tsbsg3@itu.int</w:t>
        </w:r>
      </w:hyperlink>
      <w:r w:rsidRPr="00C264F3">
        <w:rPr>
          <w:szCs w:val="24"/>
          <w:lang w:val="en-US"/>
        </w:rPr>
        <w:t xml:space="preserve"> </w:t>
      </w:r>
    </w:p>
    <w:p w:rsidR="007938EE" w:rsidRPr="00C264F3" w:rsidRDefault="007938EE" w:rsidP="00D47C5F">
      <w:pPr>
        <w:tabs>
          <w:tab w:val="clear" w:pos="1191"/>
          <w:tab w:val="clear" w:pos="1588"/>
          <w:tab w:val="left" w:pos="1418"/>
        </w:tabs>
        <w:ind w:left="794" w:hanging="794"/>
        <w:rPr>
          <w:szCs w:val="24"/>
          <w:lang w:val="en-US"/>
        </w:rPr>
      </w:pPr>
    </w:p>
    <w:p w:rsidR="00C109B6" w:rsidRPr="007938EE" w:rsidRDefault="00C109B6" w:rsidP="00C109B6">
      <w:pPr>
        <w:tabs>
          <w:tab w:val="clear" w:pos="1191"/>
          <w:tab w:val="clear" w:pos="1588"/>
          <w:tab w:val="left" w:pos="1418"/>
        </w:tabs>
        <w:ind w:left="794" w:hanging="794"/>
        <w:jc w:val="center"/>
        <w:rPr>
          <w:szCs w:val="24"/>
          <w:lang w:val="fr-CH"/>
        </w:rPr>
      </w:pPr>
      <w:r w:rsidRPr="007938EE">
        <w:rPr>
          <w:szCs w:val="24"/>
          <w:lang w:val="fr-CH"/>
        </w:rPr>
        <w:t>______________</w:t>
      </w:r>
    </w:p>
    <w:sectPr w:rsidR="00C109B6" w:rsidRPr="007938EE" w:rsidSect="007C2A42">
      <w:headerReference w:type="default" r:id="rId11"/>
      <w:footerReference w:type="default" r:id="rId12"/>
      <w:footerReference w:type="first" r:id="rId1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8A" w:rsidRDefault="00F3118A">
      <w:r>
        <w:separator/>
      </w:r>
    </w:p>
  </w:endnote>
  <w:endnote w:type="continuationSeparator" w:id="0">
    <w:p w:rsidR="00F3118A" w:rsidRDefault="00F3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8A" w:rsidRPr="00E106EA" w:rsidRDefault="00F3118A" w:rsidP="00F3118A">
    <w:pPr>
      <w:pStyle w:val="Footer"/>
    </w:pPr>
    <w:r>
      <w:t>ITU-T\COM-T\COM03\SG3RG-LAC\COLL\005E.DOC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F3118A" w:rsidTr="00F3118A">
      <w:tc>
        <w:tcPr>
          <w:tcW w:w="10598" w:type="dxa"/>
        </w:tcPr>
        <w:p w:rsidR="00F3118A" w:rsidRDefault="00F3118A" w:rsidP="00F3118A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3118A" w:rsidRDefault="00F3118A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3118A" w:rsidRDefault="00F3118A" w:rsidP="00F3118A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  <w:r>
            <w:rPr>
              <w:rFonts w:ascii="Futura Lt BT" w:hAnsi="Futura Lt BT"/>
              <w:sz w:val="18"/>
            </w:rPr>
            <w:tab/>
          </w:r>
        </w:p>
      </w:tc>
    </w:tr>
  </w:tbl>
  <w:p w:rsidR="00F3118A" w:rsidRDefault="00F3118A" w:rsidP="00B54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8A" w:rsidRDefault="00F3118A">
      <w:r>
        <w:t>____________________</w:t>
      </w:r>
    </w:p>
  </w:footnote>
  <w:footnote w:type="continuationSeparator" w:id="0">
    <w:p w:rsidR="00F3118A" w:rsidRDefault="00F3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8860"/>
      <w:docPartObj>
        <w:docPartGallery w:val="Page Numbers (Top of Page)"/>
        <w:docPartUnique/>
      </w:docPartObj>
    </w:sdtPr>
    <w:sdtContent>
      <w:p w:rsidR="00F3118A" w:rsidRDefault="002645BC" w:rsidP="007C2A42">
        <w:pPr>
          <w:pStyle w:val="Header"/>
          <w:spacing w:after="120"/>
        </w:pPr>
        <w:fldSimple w:instr=" PAGE   \* MERGEFORMAT ">
          <w:r w:rsidR="00304EC0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34C8C"/>
    <w:rsid w:val="00036A40"/>
    <w:rsid w:val="00047F47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D2829"/>
    <w:rsid w:val="000E6752"/>
    <w:rsid w:val="000E6B18"/>
    <w:rsid w:val="000F2AD5"/>
    <w:rsid w:val="00103A96"/>
    <w:rsid w:val="001052BD"/>
    <w:rsid w:val="001322EE"/>
    <w:rsid w:val="00140D55"/>
    <w:rsid w:val="00157DEF"/>
    <w:rsid w:val="0016153A"/>
    <w:rsid w:val="00164614"/>
    <w:rsid w:val="00167799"/>
    <w:rsid w:val="001844DC"/>
    <w:rsid w:val="001851A7"/>
    <w:rsid w:val="001B4832"/>
    <w:rsid w:val="001B5570"/>
    <w:rsid w:val="001B7D39"/>
    <w:rsid w:val="001C7B93"/>
    <w:rsid w:val="001D5C4D"/>
    <w:rsid w:val="001E0E1E"/>
    <w:rsid w:val="001E6776"/>
    <w:rsid w:val="001F48C4"/>
    <w:rsid w:val="001F7BB9"/>
    <w:rsid w:val="00206009"/>
    <w:rsid w:val="0021396F"/>
    <w:rsid w:val="00217AD8"/>
    <w:rsid w:val="00226450"/>
    <w:rsid w:val="00234FB5"/>
    <w:rsid w:val="002357E0"/>
    <w:rsid w:val="00256028"/>
    <w:rsid w:val="002645BC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E3CC0"/>
    <w:rsid w:val="002E5A1E"/>
    <w:rsid w:val="002F490B"/>
    <w:rsid w:val="0030016D"/>
    <w:rsid w:val="003044B7"/>
    <w:rsid w:val="00304EC0"/>
    <w:rsid w:val="0032158F"/>
    <w:rsid w:val="0032161B"/>
    <w:rsid w:val="003278F5"/>
    <w:rsid w:val="00333903"/>
    <w:rsid w:val="00342317"/>
    <w:rsid w:val="00347205"/>
    <w:rsid w:val="00351AF1"/>
    <w:rsid w:val="00352942"/>
    <w:rsid w:val="00352E56"/>
    <w:rsid w:val="0035530A"/>
    <w:rsid w:val="003635BA"/>
    <w:rsid w:val="00365821"/>
    <w:rsid w:val="003777F9"/>
    <w:rsid w:val="00381130"/>
    <w:rsid w:val="00391B68"/>
    <w:rsid w:val="00392A51"/>
    <w:rsid w:val="00395E4C"/>
    <w:rsid w:val="003B03C5"/>
    <w:rsid w:val="003B7123"/>
    <w:rsid w:val="003D7314"/>
    <w:rsid w:val="003D7DAE"/>
    <w:rsid w:val="003E07C9"/>
    <w:rsid w:val="003E585D"/>
    <w:rsid w:val="003E64D1"/>
    <w:rsid w:val="004003CB"/>
    <w:rsid w:val="0040295F"/>
    <w:rsid w:val="00403633"/>
    <w:rsid w:val="00404D9A"/>
    <w:rsid w:val="004339BA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54E"/>
    <w:rsid w:val="00497ADA"/>
    <w:rsid w:val="004A22E8"/>
    <w:rsid w:val="004A4C2E"/>
    <w:rsid w:val="004B1BD1"/>
    <w:rsid w:val="004B7579"/>
    <w:rsid w:val="004C04D3"/>
    <w:rsid w:val="004C212C"/>
    <w:rsid w:val="004C7488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33C4"/>
    <w:rsid w:val="00574834"/>
    <w:rsid w:val="00576622"/>
    <w:rsid w:val="005962E7"/>
    <w:rsid w:val="005A48DB"/>
    <w:rsid w:val="005B4EE6"/>
    <w:rsid w:val="005B5068"/>
    <w:rsid w:val="005C2CCA"/>
    <w:rsid w:val="005C3F7B"/>
    <w:rsid w:val="005C472B"/>
    <w:rsid w:val="005E07C5"/>
    <w:rsid w:val="005E16E5"/>
    <w:rsid w:val="005F1CF2"/>
    <w:rsid w:val="005F239C"/>
    <w:rsid w:val="0060058D"/>
    <w:rsid w:val="00625D2B"/>
    <w:rsid w:val="0063475D"/>
    <w:rsid w:val="00644079"/>
    <w:rsid w:val="00646DC2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15B2"/>
    <w:rsid w:val="00732428"/>
    <w:rsid w:val="007348F9"/>
    <w:rsid w:val="007358EB"/>
    <w:rsid w:val="00741886"/>
    <w:rsid w:val="007510BB"/>
    <w:rsid w:val="0075428B"/>
    <w:rsid w:val="00762160"/>
    <w:rsid w:val="007624DE"/>
    <w:rsid w:val="00764C51"/>
    <w:rsid w:val="00766D1F"/>
    <w:rsid w:val="007726C0"/>
    <w:rsid w:val="007938EE"/>
    <w:rsid w:val="007B5B29"/>
    <w:rsid w:val="007C2A42"/>
    <w:rsid w:val="007D5C68"/>
    <w:rsid w:val="007D6430"/>
    <w:rsid w:val="0080659A"/>
    <w:rsid w:val="008130D7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B7BFA"/>
    <w:rsid w:val="008C0BA8"/>
    <w:rsid w:val="008C1991"/>
    <w:rsid w:val="008C19B9"/>
    <w:rsid w:val="008D34E6"/>
    <w:rsid w:val="008D566F"/>
    <w:rsid w:val="008E7EA8"/>
    <w:rsid w:val="008F5532"/>
    <w:rsid w:val="008F5E4B"/>
    <w:rsid w:val="00902BD5"/>
    <w:rsid w:val="0090478A"/>
    <w:rsid w:val="00910790"/>
    <w:rsid w:val="00912ADB"/>
    <w:rsid w:val="009247B8"/>
    <w:rsid w:val="00927D7A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A11ED9"/>
    <w:rsid w:val="00A268BA"/>
    <w:rsid w:val="00A27862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C5CFE"/>
    <w:rsid w:val="00AD63F7"/>
    <w:rsid w:val="00B00853"/>
    <w:rsid w:val="00B03325"/>
    <w:rsid w:val="00B17F19"/>
    <w:rsid w:val="00B20746"/>
    <w:rsid w:val="00B20DAD"/>
    <w:rsid w:val="00B35BF9"/>
    <w:rsid w:val="00B4146A"/>
    <w:rsid w:val="00B51DC4"/>
    <w:rsid w:val="00B54D8C"/>
    <w:rsid w:val="00B61822"/>
    <w:rsid w:val="00B8131A"/>
    <w:rsid w:val="00B8146B"/>
    <w:rsid w:val="00B92119"/>
    <w:rsid w:val="00BB6706"/>
    <w:rsid w:val="00BC13AB"/>
    <w:rsid w:val="00BD5897"/>
    <w:rsid w:val="00BE6AC6"/>
    <w:rsid w:val="00C04C9B"/>
    <w:rsid w:val="00C109B6"/>
    <w:rsid w:val="00C12CF7"/>
    <w:rsid w:val="00C165E5"/>
    <w:rsid w:val="00C264F3"/>
    <w:rsid w:val="00C51DC6"/>
    <w:rsid w:val="00C55860"/>
    <w:rsid w:val="00C564BD"/>
    <w:rsid w:val="00C72451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7E8"/>
    <w:rsid w:val="00CF2AF6"/>
    <w:rsid w:val="00D159D1"/>
    <w:rsid w:val="00D22839"/>
    <w:rsid w:val="00D26D90"/>
    <w:rsid w:val="00D332AF"/>
    <w:rsid w:val="00D44BA5"/>
    <w:rsid w:val="00D4601F"/>
    <w:rsid w:val="00D47C5F"/>
    <w:rsid w:val="00D67923"/>
    <w:rsid w:val="00D94E53"/>
    <w:rsid w:val="00DA2736"/>
    <w:rsid w:val="00DB0CC7"/>
    <w:rsid w:val="00DC2963"/>
    <w:rsid w:val="00DC3E6E"/>
    <w:rsid w:val="00DC5F2D"/>
    <w:rsid w:val="00DD74DC"/>
    <w:rsid w:val="00DE59C8"/>
    <w:rsid w:val="00DE6814"/>
    <w:rsid w:val="00DF3BEF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B006C"/>
    <w:rsid w:val="00EC54A1"/>
    <w:rsid w:val="00EC6E02"/>
    <w:rsid w:val="00EC724B"/>
    <w:rsid w:val="00EF096E"/>
    <w:rsid w:val="00F1516F"/>
    <w:rsid w:val="00F15ACB"/>
    <w:rsid w:val="00F3118A"/>
    <w:rsid w:val="00F425D9"/>
    <w:rsid w:val="00F47388"/>
    <w:rsid w:val="00F5389C"/>
    <w:rsid w:val="00F70CB1"/>
    <w:rsid w:val="00F728B7"/>
    <w:rsid w:val="00F7301A"/>
    <w:rsid w:val="00F812CF"/>
    <w:rsid w:val="00F84311"/>
    <w:rsid w:val="00F922B4"/>
    <w:rsid w:val="00F92C27"/>
    <w:rsid w:val="00F94201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5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54D8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2A42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0</TotalTime>
  <Pages>2</Pages>
  <Words>623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4015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2010-10-07T08:29:00Z</cp:lastPrinted>
  <dcterms:created xsi:type="dcterms:W3CDTF">2010-10-08T12:55:00Z</dcterms:created>
  <dcterms:modified xsi:type="dcterms:W3CDTF">2010-10-08T12:55:00Z</dcterms:modified>
</cp:coreProperties>
</file>