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7999A66" wp14:editId="4AC5121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6F64EC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6F64EC">
        <w:rPr>
          <w:rFonts w:hint="eastAsia"/>
          <w:sz w:val="23"/>
          <w:szCs w:val="23"/>
          <w:lang w:eastAsia="zh-CN"/>
        </w:rPr>
        <w:t>2012</w:t>
      </w:r>
      <w:r w:rsidR="006F64EC" w:rsidRPr="0033229B">
        <w:rPr>
          <w:rFonts w:hint="eastAsia"/>
          <w:szCs w:val="24"/>
          <w:lang w:eastAsia="zh-CN"/>
        </w:rPr>
        <w:t>年</w:t>
      </w:r>
      <w:r w:rsidR="006F64EC">
        <w:rPr>
          <w:rFonts w:hint="eastAsia"/>
          <w:szCs w:val="24"/>
          <w:lang w:eastAsia="zh-CN"/>
        </w:rPr>
        <w:t>8</w:t>
      </w:r>
      <w:r w:rsidR="006F64EC" w:rsidRPr="0033229B">
        <w:rPr>
          <w:rFonts w:hint="eastAsia"/>
          <w:szCs w:val="24"/>
          <w:lang w:eastAsia="zh-CN"/>
        </w:rPr>
        <w:t>月</w:t>
      </w:r>
      <w:r w:rsidR="006F64EC">
        <w:rPr>
          <w:rFonts w:hint="eastAsia"/>
          <w:szCs w:val="24"/>
          <w:lang w:eastAsia="zh-CN"/>
        </w:rPr>
        <w:t>23</w:t>
      </w:r>
      <w:r w:rsidR="006F64EC"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6F64EC">
              <w:rPr>
                <w:rFonts w:hint="eastAsia"/>
                <w:b/>
                <w:szCs w:val="24"/>
                <w:lang w:eastAsia="zh-CN"/>
              </w:rPr>
              <w:t>10/15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6F64EC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6F64EC">
              <w:rPr>
                <w:szCs w:val="24"/>
                <w:lang w:eastAsia="zh-CN"/>
              </w:rPr>
              <w:t xml:space="preserve"> </w:t>
            </w:r>
            <w:r w:rsidR="006F64EC">
              <w:rPr>
                <w:rFonts w:hint="eastAsia"/>
                <w:szCs w:val="24"/>
                <w:lang w:eastAsia="zh-CN"/>
              </w:rPr>
              <w:t>5515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D132F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6F64EC" w:rsidRPr="00AA1B0A">
                <w:rPr>
                  <w:rStyle w:val="Hyperlink"/>
                  <w:szCs w:val="24"/>
                  <w:lang w:eastAsia="zh-CN"/>
                </w:rPr>
                <w:t>tsbsg</w:t>
              </w:r>
              <w:r w:rsidR="006F64EC" w:rsidRPr="00AA1B0A">
                <w:rPr>
                  <w:rStyle w:val="Hyperlink"/>
                  <w:rFonts w:hint="eastAsia"/>
                  <w:szCs w:val="24"/>
                  <w:lang w:eastAsia="zh-CN"/>
                </w:rPr>
                <w:t>15</w:t>
              </w:r>
              <w:r w:rsidR="006F64EC" w:rsidRPr="00AA1B0A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6F64EC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szCs w:val="24"/>
                <w:lang w:eastAsia="zh-CN"/>
              </w:rPr>
              <w:t>研究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val="en-US" w:eastAsia="zh-CN"/>
              </w:rPr>
              <w:br/>
            </w:r>
            <w:r>
              <w:rPr>
                <w:rFonts w:hint="eastAsia"/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6F64EC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b/>
                <w:lang w:eastAsia="zh-CN"/>
              </w:rPr>
              <w:t>15</w:t>
            </w:r>
            <w:r>
              <w:rPr>
                <w:rFonts w:hint="eastAsia"/>
                <w:b/>
                <w:szCs w:val="24"/>
                <w:lang w:eastAsia="zh-CN"/>
              </w:rPr>
              <w:t>研究组的会议</w:t>
            </w:r>
            <w:r>
              <w:rPr>
                <w:b/>
                <w:szCs w:val="24"/>
                <w:lang w:eastAsia="zh-CN"/>
              </w:rPr>
              <w:br/>
              <w:t>2012</w:t>
            </w:r>
            <w:r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10-21</w:t>
            </w:r>
            <w:r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776551" w:rsidRDefault="00776551" w:rsidP="00281589">
      <w:pPr>
        <w:spacing w:before="100" w:after="20"/>
        <w:rPr>
          <w:szCs w:val="24"/>
          <w:lang w:val="en-US" w:eastAsia="zh-CN"/>
        </w:rPr>
      </w:pPr>
      <w:bookmarkStart w:id="2" w:name="StartTyping_E"/>
      <w:bookmarkEnd w:id="2"/>
    </w:p>
    <w:p w:rsidR="00746E31" w:rsidRDefault="00746E31" w:rsidP="00281589">
      <w:pPr>
        <w:spacing w:before="100" w:after="20"/>
        <w:rPr>
          <w:szCs w:val="24"/>
          <w:lang w:val="en-US"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6F64EC" w:rsidRDefault="006F64EC" w:rsidP="006F64EC">
      <w:pPr>
        <w:rPr>
          <w:szCs w:val="24"/>
          <w:lang w:eastAsia="zh-CN"/>
        </w:rPr>
      </w:pPr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>
        <w:rPr>
          <w:rFonts w:hint="eastAsia"/>
          <w:lang w:val="en-US" w:eastAsia="zh-CN"/>
        </w:rPr>
        <w:t>在额外审议期，</w:t>
      </w:r>
      <w:r>
        <w:rPr>
          <w:rFonts w:hint="eastAsia"/>
          <w:lang w:val="en-US" w:eastAsia="zh-CN"/>
        </w:rPr>
        <w:t>AAP</w:t>
      </w:r>
      <w:r>
        <w:rPr>
          <w:rFonts w:hint="eastAsia"/>
          <w:lang w:val="en-US" w:eastAsia="zh-CN"/>
        </w:rPr>
        <w:t>程序的以下工作项目收到了意见，并将提交</w:t>
      </w:r>
      <w:r>
        <w:rPr>
          <w:rFonts w:hint="eastAsia"/>
          <w:szCs w:val="24"/>
          <w:lang w:eastAsia="zh-CN"/>
        </w:rPr>
        <w:t>第</w:t>
      </w:r>
      <w:r>
        <w:rPr>
          <w:lang w:eastAsia="zh-CN"/>
        </w:rPr>
        <w:t>15</w:t>
      </w:r>
      <w:r w:rsidR="00E312C4">
        <w:rPr>
          <w:rFonts w:hint="eastAsia"/>
          <w:szCs w:val="24"/>
          <w:lang w:eastAsia="zh-CN"/>
        </w:rPr>
        <w:t>研究组</w:t>
      </w:r>
      <w:r>
        <w:rPr>
          <w:rFonts w:hint="eastAsia"/>
          <w:szCs w:val="24"/>
          <w:lang w:eastAsia="zh-CN"/>
        </w:rPr>
        <w:t>于</w:t>
      </w:r>
      <w:r>
        <w:rPr>
          <w:sz w:val="23"/>
          <w:szCs w:val="23"/>
          <w:lang w:eastAsia="zh-CN"/>
        </w:rPr>
        <w:t>2012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10-</w:t>
      </w:r>
      <w:r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日在日内瓦召开的会议批准：</w:t>
      </w:r>
    </w:p>
    <w:p w:rsidR="006F64EC" w:rsidRDefault="006F64EC" w:rsidP="006F64EC">
      <w:pPr>
        <w:rPr>
          <w:lang w:val="en-US" w:eastAsia="zh-CN"/>
        </w:rPr>
      </w:pPr>
      <w:r w:rsidRPr="005C668E">
        <w:rPr>
          <w:b/>
          <w:bCs/>
          <w:lang w:val="en-US" w:eastAsia="zh-CN"/>
        </w:rPr>
        <w:t>G.8121/Y.1381</w:t>
      </w:r>
      <w:r w:rsidRPr="005C668E">
        <w:rPr>
          <w:rFonts w:hint="eastAsia"/>
          <w:lang w:val="en-US" w:eastAsia="zh-CN"/>
        </w:rPr>
        <w:t>，</w:t>
      </w:r>
      <w:r w:rsidRPr="00E312C4">
        <w:rPr>
          <w:rFonts w:ascii="STKaiti" w:eastAsia="STKaiti" w:hAnsi="STKaiti" w:hint="eastAsia"/>
          <w:lang w:eastAsia="zh-CN"/>
        </w:rPr>
        <w:t>传送</w:t>
      </w:r>
      <w:r w:rsidRPr="00E312C4">
        <w:rPr>
          <w:rFonts w:ascii="STKaiti" w:eastAsia="STKaiti" w:hAnsi="STKaiti"/>
          <w:lang w:eastAsia="zh-CN"/>
        </w:rPr>
        <w:t>MPLS</w:t>
      </w:r>
      <w:r w:rsidRPr="00E312C4">
        <w:rPr>
          <w:rFonts w:ascii="STKaiti" w:eastAsia="STKaiti" w:hAnsi="STKaiti"/>
          <w:lang w:val="en-US" w:eastAsia="zh-CN"/>
        </w:rPr>
        <w:t>-TP</w:t>
      </w:r>
      <w:r w:rsidRPr="00E312C4">
        <w:rPr>
          <w:rFonts w:ascii="STKaiti" w:eastAsia="STKaiti" w:hAnsi="STKaiti" w:hint="eastAsia"/>
          <w:lang w:val="en-US" w:eastAsia="zh-CN"/>
        </w:rPr>
        <w:t>网络</w:t>
      </w:r>
      <w:r w:rsidRPr="00E312C4">
        <w:rPr>
          <w:rFonts w:ascii="STKaiti" w:eastAsia="STKaiti" w:hAnsi="STKaiti" w:hint="eastAsia"/>
          <w:lang w:eastAsia="zh-CN"/>
        </w:rPr>
        <w:t>设备功能块的特性。</w:t>
      </w:r>
    </w:p>
    <w:p w:rsidR="006F64EC" w:rsidRPr="005C668E" w:rsidRDefault="006F64EC" w:rsidP="00774F76">
      <w:pPr>
        <w:rPr>
          <w:rFonts w:ascii="楷体" w:eastAsia="楷体" w:hAnsi="楷体"/>
          <w:lang w:eastAsia="zh-CN"/>
        </w:rPr>
      </w:pPr>
      <w:r>
        <w:rPr>
          <w:b/>
          <w:lang w:eastAsia="zh-CN"/>
        </w:rPr>
        <w:t>G.99</w:t>
      </w:r>
      <w:r>
        <w:rPr>
          <w:rFonts w:hint="eastAsia"/>
          <w:b/>
          <w:lang w:eastAsia="zh-CN"/>
        </w:rPr>
        <w:t>5</w:t>
      </w:r>
      <w:r>
        <w:rPr>
          <w:b/>
          <w:lang w:eastAsia="zh-CN"/>
        </w:rPr>
        <w:t>6</w:t>
      </w:r>
      <w:r w:rsidRPr="00206326">
        <w:rPr>
          <w:rFonts w:hint="eastAsia"/>
          <w:b/>
          <w:lang w:eastAsia="zh-CN"/>
        </w:rPr>
        <w:t>（</w:t>
      </w:r>
      <w:r w:rsidRPr="00206326">
        <w:rPr>
          <w:b/>
          <w:lang w:eastAsia="zh-CN"/>
        </w:rPr>
        <w:t>201</w:t>
      </w:r>
      <w:r w:rsidR="00774F76">
        <w:rPr>
          <w:b/>
          <w:lang w:eastAsia="zh-CN"/>
        </w:rPr>
        <w:t>1</w:t>
      </w:r>
      <w:r w:rsidRPr="00206326">
        <w:rPr>
          <w:rFonts w:hint="eastAsia"/>
          <w:b/>
          <w:lang w:eastAsia="zh-CN"/>
        </w:rPr>
        <w:t>年）勘误</w:t>
      </w:r>
      <w:r w:rsidRPr="00206326">
        <w:rPr>
          <w:rFonts w:hint="eastAsia"/>
          <w:b/>
          <w:lang w:eastAsia="zh-CN"/>
        </w:rPr>
        <w:t>1</w:t>
      </w:r>
      <w:r>
        <w:rPr>
          <w:rFonts w:hint="eastAsia"/>
          <w:bCs/>
          <w:lang w:eastAsia="zh-CN"/>
        </w:rPr>
        <w:t xml:space="preserve"> </w:t>
      </w:r>
      <w:r w:rsidRPr="006725E3">
        <w:rPr>
          <w:bCs/>
          <w:lang w:eastAsia="zh-CN"/>
        </w:rPr>
        <w:t>–</w:t>
      </w:r>
      <w:r w:rsidRPr="00E312C4">
        <w:rPr>
          <w:rFonts w:ascii="STKaiti" w:eastAsia="STKaiti" w:hAnsi="STKaiti" w:hint="eastAsia"/>
          <w:lang w:val="en-US" w:eastAsia="zh-CN"/>
        </w:rPr>
        <w:t>窄带</w:t>
      </w:r>
      <w:r w:rsidRPr="00E312C4">
        <w:rPr>
          <w:rFonts w:ascii="STKaiti" w:eastAsia="STKaiti" w:hAnsi="STKaiti"/>
          <w:lang w:val="en-US" w:eastAsia="zh-CN"/>
        </w:rPr>
        <w:t xml:space="preserve">OFDM </w:t>
      </w:r>
      <w:r w:rsidRPr="00E312C4">
        <w:rPr>
          <w:rFonts w:ascii="STKaiti" w:eastAsia="STKaiti" w:hAnsi="STKaiti" w:hint="eastAsia"/>
          <w:lang w:val="en-US" w:eastAsia="zh-CN"/>
        </w:rPr>
        <w:t>电力线通信收发机</w:t>
      </w:r>
      <w:r w:rsidRPr="00E312C4">
        <w:rPr>
          <w:rFonts w:ascii="STKaiti" w:eastAsia="STKaiti" w:hAnsi="STKaiti"/>
          <w:lang w:val="en-US" w:eastAsia="zh-CN"/>
        </w:rPr>
        <w:t xml:space="preserve">- </w:t>
      </w:r>
      <w:r w:rsidRPr="00E312C4">
        <w:rPr>
          <w:rFonts w:ascii="STKaiti" w:eastAsia="STKaiti" w:hAnsi="STKaiti" w:hint="eastAsia"/>
          <w:lang w:val="en-US" w:eastAsia="zh-CN"/>
        </w:rPr>
        <w:t>数据链路层规范：勘误</w:t>
      </w:r>
      <w:r w:rsidRPr="00E312C4">
        <w:rPr>
          <w:rFonts w:ascii="STKaiti" w:eastAsia="STKaiti" w:hAnsi="STKaiti"/>
          <w:lang w:val="en-US" w:eastAsia="zh-CN"/>
        </w:rPr>
        <w:t>1</w:t>
      </w:r>
      <w:r w:rsidRPr="005C668E">
        <w:rPr>
          <w:rFonts w:ascii="楷体" w:eastAsia="楷体" w:hAnsi="楷体" w:hint="eastAsia"/>
          <w:lang w:val="en-US" w:eastAsia="zh-CN"/>
        </w:rPr>
        <w:t>。</w:t>
      </w:r>
    </w:p>
    <w:p w:rsidR="006F64EC" w:rsidRPr="005C668E" w:rsidRDefault="006F64EC" w:rsidP="006F64EC">
      <w:pPr>
        <w:rPr>
          <w:rFonts w:ascii="楷体" w:eastAsia="楷体" w:hAnsi="楷体"/>
          <w:lang w:val="en-US" w:eastAsia="zh-CN"/>
        </w:rPr>
      </w:pPr>
      <w:r>
        <w:rPr>
          <w:b/>
          <w:lang w:eastAsia="zh-CN"/>
        </w:rPr>
        <w:t>G.9961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2010</w:t>
      </w:r>
      <w:r>
        <w:rPr>
          <w:rFonts w:hint="eastAsia"/>
          <w:b/>
          <w:lang w:eastAsia="zh-CN"/>
        </w:rPr>
        <w:t>年）第</w:t>
      </w:r>
      <w:r>
        <w:rPr>
          <w:b/>
          <w:lang w:eastAsia="zh-CN"/>
        </w:rPr>
        <w:t>1</w:t>
      </w:r>
      <w:r>
        <w:rPr>
          <w:rFonts w:hint="eastAsia"/>
          <w:b/>
          <w:lang w:eastAsia="zh-CN"/>
        </w:rPr>
        <w:t>修正案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– </w:t>
      </w:r>
      <w:r w:rsidRPr="00E312C4">
        <w:rPr>
          <w:rFonts w:ascii="STKaiti" w:eastAsia="STKaiti" w:hAnsi="STKaiti" w:hint="eastAsia"/>
          <w:lang w:val="en-US" w:eastAsia="zh-CN"/>
        </w:rPr>
        <w:t>基于统一高速率有线的家庭网络收发信机的数据链路层（DLL）：第1修正案</w:t>
      </w:r>
      <w:r w:rsidRPr="005C668E">
        <w:rPr>
          <w:rFonts w:ascii="楷体" w:eastAsia="楷体" w:hAnsi="楷体" w:hint="eastAsia"/>
          <w:lang w:val="en-US" w:eastAsia="zh-CN"/>
        </w:rPr>
        <w:t>。</w:t>
      </w:r>
    </w:p>
    <w:p w:rsidR="006F64EC" w:rsidRDefault="006F64EC" w:rsidP="006F64EC">
      <w:pPr>
        <w:rPr>
          <w:bCs/>
          <w:lang w:eastAsia="zh-CN"/>
        </w:rPr>
      </w:pPr>
    </w:p>
    <w:p w:rsidR="006F64EC" w:rsidRDefault="006F64EC" w:rsidP="006F64EC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6F64EC" w:rsidRDefault="006F64EC" w:rsidP="006F64EC">
      <w:pPr>
        <w:rPr>
          <w:lang w:eastAsia="zh-CN"/>
        </w:rPr>
      </w:pPr>
      <w:bookmarkStart w:id="3" w:name="_GoBack"/>
      <w:bookmarkEnd w:id="3"/>
    </w:p>
    <w:p w:rsidR="00E312C4" w:rsidRPr="00774F76" w:rsidRDefault="00E312C4" w:rsidP="00281589">
      <w:pPr>
        <w:spacing w:before="100" w:after="20"/>
        <w:rPr>
          <w:szCs w:val="24"/>
          <w:lang w:eastAsia="zh-CN"/>
        </w:rPr>
      </w:pPr>
    </w:p>
    <w:p w:rsidR="00E312C4" w:rsidRDefault="00E312C4" w:rsidP="00281589">
      <w:pPr>
        <w:spacing w:before="100" w:after="20"/>
        <w:rPr>
          <w:szCs w:val="24"/>
          <w:lang w:val="en-US" w:eastAsia="zh-CN"/>
        </w:rPr>
      </w:pPr>
    </w:p>
    <w:p w:rsidR="004C2D3F" w:rsidRDefault="004C2D3F" w:rsidP="00281589">
      <w:pPr>
        <w:spacing w:before="100" w:after="20"/>
        <w:rPr>
          <w:szCs w:val="24"/>
          <w:lang w:val="en-US" w:eastAsia="zh-CN"/>
        </w:rPr>
      </w:pPr>
    </w:p>
    <w:p w:rsidR="00E312C4" w:rsidRPr="00E312C4" w:rsidRDefault="00E312C4" w:rsidP="004C2D3F">
      <w:pPr>
        <w:tabs>
          <w:tab w:val="clear" w:pos="794"/>
          <w:tab w:val="left" w:pos="210"/>
        </w:tabs>
        <w:rPr>
          <w:szCs w:val="24"/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312C4" w:rsidRPr="00E312C4" w:rsidSect="00E97C0E">
      <w:head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F1" w:rsidRDefault="00D132F1">
      <w:r>
        <w:separator/>
      </w:r>
    </w:p>
  </w:endnote>
  <w:endnote w:type="continuationSeparator" w:id="0">
    <w:p w:rsidR="00D132F1" w:rsidRDefault="00D1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E" w:rsidRDefault="00E97C0E" w:rsidP="00E97C0E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right" w:pos="9639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  <w:t>E-mail:</w:t>
    </w:r>
    <w:r>
      <w:rPr>
        <w:sz w:val="18"/>
        <w:lang w:val="fr-FR"/>
      </w:rPr>
      <w:tab/>
      <w:t>itumail@itu.int</w:t>
    </w:r>
  </w:p>
  <w:p w:rsidR="00E97C0E" w:rsidRDefault="00E97C0E" w:rsidP="00E97C0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</w:t>
    </w:r>
    <w:r>
      <w:rPr>
        <w:sz w:val="18"/>
      </w:rPr>
      <w:tab/>
      <w:t>www.itu.int</w:t>
    </w:r>
  </w:p>
  <w:p w:rsidR="000E4C84" w:rsidRPr="00E97C0E" w:rsidRDefault="00E97C0E" w:rsidP="00E97C0E">
    <w:pPr>
      <w:pStyle w:val="Footer"/>
      <w:tabs>
        <w:tab w:val="clear" w:pos="5954"/>
        <w:tab w:val="left" w:pos="2688"/>
      </w:tabs>
    </w:pPr>
    <w:r>
      <w:rPr>
        <w:sz w:val="18"/>
      </w:rPr>
      <w:t>Switzerland</w:t>
    </w:r>
    <w:r>
      <w:rPr>
        <w:sz w:val="18"/>
      </w:rPr>
      <w:tab/>
      <w:t>Gr4:+41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F1" w:rsidRDefault="00D132F1">
      <w:r>
        <w:t>____________________</w:t>
      </w:r>
    </w:p>
  </w:footnote>
  <w:footnote w:type="continuationSeparator" w:id="0">
    <w:p w:rsidR="00D132F1" w:rsidRDefault="00D1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4C84" w:rsidRPr="00D518FF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774F76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702BB"/>
    <w:rsid w:val="00075759"/>
    <w:rsid w:val="00095181"/>
    <w:rsid w:val="000E4C84"/>
    <w:rsid w:val="000E5D32"/>
    <w:rsid w:val="00140132"/>
    <w:rsid w:val="001B529A"/>
    <w:rsid w:val="001C21C8"/>
    <w:rsid w:val="001C6E36"/>
    <w:rsid w:val="002045B8"/>
    <w:rsid w:val="00281589"/>
    <w:rsid w:val="002C1710"/>
    <w:rsid w:val="002C7DEF"/>
    <w:rsid w:val="00317A4D"/>
    <w:rsid w:val="00341C67"/>
    <w:rsid w:val="003625BB"/>
    <w:rsid w:val="0041269A"/>
    <w:rsid w:val="004C2D3F"/>
    <w:rsid w:val="004E1DC1"/>
    <w:rsid w:val="005365E4"/>
    <w:rsid w:val="00572454"/>
    <w:rsid w:val="00574C43"/>
    <w:rsid w:val="0059425B"/>
    <w:rsid w:val="005A0956"/>
    <w:rsid w:val="00624CB1"/>
    <w:rsid w:val="006543E9"/>
    <w:rsid w:val="006C08CA"/>
    <w:rsid w:val="006D4F29"/>
    <w:rsid w:val="006E6A13"/>
    <w:rsid w:val="006F64EC"/>
    <w:rsid w:val="006F7DA1"/>
    <w:rsid w:val="00703CBA"/>
    <w:rsid w:val="00743D83"/>
    <w:rsid w:val="00746E31"/>
    <w:rsid w:val="007626DE"/>
    <w:rsid w:val="00762E1B"/>
    <w:rsid w:val="00774F76"/>
    <w:rsid w:val="00776551"/>
    <w:rsid w:val="00795532"/>
    <w:rsid w:val="00841B06"/>
    <w:rsid w:val="008847B5"/>
    <w:rsid w:val="008D26A4"/>
    <w:rsid w:val="009704E7"/>
    <w:rsid w:val="00980A9F"/>
    <w:rsid w:val="0098410B"/>
    <w:rsid w:val="009C749B"/>
    <w:rsid w:val="00A23824"/>
    <w:rsid w:val="00A36E53"/>
    <w:rsid w:val="00AF2746"/>
    <w:rsid w:val="00B50E4F"/>
    <w:rsid w:val="00B67F39"/>
    <w:rsid w:val="00BA55A0"/>
    <w:rsid w:val="00BA5BFF"/>
    <w:rsid w:val="00BB7187"/>
    <w:rsid w:val="00BE0D94"/>
    <w:rsid w:val="00C02FA9"/>
    <w:rsid w:val="00C115D3"/>
    <w:rsid w:val="00C231F0"/>
    <w:rsid w:val="00C925C9"/>
    <w:rsid w:val="00D132F1"/>
    <w:rsid w:val="00D2432E"/>
    <w:rsid w:val="00D518FF"/>
    <w:rsid w:val="00D6135E"/>
    <w:rsid w:val="00D91AAD"/>
    <w:rsid w:val="00DE65BB"/>
    <w:rsid w:val="00E312C4"/>
    <w:rsid w:val="00E3619F"/>
    <w:rsid w:val="00E36387"/>
    <w:rsid w:val="00E73313"/>
    <w:rsid w:val="00E97C0E"/>
    <w:rsid w:val="00ED207A"/>
    <w:rsid w:val="00EE2A77"/>
    <w:rsid w:val="00EE59AB"/>
    <w:rsid w:val="00F2511E"/>
    <w:rsid w:val="00F27D94"/>
    <w:rsid w:val="00F33A3F"/>
    <w:rsid w:val="00F50ABD"/>
    <w:rsid w:val="00F60DB4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song</dc:creator>
  <cp:lastModifiedBy>Andriamanerasoa, Tsiory</cp:lastModifiedBy>
  <cp:revision>2</cp:revision>
  <cp:lastPrinted>2012-08-28T15:18:00Z</cp:lastPrinted>
  <dcterms:created xsi:type="dcterms:W3CDTF">2012-08-28T15:20:00Z</dcterms:created>
  <dcterms:modified xsi:type="dcterms:W3CDTF">2012-08-28T15:20:00Z</dcterms:modified>
</cp:coreProperties>
</file>