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D23C8D" w:rsidRPr="00D23C8D" w:rsidTr="00977592">
        <w:trPr>
          <w:cantSplit/>
        </w:trPr>
        <w:tc>
          <w:tcPr>
            <w:tcW w:w="7102" w:type="dxa"/>
            <w:vAlign w:val="center"/>
          </w:tcPr>
          <w:p w:rsidR="00D23C8D" w:rsidRPr="00D23C8D" w:rsidRDefault="00D23C8D" w:rsidP="00D23C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23C8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23C8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D23C8D" w:rsidRPr="00D23C8D" w:rsidRDefault="00D23C8D" w:rsidP="00D23C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23C8D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3BE51D3A" wp14:editId="5F9F11CF">
                  <wp:extent cx="1316990" cy="695960"/>
                  <wp:effectExtent l="19050" t="0" r="0" b="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8D" w:rsidRPr="00D23C8D" w:rsidTr="00977592">
        <w:trPr>
          <w:cantSplit/>
        </w:trPr>
        <w:tc>
          <w:tcPr>
            <w:tcW w:w="7102" w:type="dxa"/>
            <w:vAlign w:val="center"/>
          </w:tcPr>
          <w:p w:rsidR="00D23C8D" w:rsidRPr="00D23C8D" w:rsidRDefault="00D23C8D" w:rsidP="00D23C8D">
            <w:pPr>
              <w:rPr>
                <w:sz w:val="22"/>
                <w:szCs w:val="24"/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D23C8D" w:rsidRPr="00D23C8D" w:rsidRDefault="00D23C8D" w:rsidP="00D23C8D">
            <w:pPr>
              <w:rPr>
                <w:sz w:val="22"/>
                <w:szCs w:val="24"/>
                <w:lang w:val="ru-RU"/>
              </w:rPr>
            </w:pPr>
          </w:p>
        </w:tc>
      </w:tr>
    </w:tbl>
    <w:p w:rsidR="00D23C8D" w:rsidRPr="00D23C8D" w:rsidRDefault="00D23C8D" w:rsidP="00D23C8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ab/>
        <w:t>Женева, 2 декабря 2011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D23C8D" w:rsidRPr="00D23C8D" w:rsidTr="00977592">
        <w:trPr>
          <w:cantSplit/>
          <w:trHeight w:val="340"/>
        </w:trPr>
        <w:tc>
          <w:tcPr>
            <w:tcW w:w="1276" w:type="dxa"/>
          </w:tcPr>
          <w:p w:rsidR="00D23C8D" w:rsidRPr="00D23C8D" w:rsidRDefault="00D23C8D" w:rsidP="00D23C8D">
            <w:pPr>
              <w:spacing w:before="0"/>
              <w:rPr>
                <w:sz w:val="22"/>
                <w:szCs w:val="24"/>
                <w:lang w:val="ru-RU"/>
              </w:rPr>
            </w:pPr>
            <w:r w:rsidRPr="00D23C8D">
              <w:rPr>
                <w:sz w:val="22"/>
                <w:szCs w:val="24"/>
                <w:lang w:val="ru-RU"/>
              </w:rPr>
              <w:t>Осн.:</w:t>
            </w:r>
          </w:p>
        </w:tc>
        <w:tc>
          <w:tcPr>
            <w:tcW w:w="4111" w:type="dxa"/>
          </w:tcPr>
          <w:p w:rsidR="00D23C8D" w:rsidRPr="00D23C8D" w:rsidRDefault="00D23C8D" w:rsidP="00D23C8D">
            <w:pPr>
              <w:spacing w:before="0"/>
              <w:rPr>
                <w:b/>
                <w:bCs/>
                <w:sz w:val="22"/>
                <w:szCs w:val="24"/>
                <w:lang w:val="ru-RU"/>
              </w:rPr>
            </w:pPr>
            <w:r w:rsidRPr="00D23C8D">
              <w:rPr>
                <w:b/>
                <w:bCs/>
                <w:sz w:val="22"/>
                <w:szCs w:val="24"/>
                <w:lang w:val="ru-RU"/>
              </w:rPr>
              <w:t>Коллективное письмо 10/11 БСЭ</w:t>
            </w:r>
          </w:p>
          <w:p w:rsidR="00D23C8D" w:rsidRPr="00D23C8D" w:rsidRDefault="00D23C8D" w:rsidP="00D23C8D">
            <w:pPr>
              <w:spacing w:before="0"/>
              <w:rPr>
                <w:sz w:val="22"/>
                <w:szCs w:val="24"/>
                <w:lang w:val="ru-RU"/>
              </w:rPr>
            </w:pPr>
          </w:p>
        </w:tc>
        <w:tc>
          <w:tcPr>
            <w:tcW w:w="4333" w:type="dxa"/>
          </w:tcPr>
          <w:p w:rsidR="00D23C8D" w:rsidRPr="00D23C8D" w:rsidRDefault="00D23C8D" w:rsidP="00D23C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</w:p>
        </w:tc>
      </w:tr>
      <w:tr w:rsidR="00D23C8D" w:rsidRPr="00DF0484" w:rsidTr="00977592">
        <w:trPr>
          <w:cantSplit/>
        </w:trPr>
        <w:tc>
          <w:tcPr>
            <w:tcW w:w="1276" w:type="dxa"/>
          </w:tcPr>
          <w:p w:rsidR="00D23C8D" w:rsidRPr="00D23C8D" w:rsidRDefault="00D23C8D" w:rsidP="00D23C8D">
            <w:pPr>
              <w:spacing w:before="0"/>
              <w:rPr>
                <w:sz w:val="22"/>
                <w:szCs w:val="24"/>
                <w:lang w:val="ru-RU"/>
              </w:rPr>
            </w:pPr>
            <w:r w:rsidRPr="00D23C8D">
              <w:rPr>
                <w:sz w:val="22"/>
                <w:szCs w:val="24"/>
                <w:lang w:val="ru-RU"/>
              </w:rPr>
              <w:t>Тел.:</w:t>
            </w:r>
            <w:r w:rsidRPr="00D23C8D">
              <w:rPr>
                <w:sz w:val="22"/>
                <w:szCs w:val="24"/>
                <w:lang w:val="ru-RU"/>
              </w:rPr>
              <w:br/>
              <w:t>Факс:</w:t>
            </w:r>
            <w:r w:rsidRPr="00D23C8D">
              <w:rPr>
                <w:sz w:val="22"/>
                <w:szCs w:val="24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D23C8D" w:rsidRPr="00D23C8D" w:rsidRDefault="00D23C8D" w:rsidP="00D23C8D">
            <w:pPr>
              <w:spacing w:before="0"/>
              <w:rPr>
                <w:sz w:val="22"/>
                <w:szCs w:val="24"/>
                <w:lang w:val="ru-RU"/>
              </w:rPr>
            </w:pPr>
            <w:r w:rsidRPr="00D23C8D">
              <w:rPr>
                <w:sz w:val="22"/>
                <w:szCs w:val="24"/>
                <w:lang w:val="ru-RU"/>
              </w:rPr>
              <w:t>+41 22 730 5858</w:t>
            </w:r>
            <w:r w:rsidRPr="00D23C8D">
              <w:rPr>
                <w:sz w:val="22"/>
                <w:szCs w:val="24"/>
                <w:lang w:val="ru-RU"/>
              </w:rPr>
              <w:br/>
              <w:t>+41 22 730 5853</w:t>
            </w:r>
            <w:r w:rsidRPr="00D23C8D">
              <w:rPr>
                <w:sz w:val="22"/>
                <w:szCs w:val="24"/>
                <w:lang w:val="ru-RU"/>
              </w:rPr>
              <w:br/>
            </w:r>
            <w:hyperlink r:id="rId11" w:history="1">
              <w:r w:rsidRPr="001E6AF2">
                <w:rPr>
                  <w:color w:val="0000FF"/>
                  <w:sz w:val="22"/>
                  <w:szCs w:val="24"/>
                  <w:u w:val="single"/>
                  <w:lang w:val="ru-RU"/>
                </w:rPr>
                <w:t>tsbsg11@itu.int</w:t>
              </w:r>
            </w:hyperlink>
          </w:p>
        </w:tc>
        <w:tc>
          <w:tcPr>
            <w:tcW w:w="4333" w:type="dxa"/>
          </w:tcPr>
          <w:p w:rsidR="00D23C8D" w:rsidRPr="00D23C8D" w:rsidRDefault="00D23C8D" w:rsidP="002855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4"/>
                <w:lang w:val="ru-RU"/>
              </w:rPr>
            </w:pPr>
            <w:r w:rsidRPr="00D23C8D">
              <w:rPr>
                <w:sz w:val="22"/>
                <w:szCs w:val="24"/>
                <w:lang w:val="ru-RU"/>
              </w:rPr>
              <w:t>Администрациям Государств – Членов Союза, Членам Сектора МСЭ-Т, Ассоциированным членам МСЭ-Т и академическим организациям − Членам МСЭ</w:t>
            </w:r>
            <w:r w:rsidRPr="00D23C8D">
              <w:rPr>
                <w:sz w:val="22"/>
                <w:szCs w:val="24"/>
                <w:lang w:val="ru-RU"/>
              </w:rPr>
              <w:noBreakHyphen/>
              <w:t>Т, принимающим участие в работе 11</w:t>
            </w:r>
            <w:r w:rsidRPr="00D23C8D">
              <w:rPr>
                <w:sz w:val="22"/>
                <w:szCs w:val="24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D23C8D" w:rsidRPr="00D23C8D" w:rsidRDefault="00D23C8D" w:rsidP="00D23C8D">
      <w:pPr>
        <w:rPr>
          <w:sz w:val="22"/>
          <w:szCs w:val="24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D23C8D" w:rsidRPr="00DF0484" w:rsidTr="00977592">
        <w:trPr>
          <w:cantSplit/>
          <w:trHeight w:val="680"/>
        </w:trPr>
        <w:tc>
          <w:tcPr>
            <w:tcW w:w="1276" w:type="dxa"/>
          </w:tcPr>
          <w:p w:rsidR="00D23C8D" w:rsidRPr="00D23C8D" w:rsidRDefault="00D23C8D" w:rsidP="00D23C8D">
            <w:pPr>
              <w:spacing w:before="0"/>
              <w:rPr>
                <w:sz w:val="22"/>
                <w:szCs w:val="24"/>
                <w:lang w:val="ru-RU"/>
              </w:rPr>
            </w:pPr>
            <w:r w:rsidRPr="00D23C8D">
              <w:rPr>
                <w:sz w:val="22"/>
                <w:szCs w:val="24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D23C8D" w:rsidRPr="00D23C8D" w:rsidRDefault="00D23C8D" w:rsidP="002855D3">
            <w:pPr>
              <w:spacing w:before="0"/>
              <w:rPr>
                <w:b/>
                <w:bCs/>
                <w:sz w:val="22"/>
                <w:szCs w:val="24"/>
                <w:lang w:val="ru-RU"/>
              </w:rPr>
            </w:pPr>
            <w:r w:rsidRPr="00D23C8D">
              <w:rPr>
                <w:b/>
                <w:bCs/>
                <w:sz w:val="22"/>
                <w:szCs w:val="22"/>
                <w:lang w:val="ru-RU"/>
              </w:rPr>
              <w:t>Собрания Рабочих групп 1, 2, 3 и 4/11</w:t>
            </w:r>
            <w:r w:rsidRPr="00D23C8D">
              <w:rPr>
                <w:b/>
                <w:bCs/>
                <w:sz w:val="22"/>
                <w:szCs w:val="24"/>
                <w:lang w:val="ru-RU"/>
              </w:rPr>
              <w:br/>
              <w:t>Женева, 17 февраля 2012 года (последовательно начиная с 11 час. 30 мин.)</w:t>
            </w:r>
          </w:p>
        </w:tc>
      </w:tr>
    </w:tbl>
    <w:p w:rsidR="00D23C8D" w:rsidRPr="00D23C8D" w:rsidRDefault="00D23C8D" w:rsidP="00D23C8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/>
        <w:textAlignment w:val="baseline"/>
        <w:rPr>
          <w:sz w:val="22"/>
          <w:lang w:val="ru-RU"/>
        </w:rPr>
      </w:pPr>
      <w:r w:rsidRPr="00D23C8D">
        <w:rPr>
          <w:sz w:val="22"/>
          <w:lang w:val="ru-RU"/>
        </w:rPr>
        <w:t>Уважаемая госпожа,</w:t>
      </w:r>
      <w:r w:rsidRPr="00D23C8D">
        <w:rPr>
          <w:sz w:val="22"/>
          <w:lang w:val="ru-RU"/>
        </w:rPr>
        <w:br/>
        <w:t>уважаемый господин,</w:t>
      </w:r>
    </w:p>
    <w:p w:rsidR="00D23C8D" w:rsidRPr="00D23C8D" w:rsidRDefault="00D23C8D" w:rsidP="00D700B5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1</w:t>
      </w:r>
      <w:r w:rsidRPr="00D23C8D">
        <w:rPr>
          <w:sz w:val="22"/>
          <w:szCs w:val="24"/>
          <w:lang w:val="ru-RU"/>
        </w:rPr>
        <w:tab/>
      </w:r>
      <w:r w:rsidRPr="00D23C8D">
        <w:rPr>
          <w:sz w:val="22"/>
          <w:szCs w:val="22"/>
          <w:lang w:val="ru-RU"/>
        </w:rPr>
        <w:t>Согласившись с просьбой председателя 11-й Исследовательской комиссии г-на Вэй Фена, одобренной на собрании 11-й Исследовательской комиссии (Женева, Швейцария, 17</w:t>
      </w:r>
      <w:r w:rsidRPr="00D23C8D">
        <w:rPr>
          <w:sz w:val="22"/>
          <w:szCs w:val="22"/>
          <w:lang w:val="ru-RU"/>
        </w:rPr>
        <w:sym w:font="Symbol" w:char="F02D"/>
      </w:r>
      <w:r w:rsidRPr="00D23C8D">
        <w:rPr>
          <w:sz w:val="22"/>
          <w:szCs w:val="22"/>
          <w:lang w:val="ru-RU"/>
        </w:rPr>
        <w:t>21 сентября 2011</w:t>
      </w:r>
      <w:r w:rsidRPr="001E6AF2">
        <w:rPr>
          <w:sz w:val="22"/>
          <w:szCs w:val="22"/>
          <w:lang w:val="ru-RU"/>
        </w:rPr>
        <w:t> </w:t>
      </w:r>
      <w:r w:rsidRPr="00D23C8D">
        <w:rPr>
          <w:sz w:val="22"/>
          <w:szCs w:val="22"/>
          <w:lang w:val="ru-RU"/>
        </w:rPr>
        <w:t>г.), хотел бы проинформировать вас, что собрания РГ 1/11 (Архитектура протоколов и управление приложениями), РГ 2/11 (Сеанс связи, однонаправленный канал и управление ресурсами), РГ 3/11 (Многоадресная передача и подключение) и РГ 4/11 (Спецификации тестирования) состоятся в штаб</w:t>
      </w:r>
      <w:r w:rsidRPr="00D23C8D">
        <w:rPr>
          <w:sz w:val="22"/>
          <w:szCs w:val="22"/>
          <w:lang w:val="ru-RU"/>
        </w:rPr>
        <w:noBreakHyphen/>
        <w:t>квартире МСЭ в Женеве 1</w:t>
      </w:r>
      <w:r w:rsidR="00D700B5">
        <w:rPr>
          <w:sz w:val="22"/>
          <w:szCs w:val="22"/>
          <w:lang w:val="ru-RU"/>
        </w:rPr>
        <w:t>7</w:t>
      </w:r>
      <w:r w:rsidRPr="00D23C8D">
        <w:rPr>
          <w:sz w:val="22"/>
          <w:szCs w:val="22"/>
          <w:lang w:val="ru-RU"/>
        </w:rPr>
        <w:t xml:space="preserve"> февраля 2012 года с целью принятия решения (согласие/заключение/договоренность) по проектам Рекомендаций и Добавлений. </w:t>
      </w:r>
    </w:p>
    <w:p w:rsidR="002855D3" w:rsidRDefault="002855D3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Открытие собраний Рабочих групп состоится в</w:t>
      </w:r>
      <w:r>
        <w:rPr>
          <w:sz w:val="22"/>
          <w:szCs w:val="24"/>
          <w:lang w:val="ru-RU"/>
        </w:rPr>
        <w:t xml:space="preserve"> 11 час. 30 мин. Собрания будут </w:t>
      </w:r>
      <w:r w:rsidRPr="00D23C8D">
        <w:rPr>
          <w:sz w:val="22"/>
          <w:szCs w:val="24"/>
          <w:lang w:val="ru-RU"/>
        </w:rPr>
        <w:t xml:space="preserve">проводиться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 xml:space="preserve">последовательно одно за другим. Регистрация участников начнется в 08 час. 30 мин. при входе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 xml:space="preserve">в здание "Монбрийан". Подробная информация о залах заседаний будет представлена на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>экранах, расположенных при входе в здания штаб-квартиры МСЭ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>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2</w:t>
      </w:r>
      <w:r w:rsidRPr="00D23C8D">
        <w:rPr>
          <w:sz w:val="22"/>
          <w:szCs w:val="24"/>
          <w:lang w:val="ru-RU"/>
        </w:rPr>
        <w:tab/>
        <w:t>Собрания будут проходить без синхронного перевода.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3</w:t>
      </w:r>
      <w:r w:rsidRPr="00D23C8D">
        <w:rPr>
          <w:sz w:val="22"/>
          <w:szCs w:val="24"/>
          <w:lang w:val="ru-RU"/>
        </w:rPr>
        <w:tab/>
        <w:t xml:space="preserve">Проекты повесток дня, подготовленные по согласованию с председателями Рабочих групп 1, 2, </w:t>
      </w:r>
      <w:r w:rsidRPr="00D23C8D">
        <w:rPr>
          <w:sz w:val="22"/>
          <w:szCs w:val="24"/>
          <w:cs/>
          <w:lang w:val="ru-RU"/>
        </w:rPr>
        <w:t>‎‎</w:t>
      </w:r>
      <w:r w:rsidRPr="00D23C8D">
        <w:rPr>
          <w:sz w:val="22"/>
          <w:szCs w:val="24"/>
          <w:lang w:val="ru-RU"/>
        </w:rPr>
        <w:t xml:space="preserve">3 и 4/11, приводятся в </w:t>
      </w:r>
      <w:r w:rsidRPr="00D23C8D">
        <w:rPr>
          <w:b/>
          <w:bCs/>
          <w:sz w:val="22"/>
          <w:szCs w:val="24"/>
          <w:lang w:val="ru-RU"/>
        </w:rPr>
        <w:t>Приложении 1</w:t>
      </w:r>
      <w:r w:rsidRPr="00D23C8D">
        <w:rPr>
          <w:sz w:val="22"/>
          <w:szCs w:val="24"/>
          <w:lang w:val="ru-RU"/>
        </w:rPr>
        <w:t xml:space="preserve"> к настоящему документу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>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4</w:t>
      </w:r>
      <w:r w:rsidRPr="00D23C8D">
        <w:rPr>
          <w:sz w:val="22"/>
          <w:szCs w:val="24"/>
          <w:lang w:val="ru-RU"/>
        </w:rPr>
        <w:tab/>
        <w:t xml:space="preserve">Основные задачи собраний Рабочих групп 1, 2, 3 и 4/11 состоят в том, чтобы рассмотреть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 xml:space="preserve">вопрос о начале процесса утверждения проектов Рекомендаций и Добавлений, в соответствующих случаях, в зависимости от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 xml:space="preserve">результатов предшествующих собраний Групп Докладчиков, которые пройдут в ходе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>мероприятия ГИС-СПП (6–17 февраля 2012 г.).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 xml:space="preserve">Дополнительная информация о </w:t>
      </w:r>
      <w:r w:rsidRPr="00D23C8D">
        <w:rPr>
          <w:sz w:val="22"/>
          <w:szCs w:val="24"/>
          <w:cs/>
          <w:lang w:val="ru-RU"/>
        </w:rPr>
        <w:t>‎</w:t>
      </w:r>
      <w:r w:rsidRPr="00D23C8D">
        <w:rPr>
          <w:sz w:val="22"/>
          <w:szCs w:val="24"/>
          <w:lang w:val="ru-RU"/>
        </w:rPr>
        <w:t xml:space="preserve">мероприятия ГИС-СПП будет представлена по адресу: </w:t>
      </w:r>
      <w:r w:rsidR="00DF0484">
        <w:fldChar w:fldCharType="begin"/>
      </w:r>
      <w:r w:rsidR="00DF0484" w:rsidRPr="00DF0484">
        <w:rPr>
          <w:lang w:val="ru-RU"/>
        </w:rPr>
        <w:instrText xml:space="preserve"> </w:instrText>
      </w:r>
      <w:r w:rsidR="00DF0484">
        <w:instrText>HYPERLINK</w:instrText>
      </w:r>
      <w:r w:rsidR="00DF0484" w:rsidRPr="00DF0484">
        <w:rPr>
          <w:lang w:val="ru-RU"/>
        </w:rPr>
        <w:instrText xml:space="preserve"> "</w:instrText>
      </w:r>
      <w:r w:rsidR="00DF0484">
        <w:instrText>http</w:instrText>
      </w:r>
      <w:r w:rsidR="00DF0484" w:rsidRPr="00DF0484">
        <w:rPr>
          <w:lang w:val="ru-RU"/>
        </w:rPr>
        <w:instrText>://</w:instrText>
      </w:r>
      <w:r w:rsidR="00DF0484">
        <w:instrText>itu</w:instrText>
      </w:r>
      <w:r w:rsidR="00DF0484" w:rsidRPr="00DF0484">
        <w:rPr>
          <w:lang w:val="ru-RU"/>
        </w:rPr>
        <w:instrText>.</w:instrText>
      </w:r>
      <w:r w:rsidR="00DF0484">
        <w:instrText>int</w:instrText>
      </w:r>
      <w:r w:rsidR="00DF0484" w:rsidRPr="00DF0484">
        <w:rPr>
          <w:lang w:val="ru-RU"/>
        </w:rPr>
        <w:instrText>/</w:instrText>
      </w:r>
      <w:r w:rsidR="00DF0484">
        <w:instrText>ITU</w:instrText>
      </w:r>
      <w:r w:rsidR="00DF0484" w:rsidRPr="00DF0484">
        <w:rPr>
          <w:lang w:val="ru-RU"/>
        </w:rPr>
        <w:instrText>-</w:instrText>
      </w:r>
      <w:r w:rsidR="00DF0484">
        <w:instrText>T</w:instrText>
      </w:r>
      <w:r w:rsidR="00DF0484" w:rsidRPr="00DF0484">
        <w:rPr>
          <w:lang w:val="ru-RU"/>
        </w:rPr>
        <w:instrText>/</w:instrText>
      </w:r>
      <w:r w:rsidR="00DF0484">
        <w:instrText>ngn</w:instrText>
      </w:r>
      <w:r w:rsidR="00DF0484" w:rsidRPr="00DF0484">
        <w:rPr>
          <w:lang w:val="ru-RU"/>
        </w:rPr>
        <w:instrText>/</w:instrText>
      </w:r>
      <w:r w:rsidR="00DF0484">
        <w:instrText>index</w:instrText>
      </w:r>
      <w:r w:rsidR="00DF0484" w:rsidRPr="00DF0484">
        <w:rPr>
          <w:lang w:val="ru-RU"/>
        </w:rPr>
        <w:instrText>.</w:instrText>
      </w:r>
      <w:r w:rsidR="00DF0484">
        <w:instrText>phtml</w:instrText>
      </w:r>
      <w:r w:rsidR="00DF0484" w:rsidRPr="00DF0484">
        <w:rPr>
          <w:lang w:val="ru-RU"/>
        </w:rPr>
        <w:instrText xml:space="preserve">" </w:instrText>
      </w:r>
      <w:r w:rsidR="00DF0484">
        <w:fldChar w:fldCharType="separate"/>
      </w:r>
      <w:r w:rsidRPr="001E6AF2">
        <w:rPr>
          <w:color w:val="0000FF"/>
          <w:sz w:val="22"/>
          <w:szCs w:val="24"/>
          <w:u w:val="single"/>
          <w:lang w:val="ru-RU"/>
        </w:rPr>
        <w:t>http://itu.int/ITU-T/ngn</w:t>
      </w:r>
      <w:r w:rsidR="00DF0484">
        <w:rPr>
          <w:color w:val="0000FF"/>
          <w:sz w:val="22"/>
          <w:szCs w:val="24"/>
          <w:u w:val="single"/>
          <w:lang w:val="ru-RU"/>
        </w:rPr>
        <w:fldChar w:fldCharType="end"/>
      </w:r>
      <w:r w:rsidRPr="001E6AF2">
        <w:rPr>
          <w:sz w:val="22"/>
          <w:szCs w:val="24"/>
          <w:lang w:val="ru-RU"/>
        </w:rPr>
        <w:t>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5</w:t>
      </w:r>
      <w:r w:rsidRPr="00D23C8D">
        <w:rPr>
          <w:sz w:val="22"/>
          <w:szCs w:val="24"/>
          <w:lang w:val="ru-RU"/>
        </w:rPr>
        <w:tab/>
        <w:t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11</w:t>
      </w:r>
      <w:r w:rsidRPr="00D23C8D">
        <w:rPr>
          <w:sz w:val="22"/>
          <w:szCs w:val="24"/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D23C8D">
        <w:rPr>
          <w:b/>
          <w:bCs/>
          <w:sz w:val="22"/>
          <w:szCs w:val="24"/>
          <w:lang w:val="ru-RU"/>
        </w:rPr>
        <w:t>не позднее 4 февраля 2012 года</w:t>
      </w:r>
      <w:r w:rsidRPr="00D23C8D">
        <w:rPr>
          <w:sz w:val="22"/>
          <w:szCs w:val="24"/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D23C8D" w:rsidRPr="001E6AF2" w:rsidRDefault="00D23C8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4"/>
          <w:lang w:val="ru-RU"/>
        </w:rPr>
      </w:pPr>
      <w:r w:rsidRPr="001E6AF2">
        <w:rPr>
          <w:sz w:val="22"/>
          <w:szCs w:val="24"/>
          <w:lang w:val="ru-RU"/>
        </w:rPr>
        <w:br w:type="page"/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lastRenderedPageBreak/>
        <w:t>6</w:t>
      </w:r>
      <w:r w:rsidRPr="00D23C8D">
        <w:rPr>
          <w:sz w:val="22"/>
          <w:szCs w:val="24"/>
          <w:lang w:val="ru-RU"/>
        </w:rPr>
        <w:tab/>
        <w:t xml:space="preserve">В соответствии с предложением, сделанным на последнем собрании КГСЭ,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</w:t>
      </w:r>
      <w:proofErr w:type="gramStart"/>
      <w:r w:rsidRPr="00D23C8D">
        <w:rPr>
          <w:sz w:val="22"/>
          <w:szCs w:val="24"/>
          <w:lang w:val="ru-RU"/>
        </w:rPr>
        <w:t xml:space="preserve">Новая система непосредственного размещения дополняет традиционные средства представления на основе веб-сети и электронной почты, которые Вы можете по-прежнему использовать по следующему адресу: </w:t>
      </w:r>
      <w:hyperlink r:id="rId12" w:history="1">
        <w:r w:rsidRPr="001E6AF2">
          <w:rPr>
            <w:color w:val="0000FF"/>
            <w:sz w:val="22"/>
            <w:szCs w:val="24"/>
            <w:u w:val="single"/>
            <w:lang w:val="ru-RU"/>
          </w:rPr>
          <w:t>tsbsg11@itu.int</w:t>
        </w:r>
      </w:hyperlink>
      <w:r w:rsidRPr="00D23C8D">
        <w:rPr>
          <w:sz w:val="22"/>
          <w:szCs w:val="24"/>
          <w:lang w:val="ru-RU"/>
        </w:rPr>
        <w:t xml:space="preserve">. С 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3" w:history="1">
        <w:r w:rsidRPr="001E6AF2">
          <w:rPr>
            <w:color w:val="0000FF"/>
            <w:sz w:val="22"/>
            <w:szCs w:val="24"/>
            <w:u w:val="single"/>
            <w:lang w:val="ru-RU"/>
          </w:rPr>
          <w:t>http://itu.int/net/ITU-T/ddp/Default.aspx?groupid=7279</w:t>
        </w:r>
      </w:hyperlink>
      <w:r w:rsidRPr="00D23C8D">
        <w:rPr>
          <w:sz w:val="22"/>
          <w:szCs w:val="24"/>
          <w:lang w:val="ru-RU"/>
        </w:rPr>
        <w:t>.</w:t>
      </w:r>
      <w:proofErr w:type="gramEnd"/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D23C8D">
        <w:rPr>
          <w:sz w:val="22"/>
          <w:szCs w:val="24"/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D23C8D">
        <w:rPr>
          <w:sz w:val="22"/>
          <w:szCs w:val="24"/>
          <w:lang w:val="ru-RU"/>
        </w:rPr>
        <w:t>Delegate</w:t>
      </w:r>
      <w:proofErr w:type="spellEnd"/>
      <w:r w:rsidRPr="00D23C8D">
        <w:rPr>
          <w:sz w:val="22"/>
          <w:szCs w:val="24"/>
          <w:lang w:val="ru-RU"/>
        </w:rPr>
        <w:t xml:space="preserve"> </w:t>
      </w:r>
      <w:proofErr w:type="spellStart"/>
      <w:r w:rsidRPr="00D23C8D">
        <w:rPr>
          <w:sz w:val="22"/>
          <w:szCs w:val="24"/>
          <w:lang w:val="ru-RU"/>
        </w:rPr>
        <w:t>resources</w:t>
      </w:r>
      <w:proofErr w:type="spellEnd"/>
      <w:r w:rsidRPr="00D23C8D">
        <w:rPr>
          <w:sz w:val="22"/>
          <w:szCs w:val="24"/>
          <w:lang w:val="ru-RU"/>
        </w:rPr>
        <w:t>" (</w:t>
      </w:r>
      <w:hyperlink r:id="rId14" w:history="1">
        <w:r w:rsidRPr="001E6AF2">
          <w:rPr>
            <w:color w:val="0000FF"/>
            <w:sz w:val="22"/>
            <w:szCs w:val="24"/>
            <w:u w:val="single"/>
            <w:lang w:val="ru-RU"/>
          </w:rPr>
          <w:t>http://www.itu.int/ITU-T/studygroups/templates/index.html</w:t>
        </w:r>
      </w:hyperlink>
      <w:r w:rsidRPr="00D23C8D">
        <w:rPr>
          <w:sz w:val="22"/>
          <w:szCs w:val="24"/>
          <w:lang w:val="ru-RU"/>
        </w:rPr>
        <w:t>).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 xml:space="preserve">Для урегулирования любых вопросов, которые могут возникнуть в связи со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D23C8D">
        <w:rPr>
          <w:sz w:val="22"/>
          <w:szCs w:val="24"/>
          <w:u w:val="single"/>
          <w:lang w:val="ru-RU"/>
        </w:rPr>
        <w:t>всех</w:t>
      </w:r>
      <w:r w:rsidRPr="001E6AF2">
        <w:rPr>
          <w:sz w:val="22"/>
          <w:szCs w:val="24"/>
          <w:lang w:val="ru-RU"/>
        </w:rPr>
        <w:t xml:space="preserve"> документов.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7</w:t>
      </w:r>
      <w:proofErr w:type="gramStart"/>
      <w:r w:rsidRPr="00D23C8D">
        <w:rPr>
          <w:sz w:val="22"/>
          <w:szCs w:val="24"/>
          <w:lang w:val="ru-RU"/>
        </w:rPr>
        <w:tab/>
        <w:t>С</w:t>
      </w:r>
      <w:proofErr w:type="gramEnd"/>
      <w:r w:rsidRPr="00D23C8D">
        <w:rPr>
          <w:sz w:val="22"/>
          <w:szCs w:val="24"/>
          <w:lang w:val="ru-RU"/>
        </w:rPr>
        <w:t xml:space="preserve">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5" w:history="1">
        <w:r w:rsidRPr="001E6AF2">
          <w:rPr>
            <w:color w:val="0000FF"/>
            <w:sz w:val="22"/>
            <w:szCs w:val="24"/>
            <w:u w:val="single"/>
            <w:lang w:val="ru-RU"/>
          </w:rPr>
          <w:t>tsbreg@itu.int</w:t>
        </w:r>
      </w:hyperlink>
      <w:r w:rsidRPr="00D23C8D">
        <w:rPr>
          <w:sz w:val="22"/>
          <w:szCs w:val="24"/>
          <w:lang w:val="ru-RU"/>
        </w:rPr>
        <w:t xml:space="preserve">) в максимально короткий срок, однако </w:t>
      </w:r>
      <w:r w:rsidRPr="00D23C8D">
        <w:rPr>
          <w:b/>
          <w:bCs/>
          <w:sz w:val="22"/>
          <w:szCs w:val="24"/>
          <w:lang w:val="ru-RU"/>
        </w:rPr>
        <w:t>не позднее 17 января 2012 года</w:t>
      </w:r>
      <w:r w:rsidRPr="00D23C8D">
        <w:rPr>
          <w:sz w:val="22"/>
          <w:szCs w:val="24"/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8</w:t>
      </w:r>
      <w:proofErr w:type="gramStart"/>
      <w:r w:rsidRPr="00D23C8D">
        <w:rPr>
          <w:sz w:val="22"/>
          <w:szCs w:val="24"/>
          <w:lang w:val="ru-RU"/>
        </w:rPr>
        <w:tab/>
      </w:r>
      <w:r w:rsidRPr="00D23C8D">
        <w:rPr>
          <w:b/>
          <w:bCs/>
          <w:sz w:val="22"/>
          <w:szCs w:val="24"/>
          <w:lang w:val="ru-RU"/>
        </w:rPr>
        <w:t>П</w:t>
      </w:r>
      <w:proofErr w:type="gramEnd"/>
      <w:r w:rsidRPr="00D23C8D">
        <w:rPr>
          <w:b/>
          <w:bCs/>
          <w:sz w:val="22"/>
          <w:szCs w:val="24"/>
          <w:lang w:val="ru-RU"/>
        </w:rPr>
        <w:t>росим принять к сведению, что предварительная регистрация участников собраний МСЭ</w:t>
      </w:r>
      <w:r w:rsidRPr="00D23C8D">
        <w:rPr>
          <w:b/>
          <w:bCs/>
          <w:sz w:val="22"/>
          <w:szCs w:val="24"/>
          <w:lang w:val="ru-RU"/>
        </w:rPr>
        <w:noBreakHyphen/>
        <w:t xml:space="preserve">Т проводится в </w:t>
      </w:r>
      <w:r w:rsidRPr="00D23C8D">
        <w:rPr>
          <w:b/>
          <w:bCs/>
          <w:i/>
          <w:iCs/>
          <w:sz w:val="22"/>
          <w:szCs w:val="24"/>
          <w:lang w:val="ru-RU"/>
        </w:rPr>
        <w:t>онлайновой форме</w:t>
      </w:r>
      <w:r w:rsidRPr="00D23C8D">
        <w:rPr>
          <w:b/>
          <w:bCs/>
          <w:sz w:val="22"/>
          <w:szCs w:val="24"/>
          <w:lang w:val="ru-RU"/>
        </w:rPr>
        <w:t xml:space="preserve"> на веб-сайте МСЭ</w:t>
      </w:r>
      <w:r w:rsidRPr="00D23C8D">
        <w:rPr>
          <w:b/>
          <w:bCs/>
          <w:sz w:val="22"/>
          <w:szCs w:val="24"/>
          <w:lang w:val="ru-RU"/>
        </w:rPr>
        <w:noBreakHyphen/>
        <w:t xml:space="preserve">Т </w:t>
      </w:r>
      <w:r w:rsidRPr="00D23C8D">
        <w:rPr>
          <w:sz w:val="22"/>
          <w:szCs w:val="24"/>
          <w:lang w:val="ru-RU"/>
        </w:rPr>
        <w:t>(</w:t>
      </w:r>
      <w:hyperlink r:id="rId16" w:history="1">
        <w:r w:rsidRPr="001E6AF2">
          <w:rPr>
            <w:rStyle w:val="Hyperlink"/>
            <w:b/>
            <w:bCs/>
            <w:sz w:val="22"/>
            <w:szCs w:val="24"/>
            <w:lang w:val="ru-RU"/>
          </w:rPr>
          <w:t>http://itu.int/ITU</w:t>
        </w:r>
        <w:r w:rsidRPr="001E6AF2">
          <w:rPr>
            <w:rStyle w:val="Hyperlink"/>
            <w:b/>
            <w:bCs/>
            <w:sz w:val="22"/>
            <w:szCs w:val="24"/>
            <w:lang w:val="ru-RU"/>
          </w:rPr>
          <w:noBreakHyphen/>
          <w:t>T/studygroups/com11</w:t>
        </w:r>
      </w:hyperlink>
      <w:r w:rsidRPr="00D23C8D">
        <w:rPr>
          <w:sz w:val="22"/>
          <w:szCs w:val="24"/>
          <w:lang w:val="ru-RU"/>
        </w:rPr>
        <w:t>).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9</w:t>
      </w:r>
      <w:r w:rsidRPr="00D23C8D">
        <w:rPr>
          <w:sz w:val="22"/>
          <w:szCs w:val="24"/>
          <w:lang w:val="ru-RU"/>
        </w:rPr>
        <w:tab/>
        <w:t>11-я Исследовательская комиссия по согласованию с Председателем г-ном Вэй Феном предпримет дальнейшие шаги в направлении работы в полностью электронной среде. В связи с этим работа предстоящих 17 февраля 2012 года собраний будет проходить на безбумажной основе.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</w:t>
      </w:r>
      <w:r w:rsidRPr="00D23C8D">
        <w:rPr>
          <w:b/>
          <w:bCs/>
          <w:sz w:val="22"/>
          <w:szCs w:val="24"/>
          <w:lang w:val="ru-RU"/>
        </w:rPr>
        <w:t>на первом этаже</w:t>
      </w:r>
      <w:r w:rsidRPr="00D23C8D">
        <w:rPr>
          <w:sz w:val="22"/>
          <w:szCs w:val="24"/>
          <w:lang w:val="ru-RU"/>
        </w:rPr>
        <w:t xml:space="preserve"> здания "Монбрийан". Кроме того, Служба помощи (</w:t>
      </w:r>
      <w:hyperlink r:id="rId17" w:history="1">
        <w:r w:rsidRPr="001E6AF2">
          <w:rPr>
            <w:color w:val="0000FF"/>
            <w:sz w:val="22"/>
            <w:szCs w:val="24"/>
            <w:u w:val="single"/>
            <w:lang w:val="ru-RU"/>
          </w:rPr>
          <w:t>helpdesk@itu.int</w:t>
        </w:r>
      </w:hyperlink>
      <w:r w:rsidRPr="00D23C8D">
        <w:rPr>
          <w:sz w:val="22"/>
          <w:szCs w:val="24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10</w:t>
      </w:r>
      <w:r w:rsidRPr="00D23C8D">
        <w:rPr>
          <w:sz w:val="22"/>
          <w:szCs w:val="24"/>
          <w:lang w:val="ru-RU"/>
        </w:rPr>
        <w:tab/>
        <w:t>На первом этаже здания "Монбрийан" имеются ячейки с электронным замком. Открыть и закрыть ячейку вы можете, используя свой электронный пропуск RFID МСЭ, удостоверяющий личность. Ваша ячейка с электронным замком доступна только на период работы собрания, на котором вы присутствуете, и поэтому вы должны освободить ее до 23 час. 59 мин. последнего дня работы собрания.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11</w:t>
      </w:r>
      <w:r w:rsidRPr="00D23C8D">
        <w:rPr>
          <w:sz w:val="22"/>
          <w:szCs w:val="24"/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(</w:t>
      </w:r>
      <w:r w:rsidR="00DF0484">
        <w:fldChar w:fldCharType="begin"/>
      </w:r>
      <w:r w:rsidR="00DF0484" w:rsidRPr="00DF0484">
        <w:rPr>
          <w:lang w:val="ru-RU"/>
        </w:rPr>
        <w:instrText xml:space="preserve"> </w:instrText>
      </w:r>
      <w:r w:rsidR="00DF0484">
        <w:instrText>HYPERLINK</w:instrText>
      </w:r>
      <w:r w:rsidR="00DF0484" w:rsidRPr="00DF0484">
        <w:rPr>
          <w:lang w:val="ru-RU"/>
        </w:rPr>
        <w:instrText xml:space="preserve"> "</w:instrText>
      </w:r>
      <w:r w:rsidR="00DF0484">
        <w:instrText>http</w:instrText>
      </w:r>
      <w:r w:rsidR="00DF0484" w:rsidRPr="00DF0484">
        <w:rPr>
          <w:lang w:val="ru-RU"/>
        </w:rPr>
        <w:instrText>://</w:instrText>
      </w:r>
      <w:r w:rsidR="00DF0484">
        <w:instrText>www</w:instrText>
      </w:r>
      <w:r w:rsidR="00DF0484" w:rsidRPr="00DF0484">
        <w:rPr>
          <w:lang w:val="ru-RU"/>
        </w:rPr>
        <w:instrText>.</w:instrText>
      </w:r>
      <w:r w:rsidR="00DF0484">
        <w:instrText>itu</w:instrText>
      </w:r>
      <w:r w:rsidR="00DF0484" w:rsidRPr="00DF0484">
        <w:rPr>
          <w:lang w:val="ru-RU"/>
        </w:rPr>
        <w:instrText>.</w:instrText>
      </w:r>
      <w:r w:rsidR="00DF0484">
        <w:instrText>int</w:instrText>
      </w:r>
      <w:r w:rsidR="00DF0484" w:rsidRPr="00DF0484">
        <w:rPr>
          <w:lang w:val="ru-RU"/>
        </w:rPr>
        <w:instrText>/</w:instrText>
      </w:r>
      <w:r w:rsidR="00DF0484">
        <w:instrText>ITUT</w:instrText>
      </w:r>
      <w:r w:rsidR="00DF0484" w:rsidRPr="00DF0484">
        <w:rPr>
          <w:lang w:val="ru-RU"/>
        </w:rPr>
        <w:instrText>/</w:instrText>
      </w:r>
      <w:r w:rsidR="00DF0484">
        <w:instrText>edh</w:instrText>
      </w:r>
      <w:r w:rsidR="00DF0484" w:rsidRPr="00DF0484">
        <w:rPr>
          <w:lang w:val="ru-RU"/>
        </w:rPr>
        <w:instrText>/</w:instrText>
      </w:r>
      <w:r w:rsidR="00DF0484">
        <w:instrText>faqssupport</w:instrText>
      </w:r>
      <w:r w:rsidR="00DF0484" w:rsidRPr="00DF0484">
        <w:rPr>
          <w:lang w:val="ru-RU"/>
        </w:rPr>
        <w:instrText>.</w:instrText>
      </w:r>
      <w:r w:rsidR="00DF0484">
        <w:instrText>html</w:instrText>
      </w:r>
      <w:r w:rsidR="00DF0484" w:rsidRPr="00DF0484">
        <w:rPr>
          <w:lang w:val="ru-RU"/>
        </w:rPr>
        <w:instrText xml:space="preserve">" </w:instrText>
      </w:r>
      <w:r w:rsidR="00DF0484">
        <w:fldChar w:fldCharType="separate"/>
      </w:r>
      <w:r w:rsidRPr="001E6AF2">
        <w:rPr>
          <w:rStyle w:val="Hyperlink"/>
          <w:sz w:val="22"/>
          <w:szCs w:val="24"/>
          <w:lang w:val="ru-RU"/>
        </w:rPr>
        <w:t>http://www.itu.int/ITU</w:t>
      </w:r>
      <w:r w:rsidRPr="001E6AF2">
        <w:rPr>
          <w:rStyle w:val="Hyperlink"/>
          <w:sz w:val="22"/>
          <w:szCs w:val="24"/>
          <w:lang w:val="ru-RU"/>
        </w:rPr>
        <w:noBreakHyphen/>
        <w:t>T/edh/faqs</w:t>
      </w:r>
      <w:r w:rsidRPr="001E6AF2">
        <w:rPr>
          <w:rStyle w:val="Hyperlink"/>
          <w:sz w:val="22"/>
          <w:szCs w:val="24"/>
          <w:lang w:val="ru-RU"/>
        </w:rPr>
        <w:noBreakHyphen/>
        <w:t>support.html</w:t>
      </w:r>
      <w:r w:rsidR="00DF0484">
        <w:rPr>
          <w:rStyle w:val="Hyperlink"/>
          <w:sz w:val="22"/>
          <w:szCs w:val="24"/>
          <w:lang w:val="ru-RU"/>
        </w:rPr>
        <w:fldChar w:fldCharType="end"/>
      </w:r>
      <w:r w:rsidRPr="00D23C8D">
        <w:rPr>
          <w:sz w:val="22"/>
          <w:szCs w:val="24"/>
          <w:lang w:val="ru-RU"/>
        </w:rPr>
        <w:t>).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12</w:t>
      </w:r>
      <w:proofErr w:type="gramStart"/>
      <w:r w:rsidRPr="00D23C8D">
        <w:rPr>
          <w:sz w:val="22"/>
          <w:szCs w:val="24"/>
          <w:lang w:val="ru-RU"/>
        </w:rPr>
        <w:tab/>
        <w:t>Д</w:t>
      </w:r>
      <w:proofErr w:type="gramEnd"/>
      <w:r w:rsidRPr="00D23C8D">
        <w:rPr>
          <w:sz w:val="22"/>
          <w:szCs w:val="24"/>
          <w:lang w:val="ru-RU"/>
        </w:rPr>
        <w:t xml:space="preserve">ля Вашего удобства в </w:t>
      </w:r>
      <w:r w:rsidRPr="00D23C8D">
        <w:rPr>
          <w:b/>
          <w:bCs/>
          <w:sz w:val="22"/>
          <w:szCs w:val="24"/>
          <w:lang w:val="ru-RU"/>
        </w:rPr>
        <w:t>Приложении 2</w:t>
      </w:r>
      <w:r w:rsidRPr="00D23C8D">
        <w:rPr>
          <w:sz w:val="22"/>
          <w:szCs w:val="24"/>
          <w:lang w:val="ru-RU"/>
        </w:rPr>
        <w:t xml:space="preserve"> содержится форма для бронирования номеров в гостиницах (список гостиниц см. </w:t>
      </w:r>
      <w:hyperlink r:id="rId18" w:history="1">
        <w:r w:rsidRPr="001E6AF2">
          <w:rPr>
            <w:color w:val="0000FF"/>
            <w:sz w:val="22"/>
            <w:szCs w:val="24"/>
            <w:u w:val="single"/>
            <w:lang w:val="ru-RU"/>
          </w:rPr>
          <w:t>http://www.itu.int/travel/</w:t>
        </w:r>
      </w:hyperlink>
      <w:r w:rsidRPr="00D23C8D">
        <w:rPr>
          <w:sz w:val="22"/>
          <w:szCs w:val="24"/>
          <w:lang w:val="ru-RU"/>
        </w:rPr>
        <w:t>).</w:t>
      </w:r>
    </w:p>
    <w:p w:rsidR="00D23C8D" w:rsidRPr="00D23C8D" w:rsidRDefault="00D23C8D" w:rsidP="00D23C8D">
      <w:pPr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13</w:t>
      </w:r>
      <w:r w:rsidRPr="00D23C8D">
        <w:rPr>
          <w:sz w:val="22"/>
          <w:szCs w:val="24"/>
          <w:lang w:val="ru-RU"/>
        </w:rPr>
        <w:tab/>
        <w:t xml:space="preserve">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D23C8D">
        <w:rPr>
          <w:b/>
          <w:bCs/>
          <w:sz w:val="22"/>
          <w:szCs w:val="24"/>
          <w:lang w:val="ru-RU"/>
        </w:rPr>
        <w:t>Визу следует запрашивать не менее чем за четыре (4) недели до даты начала собрания</w:t>
      </w:r>
      <w:r w:rsidRPr="00D23C8D">
        <w:rPr>
          <w:sz w:val="22"/>
          <w:szCs w:val="24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</w:t>
      </w:r>
      <w:r w:rsidRPr="00D23C8D">
        <w:rPr>
          <w:sz w:val="22"/>
          <w:szCs w:val="24"/>
          <w:lang w:val="ru-RU"/>
        </w:rPr>
        <w:lastRenderedPageBreak/>
        <w:t>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D23C8D">
        <w:rPr>
          <w:b/>
          <w:bCs/>
          <w:sz w:val="22"/>
          <w:szCs w:val="24"/>
          <w:lang w:val="ru-RU"/>
        </w:rPr>
        <w:t>запрос о содействии в получении визы</w:t>
      </w:r>
      <w:r w:rsidRPr="00D23C8D">
        <w:rPr>
          <w:sz w:val="22"/>
          <w:szCs w:val="24"/>
          <w:lang w:val="ru-RU"/>
        </w:rPr>
        <w:t>" ("</w:t>
      </w:r>
      <w:r w:rsidRPr="00D23C8D">
        <w:rPr>
          <w:b/>
          <w:bCs/>
          <w:sz w:val="22"/>
          <w:szCs w:val="24"/>
          <w:lang w:val="ru-RU"/>
        </w:rPr>
        <w:t>visa request</w:t>
      </w:r>
      <w:r w:rsidRPr="00D23C8D">
        <w:rPr>
          <w:sz w:val="22"/>
          <w:szCs w:val="24"/>
          <w:lang w:val="ru-RU"/>
        </w:rPr>
        <w:t>") по факсу (+41 22 730 5853) либо по электронной почте (</w:t>
      </w:r>
      <w:hyperlink r:id="rId19" w:history="1">
        <w:r w:rsidRPr="001E6AF2">
          <w:rPr>
            <w:color w:val="0000FF"/>
            <w:sz w:val="22"/>
            <w:szCs w:val="24"/>
            <w:u w:val="single"/>
            <w:lang w:val="ru-RU"/>
          </w:rPr>
          <w:t>tsbreg@itu.int</w:t>
        </w:r>
      </w:hyperlink>
      <w:r w:rsidRPr="00D23C8D">
        <w:rPr>
          <w:sz w:val="22"/>
          <w:szCs w:val="24"/>
          <w:lang w:val="ru-RU"/>
        </w:rPr>
        <w:t>).</w:t>
      </w:r>
    </w:p>
    <w:p w:rsidR="00D23C8D" w:rsidRPr="00D23C8D" w:rsidRDefault="00D23C8D" w:rsidP="00D23C8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lang w:val="ru-RU"/>
        </w:rPr>
      </w:pPr>
      <w:r w:rsidRPr="00D23C8D">
        <w:rPr>
          <w:sz w:val="22"/>
          <w:lang w:val="ru-RU"/>
        </w:rPr>
        <w:t>С уважением,</w:t>
      </w:r>
    </w:p>
    <w:p w:rsidR="00D23C8D" w:rsidRPr="00D23C8D" w:rsidRDefault="00D23C8D" w:rsidP="00D23C8D">
      <w:pPr>
        <w:spacing w:before="1080"/>
        <w:rPr>
          <w:sz w:val="22"/>
          <w:szCs w:val="24"/>
          <w:lang w:val="ru-RU"/>
        </w:rPr>
      </w:pPr>
      <w:r w:rsidRPr="00D23C8D">
        <w:rPr>
          <w:sz w:val="22"/>
          <w:szCs w:val="24"/>
          <w:lang w:val="ru-RU"/>
        </w:rPr>
        <w:t>Малколм Джонсон</w:t>
      </w:r>
      <w:r w:rsidRPr="00D23C8D">
        <w:rPr>
          <w:sz w:val="22"/>
          <w:szCs w:val="24"/>
          <w:lang w:val="ru-RU"/>
        </w:rPr>
        <w:br/>
        <w:t>Директор Бюро</w:t>
      </w:r>
      <w:r w:rsidRPr="00D23C8D">
        <w:rPr>
          <w:sz w:val="22"/>
          <w:szCs w:val="24"/>
          <w:lang w:val="ru-RU"/>
        </w:rPr>
        <w:br/>
        <w:t>стандартизации электросвязи</w:t>
      </w:r>
    </w:p>
    <w:p w:rsidR="00D23C8D" w:rsidRPr="002855D3" w:rsidRDefault="00D23C8D" w:rsidP="00D23C8D">
      <w:pPr>
        <w:spacing w:before="1440"/>
        <w:rPr>
          <w:sz w:val="22"/>
          <w:szCs w:val="24"/>
          <w:lang w:val="en-US"/>
        </w:rPr>
      </w:pPr>
      <w:r w:rsidRPr="00D23C8D">
        <w:rPr>
          <w:b/>
          <w:bCs/>
          <w:sz w:val="22"/>
          <w:szCs w:val="24"/>
          <w:lang w:val="ru-RU"/>
        </w:rPr>
        <w:t>Приложения</w:t>
      </w:r>
      <w:r w:rsidRPr="002855D3">
        <w:rPr>
          <w:sz w:val="22"/>
          <w:szCs w:val="24"/>
          <w:lang w:val="en-US"/>
        </w:rPr>
        <w:t>: 2</w:t>
      </w:r>
    </w:p>
    <w:p w:rsidR="00B427C8" w:rsidRPr="00D23C8D" w:rsidRDefault="00B427C8" w:rsidP="00653D95">
      <w:pPr>
        <w:spacing w:before="0"/>
        <w:ind w:right="91"/>
        <w:jc w:val="center"/>
        <w:rPr>
          <w:sz w:val="22"/>
          <w:szCs w:val="22"/>
        </w:rPr>
      </w:pPr>
      <w:r w:rsidRPr="00B427C8">
        <w:rPr>
          <w:b/>
          <w:lang w:val="en-US"/>
        </w:rPr>
        <w:br w:type="page"/>
      </w:r>
      <w:r w:rsidRPr="00D23C8D">
        <w:rPr>
          <w:bCs/>
          <w:sz w:val="26"/>
          <w:szCs w:val="26"/>
        </w:rPr>
        <w:lastRenderedPageBreak/>
        <w:t>ANNEX 1</w:t>
      </w:r>
      <w:r w:rsidRPr="00D23C8D">
        <w:rPr>
          <w:b/>
          <w:sz w:val="26"/>
          <w:szCs w:val="26"/>
        </w:rPr>
        <w:br/>
      </w:r>
      <w:r w:rsidRPr="00D23C8D">
        <w:rPr>
          <w:sz w:val="22"/>
          <w:szCs w:val="22"/>
        </w:rPr>
        <w:t xml:space="preserve">(to TSB Collective letter </w:t>
      </w:r>
      <w:r w:rsidR="00477FD5" w:rsidRPr="00D23C8D">
        <w:rPr>
          <w:sz w:val="22"/>
          <w:szCs w:val="22"/>
        </w:rPr>
        <w:t>10</w:t>
      </w:r>
      <w:r w:rsidR="00C21C82" w:rsidRPr="00D23C8D">
        <w:rPr>
          <w:sz w:val="22"/>
          <w:szCs w:val="22"/>
        </w:rPr>
        <w:t>/</w:t>
      </w:r>
      <w:r w:rsidR="0096458A" w:rsidRPr="00D23C8D">
        <w:rPr>
          <w:sz w:val="22"/>
          <w:szCs w:val="22"/>
        </w:rPr>
        <w:t>11</w:t>
      </w:r>
      <w:r w:rsidR="00C21C82" w:rsidRPr="00D23C8D">
        <w:rPr>
          <w:sz w:val="22"/>
          <w:szCs w:val="22"/>
        </w:rPr>
        <w:t>)</w:t>
      </w:r>
    </w:p>
    <w:p w:rsidR="0096458A" w:rsidRDefault="0096458A" w:rsidP="0096458A">
      <w:pPr>
        <w:ind w:right="91"/>
        <w:jc w:val="center"/>
        <w:rPr>
          <w:b/>
          <w:bCs/>
        </w:rPr>
      </w:pPr>
      <w:r>
        <w:rPr>
          <w:b/>
          <w:bCs/>
        </w:rPr>
        <w:t xml:space="preserve">Meeting of Working Parties </w:t>
      </w:r>
      <w:r w:rsidR="00745B31">
        <w:rPr>
          <w:b/>
        </w:rPr>
        <w:t xml:space="preserve">1, </w:t>
      </w:r>
      <w:r>
        <w:rPr>
          <w:b/>
          <w:bCs/>
        </w:rPr>
        <w:t xml:space="preserve">2, 3 and </w:t>
      </w:r>
      <w:r w:rsidR="00C21C82" w:rsidRPr="00C34EDE">
        <w:rPr>
          <w:b/>
        </w:rPr>
        <w:t>4/11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Geneva, 17 February </w:t>
      </w:r>
      <w:r w:rsidR="00C21C82" w:rsidRPr="00C34EDE">
        <w:rPr>
          <w:b/>
        </w:rPr>
        <w:t>(</w:t>
      </w:r>
      <w:r w:rsidR="00745B31">
        <w:rPr>
          <w:b/>
        </w:rPr>
        <w:t>consecutively from 1130 hours onwards</w:t>
      </w:r>
      <w:r>
        <w:rPr>
          <w:b/>
          <w:bCs/>
        </w:rPr>
        <w:t>)</w:t>
      </w:r>
    </w:p>
    <w:p w:rsidR="0096458A" w:rsidRDefault="0096458A" w:rsidP="0096458A">
      <w:pPr>
        <w:ind w:right="91"/>
        <w:jc w:val="center"/>
        <w:rPr>
          <w:b/>
          <w:bCs/>
          <w:lang w:val="fr-CH"/>
        </w:rPr>
      </w:pPr>
      <w:proofErr w:type="spellStart"/>
      <w:r>
        <w:rPr>
          <w:b/>
          <w:bCs/>
          <w:lang w:val="fr-CH"/>
        </w:rPr>
        <w:t>Draft</w:t>
      </w:r>
      <w:proofErr w:type="spellEnd"/>
      <w:r>
        <w:rPr>
          <w:b/>
          <w:bCs/>
          <w:lang w:val="fr-CH"/>
        </w:rPr>
        <w:t xml:space="preserve"> Agenda</w:t>
      </w:r>
    </w:p>
    <w:p w:rsidR="0096458A" w:rsidRDefault="0096458A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</w:pPr>
      <w:r>
        <w:t>Opening remarks and welcome</w:t>
      </w:r>
    </w:p>
    <w:p w:rsidR="0096458A" w:rsidRDefault="0096458A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  <w:rPr>
          <w:lang w:val="en-US"/>
        </w:rPr>
      </w:pPr>
      <w:r>
        <w:t xml:space="preserve">Approval of the agenda for the plenary meetings of Working Parties </w:t>
      </w:r>
      <w:r w:rsidR="00E9433A">
        <w:t xml:space="preserve">1, </w:t>
      </w:r>
      <w:r>
        <w:t xml:space="preserve">2, 3 and </w:t>
      </w:r>
      <w:r w:rsidR="00D779DA" w:rsidRPr="00C34EDE">
        <w:t>4</w:t>
      </w:r>
      <w:r w:rsidR="00C21C82" w:rsidRPr="00C34EDE">
        <w:t>/11</w:t>
      </w:r>
    </w:p>
    <w:p w:rsidR="0096458A" w:rsidRDefault="0096458A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</w:pPr>
      <w:r>
        <w:t>Documents</w:t>
      </w:r>
    </w:p>
    <w:p w:rsidR="0096458A" w:rsidRDefault="0096458A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</w:pPr>
      <w:r>
        <w:t xml:space="preserve">Review the results of Rapporteur Group meetings </w:t>
      </w:r>
    </w:p>
    <w:p w:rsidR="0096458A" w:rsidRDefault="0096458A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</w:pPr>
      <w:r>
        <w:t>Consent or determination of draft Recommendations</w:t>
      </w:r>
      <w:r w:rsidR="00673D82">
        <w:t xml:space="preserve">, agreement on supplements/handbooks </w:t>
      </w:r>
      <w:r w:rsidR="00C21C82" w:rsidRPr="00C34EDE">
        <w:t xml:space="preserve">for WPs </w:t>
      </w:r>
      <w:r w:rsidR="00745B31">
        <w:t>1,</w:t>
      </w:r>
      <w:r w:rsidR="00C21C82" w:rsidRPr="00C34EDE">
        <w:t>2</w:t>
      </w:r>
      <w:r w:rsidR="00D779DA" w:rsidRPr="00C34EDE">
        <w:t>, 3</w:t>
      </w:r>
      <w:r w:rsidR="005D3A31" w:rsidRPr="00C34EDE">
        <w:t xml:space="preserve"> </w:t>
      </w:r>
      <w:r w:rsidR="00C21C82" w:rsidRPr="00C34EDE">
        <w:t xml:space="preserve">and </w:t>
      </w:r>
      <w:r w:rsidR="00D779DA" w:rsidRPr="00C34EDE">
        <w:t>4</w:t>
      </w:r>
      <w:r w:rsidR="00C21C82" w:rsidRPr="00C34EDE">
        <w:t>/11</w:t>
      </w:r>
      <w:r w:rsidR="00CB06AC" w:rsidRPr="00C34EDE">
        <w:t xml:space="preserve"> as follows:</w:t>
      </w:r>
    </w:p>
    <w:p w:rsidR="00563A5F" w:rsidRDefault="00563A5F" w:rsidP="008C5F43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WP 1/11</w:t>
      </w:r>
    </w:p>
    <w:p w:rsidR="00E9433A" w:rsidRDefault="00E9433A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left="1134" w:hanging="414"/>
        <w:textAlignment w:val="baseline"/>
        <w:rPr>
          <w:szCs w:val="22"/>
        </w:rPr>
      </w:pPr>
      <w:r w:rsidRPr="008B657C">
        <w:rPr>
          <w:szCs w:val="22"/>
        </w:rPr>
        <w:t xml:space="preserve">Q.TS-IVR </w:t>
      </w:r>
      <w:r w:rsidR="00673D82">
        <w:rPr>
          <w:szCs w:val="22"/>
        </w:rPr>
        <w:t>- “</w:t>
      </w:r>
      <w:r w:rsidR="00673D82" w:rsidRPr="00673D82">
        <w:rPr>
          <w:szCs w:val="22"/>
        </w:rPr>
        <w:t>Signalling requirements for touch screen terminal-based IVR services</w:t>
      </w:r>
      <w:r w:rsidR="00673D82">
        <w:rPr>
          <w:szCs w:val="22"/>
        </w:rPr>
        <w:t>”</w:t>
      </w:r>
    </w:p>
    <w:p w:rsidR="00563A5F" w:rsidRDefault="00E9433A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lang w:eastAsia="zh-CN"/>
        </w:rPr>
      </w:pPr>
      <w:r w:rsidRPr="00E462B2">
        <w:t>TRQ.ETS-overview</w:t>
      </w:r>
      <w:r>
        <w:t xml:space="preserve"> (</w:t>
      </w:r>
      <w:r w:rsidR="00FA55B7">
        <w:t xml:space="preserve">draft revised </w:t>
      </w:r>
      <w:r>
        <w:t xml:space="preserve">Supp.62 to </w:t>
      </w:r>
      <w:r w:rsidRPr="00E9433A">
        <w:rPr>
          <w:lang w:val="en-US"/>
        </w:rPr>
        <w:t xml:space="preserve">ITU-T </w:t>
      </w:r>
      <w:r>
        <w:t>Q series Recommendations</w:t>
      </w:r>
      <w:r w:rsidR="00FA55B7">
        <w:t>)</w:t>
      </w:r>
      <w:r>
        <w:t xml:space="preserve"> </w:t>
      </w:r>
      <w:r w:rsidRPr="009439E7">
        <w:t>“</w:t>
      </w:r>
      <w:r w:rsidR="00FA55B7" w:rsidRPr="00FA55B7">
        <w:t>Overview of Standards Development Organizations (SDOs) and Other Organizations' Work on Emergency Telecommunications Service (ETS)</w:t>
      </w:r>
      <w:r w:rsidR="00FA55B7">
        <w:t>“</w:t>
      </w:r>
    </w:p>
    <w:p w:rsidR="000B0446" w:rsidRDefault="000B0446" w:rsidP="008C5F43">
      <w:pPr>
        <w:jc w:val="both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2/11</w:t>
      </w:r>
    </w:p>
    <w:p w:rsidR="006665F0" w:rsidRPr="00673D82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left="1134" w:hanging="414"/>
        <w:textAlignment w:val="baseline"/>
        <w:rPr>
          <w:szCs w:val="22"/>
        </w:rPr>
      </w:pPr>
      <w:r w:rsidRPr="00673D82">
        <w:rPr>
          <w:szCs w:val="22"/>
        </w:rPr>
        <w:t>Q.3310</w:t>
      </w:r>
      <w:r w:rsidR="006665F0" w:rsidRPr="00673D82">
        <w:rPr>
          <w:rFonts w:hint="eastAsia"/>
          <w:szCs w:val="22"/>
        </w:rPr>
        <w:t>.</w:t>
      </w:r>
      <w:r w:rsidRPr="00673D82">
        <w:rPr>
          <w:szCs w:val="22"/>
        </w:rPr>
        <w:t xml:space="preserve">- </w:t>
      </w:r>
      <w:r w:rsidR="00FA55B7">
        <w:rPr>
          <w:szCs w:val="22"/>
        </w:rPr>
        <w:t>“</w:t>
      </w:r>
      <w:r w:rsidRPr="00673D82">
        <w:rPr>
          <w:szCs w:val="22"/>
        </w:rPr>
        <w:t>Protocol at the interface between Resource Admission Control Physical entities (RAC-PE) and CPN Gateway Physical entities (CG-PE) (CGPE-PE) (Rh' interface)</w:t>
      </w:r>
      <w:r w:rsidR="00FA55B7">
        <w:rPr>
          <w:szCs w:val="22"/>
        </w:rPr>
        <w:t>”</w:t>
      </w:r>
    </w:p>
    <w:p w:rsidR="008918F0" w:rsidRPr="00673D82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</w:rPr>
      </w:pPr>
      <w:r w:rsidRPr="00673D82">
        <w:rPr>
          <w:szCs w:val="22"/>
        </w:rPr>
        <w:t>Q.33</w:t>
      </w:r>
      <w:r w:rsidRPr="00673D82">
        <w:rPr>
          <w:rFonts w:hint="eastAsia"/>
          <w:szCs w:val="22"/>
        </w:rPr>
        <w:t>0</w:t>
      </w:r>
      <w:r w:rsidRPr="00673D82">
        <w:rPr>
          <w:szCs w:val="22"/>
        </w:rPr>
        <w:t>3.1</w:t>
      </w:r>
      <w:r w:rsidRPr="00673D82">
        <w:rPr>
          <w:rFonts w:hint="eastAsia"/>
          <w:szCs w:val="22"/>
        </w:rPr>
        <w:t xml:space="preserve"> v2</w:t>
      </w:r>
      <w:r w:rsidRPr="00673D82">
        <w:rPr>
          <w:szCs w:val="22"/>
        </w:rPr>
        <w:t xml:space="preserve"> </w:t>
      </w:r>
      <w:r w:rsidR="00FA55B7">
        <w:rPr>
          <w:szCs w:val="22"/>
        </w:rPr>
        <w:t>–</w:t>
      </w:r>
      <w:r w:rsidRPr="00673D82">
        <w:rPr>
          <w:szCs w:val="22"/>
        </w:rPr>
        <w:t xml:space="preserve"> </w:t>
      </w:r>
      <w:r w:rsidR="00FA55B7">
        <w:rPr>
          <w:szCs w:val="22"/>
        </w:rPr>
        <w:t>“</w:t>
      </w:r>
      <w:r w:rsidRPr="00673D82">
        <w:rPr>
          <w:szCs w:val="22"/>
        </w:rPr>
        <w:t xml:space="preserve">Resource control protocol no.3: COPS Profile Protocol at the </w:t>
      </w:r>
      <w:proofErr w:type="spellStart"/>
      <w:r w:rsidRPr="00673D82">
        <w:rPr>
          <w:szCs w:val="22"/>
        </w:rPr>
        <w:t>Rw</w:t>
      </w:r>
      <w:proofErr w:type="spellEnd"/>
      <w:r w:rsidRPr="00673D82">
        <w:rPr>
          <w:szCs w:val="22"/>
        </w:rPr>
        <w:t xml:space="preserve"> interface between Policy decision Physical entity (PD-PE) and Policy Enforcement Physical Entity (PE-PE)</w:t>
      </w:r>
      <w:r w:rsidR="00FA55B7">
        <w:rPr>
          <w:szCs w:val="22"/>
        </w:rPr>
        <w:t>”</w:t>
      </w:r>
    </w:p>
    <w:p w:rsidR="008918F0" w:rsidRPr="00673D82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</w:rPr>
      </w:pPr>
      <w:r w:rsidRPr="00673D82">
        <w:rPr>
          <w:szCs w:val="22"/>
        </w:rPr>
        <w:t>Q.M9</w:t>
      </w:r>
      <w:r w:rsidR="00673D82" w:rsidRPr="00673D82">
        <w:rPr>
          <w:szCs w:val="22"/>
        </w:rPr>
        <w:t xml:space="preserve"> </w:t>
      </w:r>
      <w:r w:rsidR="00FA55B7">
        <w:rPr>
          <w:szCs w:val="22"/>
        </w:rPr>
        <w:t>–</w:t>
      </w:r>
      <w:r w:rsidRPr="00673D82">
        <w:rPr>
          <w:szCs w:val="22"/>
        </w:rPr>
        <w:t xml:space="preserve"> </w:t>
      </w:r>
      <w:r w:rsidR="00FA55B7">
        <w:rPr>
          <w:szCs w:val="22"/>
        </w:rPr>
        <w:t>“</w:t>
      </w:r>
      <w:r w:rsidRPr="00673D82">
        <w:rPr>
          <w:szCs w:val="22"/>
        </w:rPr>
        <w:t>Proposal for the new recommendation of signalling requirements and protocol at the M9 interface between MLM-PE(P) and MLM-PE(C)</w:t>
      </w:r>
      <w:r w:rsidR="00FA55B7">
        <w:rPr>
          <w:szCs w:val="22"/>
        </w:rPr>
        <w:t>”</w:t>
      </w:r>
    </w:p>
    <w:p w:rsidR="008918F0" w:rsidRPr="00673D82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</w:rPr>
      </w:pPr>
      <w:proofErr w:type="spellStart"/>
      <w:r w:rsidRPr="00673D82">
        <w:rPr>
          <w:szCs w:val="22"/>
        </w:rPr>
        <w:t>Q.sigafmob</w:t>
      </w:r>
      <w:proofErr w:type="spellEnd"/>
      <w:r w:rsidRPr="00673D82">
        <w:rPr>
          <w:szCs w:val="22"/>
        </w:rPr>
        <w:t xml:space="preserve"> </w:t>
      </w:r>
      <w:r w:rsidR="00FA55B7">
        <w:rPr>
          <w:szCs w:val="22"/>
        </w:rPr>
        <w:t>–</w:t>
      </w:r>
      <w:r w:rsidRPr="00673D82">
        <w:rPr>
          <w:szCs w:val="22"/>
        </w:rPr>
        <w:t xml:space="preserve"> </w:t>
      </w:r>
      <w:r w:rsidR="00FA55B7">
        <w:rPr>
          <w:szCs w:val="22"/>
        </w:rPr>
        <w:t>“</w:t>
      </w:r>
      <w:r w:rsidRPr="00673D82">
        <w:rPr>
          <w:szCs w:val="22"/>
        </w:rPr>
        <w:t>Signalling architecture and signalling flows for mobility</w:t>
      </w:r>
      <w:r w:rsidR="00FA55B7">
        <w:rPr>
          <w:szCs w:val="22"/>
        </w:rPr>
        <w:t>”</w:t>
      </w:r>
    </w:p>
    <w:p w:rsidR="000B0446" w:rsidRPr="00C34EDE" w:rsidRDefault="000B0446" w:rsidP="000B0446">
      <w:pPr>
        <w:ind w:left="567" w:hanging="567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3/11</w:t>
      </w:r>
    </w:p>
    <w:p w:rsidR="00673D82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left="1134" w:hanging="414"/>
        <w:textAlignment w:val="baseline"/>
        <w:rPr>
          <w:szCs w:val="22"/>
        </w:rPr>
      </w:pPr>
      <w:r w:rsidRPr="00852926">
        <w:rPr>
          <w:szCs w:val="22"/>
        </w:rPr>
        <w:t>Q.</w:t>
      </w:r>
      <w:r w:rsidRPr="00852926">
        <w:rPr>
          <w:rFonts w:hint="eastAsia"/>
          <w:szCs w:val="22"/>
        </w:rPr>
        <w:t>nacp.M13</w:t>
      </w:r>
      <w:r w:rsidR="00FA55B7">
        <w:rPr>
          <w:szCs w:val="22"/>
        </w:rPr>
        <w:t xml:space="preserve"> – “</w:t>
      </w:r>
      <w:r w:rsidR="00FA55B7" w:rsidRPr="00FA55B7">
        <w:rPr>
          <w:szCs w:val="22"/>
        </w:rPr>
        <w:t>Signalling Requirements and Protocol at the M13 interface between TLM-PE and NID-PE</w:t>
      </w:r>
      <w:r w:rsidR="00FA55B7">
        <w:rPr>
          <w:szCs w:val="22"/>
        </w:rPr>
        <w:t>”</w:t>
      </w:r>
    </w:p>
    <w:p w:rsidR="00673D82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</w:rPr>
      </w:pPr>
      <w:r>
        <w:rPr>
          <w:rFonts w:hint="eastAsia"/>
          <w:szCs w:val="22"/>
        </w:rPr>
        <w:t xml:space="preserve">Revised </w:t>
      </w:r>
      <w:r w:rsidRPr="00852926">
        <w:rPr>
          <w:rFonts w:hint="eastAsia"/>
          <w:szCs w:val="22"/>
        </w:rPr>
        <w:t>X.603</w:t>
      </w:r>
      <w:r>
        <w:rPr>
          <w:rFonts w:hint="eastAsia"/>
          <w:szCs w:val="22"/>
        </w:rPr>
        <w:t>(2004)</w:t>
      </w:r>
      <w:r w:rsidR="00FA55B7">
        <w:rPr>
          <w:szCs w:val="22"/>
        </w:rPr>
        <w:t xml:space="preserve"> “</w:t>
      </w:r>
      <w:r w:rsidR="00FA55B7" w:rsidRPr="00FA55B7">
        <w:rPr>
          <w:szCs w:val="22"/>
        </w:rPr>
        <w:t>Relayed multicast control protocol</w:t>
      </w:r>
      <w:r w:rsidR="00FA55B7">
        <w:rPr>
          <w:szCs w:val="22"/>
        </w:rPr>
        <w:t>”</w:t>
      </w:r>
    </w:p>
    <w:p w:rsidR="008918F0" w:rsidRPr="00FA55B7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  <w:lang w:val="en-US"/>
        </w:rPr>
      </w:pPr>
      <w:r>
        <w:rPr>
          <w:rFonts w:hint="eastAsia"/>
          <w:szCs w:val="22"/>
        </w:rPr>
        <w:t xml:space="preserve">Revised </w:t>
      </w:r>
      <w:r w:rsidRPr="00852926">
        <w:rPr>
          <w:rFonts w:hint="eastAsia"/>
          <w:szCs w:val="22"/>
        </w:rPr>
        <w:t>X.603.1</w:t>
      </w:r>
      <w:r>
        <w:rPr>
          <w:rFonts w:hint="eastAsia"/>
          <w:szCs w:val="22"/>
        </w:rPr>
        <w:t>(2010)</w:t>
      </w:r>
      <w:r w:rsidR="00FA55B7">
        <w:rPr>
          <w:szCs w:val="22"/>
        </w:rPr>
        <w:t xml:space="preserve"> “</w:t>
      </w:r>
      <w:r w:rsidR="00FA55B7" w:rsidRPr="00FA55B7">
        <w:rPr>
          <w:szCs w:val="22"/>
          <w:lang w:val="en-US"/>
        </w:rPr>
        <w:t>Information technology – Relayed multicast protocol: Specification for simplex group applications</w:t>
      </w:r>
      <w:r w:rsidR="00FA55B7">
        <w:rPr>
          <w:szCs w:val="22"/>
          <w:lang w:val="en-US"/>
        </w:rPr>
        <w:t>”</w:t>
      </w:r>
    </w:p>
    <w:p w:rsidR="008918F0" w:rsidRPr="00852926" w:rsidRDefault="008918F0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lang w:eastAsia="ko-KR"/>
        </w:rPr>
      </w:pPr>
      <w:r w:rsidRPr="00852926">
        <w:t xml:space="preserve">“Handbook on </w:t>
      </w:r>
      <w:r w:rsidRPr="00852926">
        <w:rPr>
          <w:szCs w:val="24"/>
          <w:lang w:val="en-US" w:eastAsia="ko-KR"/>
        </w:rPr>
        <w:t xml:space="preserve">network performance testing and monitoring for guarantee required </w:t>
      </w:r>
      <w:proofErr w:type="spellStart"/>
      <w:r w:rsidRPr="00852926">
        <w:rPr>
          <w:szCs w:val="24"/>
          <w:lang w:val="en-US" w:eastAsia="ko-KR"/>
        </w:rPr>
        <w:t>QoS</w:t>
      </w:r>
      <w:proofErr w:type="spellEnd"/>
      <w:r w:rsidRPr="00852926">
        <w:rPr>
          <w:szCs w:val="24"/>
          <w:lang w:val="en-US" w:eastAsia="ko-KR"/>
        </w:rPr>
        <w:t xml:space="preserve"> for NGN services</w:t>
      </w:r>
      <w:r w:rsidRPr="00852926">
        <w:t>”</w:t>
      </w:r>
    </w:p>
    <w:p w:rsidR="000B0446" w:rsidRDefault="000B0446" w:rsidP="000B0446">
      <w:pPr>
        <w:ind w:left="567" w:hanging="567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4/11</w:t>
      </w:r>
    </w:p>
    <w:p w:rsidR="00673D82" w:rsidRDefault="002E49EA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left="1134" w:hanging="414"/>
        <w:textAlignment w:val="baseline"/>
        <w:rPr>
          <w:szCs w:val="24"/>
          <w:lang w:val="en-US" w:eastAsia="ja-JP"/>
        </w:rPr>
      </w:pPr>
      <w:proofErr w:type="spellStart"/>
      <w:r w:rsidRPr="006C5954">
        <w:rPr>
          <w:szCs w:val="24"/>
        </w:rPr>
        <w:t>Q.MMtesting</w:t>
      </w:r>
      <w:proofErr w:type="spellEnd"/>
      <w:r w:rsidR="000C3879">
        <w:rPr>
          <w:szCs w:val="24"/>
        </w:rPr>
        <w:t xml:space="preserve"> </w:t>
      </w:r>
      <w:r w:rsidR="000C3879">
        <w:rPr>
          <w:szCs w:val="22"/>
        </w:rPr>
        <w:t>–</w:t>
      </w:r>
      <w:r w:rsidR="000C3879">
        <w:rPr>
          <w:szCs w:val="24"/>
        </w:rPr>
        <w:t xml:space="preserve"> </w:t>
      </w:r>
      <w:r w:rsidR="000C3879">
        <w:rPr>
          <w:szCs w:val="24"/>
          <w:lang w:val="en-US"/>
        </w:rPr>
        <w:t>“</w:t>
      </w:r>
      <w:r w:rsidRPr="006C5954">
        <w:rPr>
          <w:szCs w:val="24"/>
          <w:lang w:val="en-US" w:eastAsia="ja-JP"/>
        </w:rPr>
        <w:t>Real-time multimedia service testing framework at NGN UNI</w:t>
      </w:r>
      <w:r w:rsidR="000C3879">
        <w:rPr>
          <w:szCs w:val="24"/>
          <w:lang w:val="en-US" w:eastAsia="ja-JP"/>
        </w:rPr>
        <w:t>”</w:t>
      </w:r>
    </w:p>
    <w:p w:rsidR="00673D82" w:rsidRPr="00673D82" w:rsidRDefault="002E49EA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</w:rPr>
      </w:pPr>
      <w:proofErr w:type="spellStart"/>
      <w:r w:rsidRPr="00673D82">
        <w:rPr>
          <w:szCs w:val="22"/>
        </w:rPr>
        <w:t>Q.monitor_ss</w:t>
      </w:r>
      <w:proofErr w:type="spellEnd"/>
      <w:r w:rsidRPr="00673D82">
        <w:rPr>
          <w:szCs w:val="22"/>
        </w:rPr>
        <w:t xml:space="preserve"> (Q.3912) </w:t>
      </w:r>
      <w:r w:rsidR="000C3879">
        <w:rPr>
          <w:szCs w:val="22"/>
        </w:rPr>
        <w:t xml:space="preserve">– </w:t>
      </w:r>
      <w:r w:rsidRPr="00673D82">
        <w:rPr>
          <w:szCs w:val="22"/>
        </w:rPr>
        <w:t>"Monitoring parameters set for streaming services in NGN</w:t>
      </w:r>
      <w:r w:rsidR="000C3879">
        <w:rPr>
          <w:szCs w:val="22"/>
        </w:rPr>
        <w:t>”</w:t>
      </w:r>
    </w:p>
    <w:p w:rsidR="002E49EA" w:rsidRPr="00673D82" w:rsidRDefault="002E49EA" w:rsidP="00653D95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/>
        <w:ind w:left="1134" w:hanging="414"/>
        <w:textAlignment w:val="baseline"/>
        <w:rPr>
          <w:szCs w:val="22"/>
        </w:rPr>
      </w:pPr>
      <w:r w:rsidRPr="00673D82">
        <w:rPr>
          <w:szCs w:val="22"/>
        </w:rPr>
        <w:t>Q.3925</w:t>
      </w:r>
      <w:r w:rsidR="000C3879">
        <w:rPr>
          <w:szCs w:val="22"/>
        </w:rPr>
        <w:t xml:space="preserve"> – “</w:t>
      </w:r>
      <w:r w:rsidRPr="00673D82">
        <w:rPr>
          <w:szCs w:val="22"/>
        </w:rPr>
        <w:t xml:space="preserve">The types of traffic flows which should be generated for voice, data and video on the Model network for testing </w:t>
      </w:r>
      <w:proofErr w:type="spellStart"/>
      <w:r w:rsidRPr="00673D82">
        <w:rPr>
          <w:szCs w:val="22"/>
        </w:rPr>
        <w:t>QoS</w:t>
      </w:r>
      <w:proofErr w:type="spellEnd"/>
      <w:r w:rsidRPr="00673D82">
        <w:rPr>
          <w:szCs w:val="22"/>
        </w:rPr>
        <w:t xml:space="preserve"> parameters</w:t>
      </w:r>
      <w:r w:rsidR="000C3879">
        <w:rPr>
          <w:szCs w:val="22"/>
        </w:rPr>
        <w:t>”</w:t>
      </w:r>
    </w:p>
    <w:p w:rsidR="0096458A" w:rsidRDefault="000C3879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</w:pPr>
      <w:r>
        <w:t>Status on SG 11 restructuring discussions for WTSA-12</w:t>
      </w:r>
    </w:p>
    <w:p w:rsidR="0096458A" w:rsidRDefault="000C3879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1"/>
      </w:pPr>
      <w:r>
        <w:t>AOB</w:t>
      </w:r>
    </w:p>
    <w:p w:rsidR="00036A40" w:rsidRPr="00653D95" w:rsidRDefault="0096458A" w:rsidP="00653D95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right="92"/>
        <w:rPr>
          <w:lang w:val="fr-CH"/>
        </w:rPr>
      </w:pPr>
      <w:r>
        <w:t>Closure of the meeting</w:t>
      </w:r>
    </w:p>
    <w:p w:rsidR="00036A40" w:rsidRDefault="00036A40" w:rsidP="00653D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rPr>
          <w:lang w:val="fr-CH"/>
        </w:rPr>
        <w:sectPr w:rsidR="00036A40" w:rsidSect="00653D9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1077" w:right="1089" w:bottom="1077" w:left="1089" w:header="567" w:footer="567" w:gutter="0"/>
          <w:paperSrc w:first="15" w:other="15"/>
          <w:cols w:space="720"/>
          <w:titlePg/>
        </w:sectPr>
      </w:pPr>
    </w:p>
    <w:p w:rsidR="00036A40" w:rsidRPr="00D23C8D" w:rsidRDefault="00036A40" w:rsidP="00D23C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  <w:lang w:val="en-US"/>
        </w:rPr>
      </w:pPr>
      <w:bookmarkStart w:id="0" w:name="Duties"/>
      <w:bookmarkEnd w:id="0"/>
      <w:r w:rsidRPr="00D23C8D">
        <w:rPr>
          <w:sz w:val="26"/>
          <w:szCs w:val="26"/>
          <w:lang w:val="en-US"/>
        </w:rPr>
        <w:lastRenderedPageBreak/>
        <w:t xml:space="preserve">ANNEX </w:t>
      </w:r>
      <w:r w:rsidR="004D2D59" w:rsidRPr="00D23C8D">
        <w:rPr>
          <w:sz w:val="26"/>
          <w:szCs w:val="26"/>
          <w:lang w:val="en-US"/>
        </w:rPr>
        <w:t>2</w:t>
      </w:r>
      <w:r w:rsidRPr="00D23C8D">
        <w:rPr>
          <w:sz w:val="26"/>
          <w:szCs w:val="26"/>
          <w:lang w:val="en-US"/>
        </w:rPr>
        <w:br/>
      </w:r>
      <w:r w:rsidRPr="00D23C8D">
        <w:rPr>
          <w:sz w:val="22"/>
          <w:szCs w:val="22"/>
          <w:lang w:val="en-US"/>
        </w:rPr>
        <w:t>(to TSB Collective</w:t>
      </w:r>
      <w:r w:rsidR="008A6379" w:rsidRPr="00D23C8D">
        <w:rPr>
          <w:sz w:val="22"/>
          <w:szCs w:val="22"/>
          <w:lang w:val="en-US"/>
        </w:rPr>
        <w:t xml:space="preserve"> </w:t>
      </w:r>
      <w:r w:rsidRPr="00D23C8D">
        <w:rPr>
          <w:sz w:val="22"/>
          <w:szCs w:val="22"/>
          <w:lang w:val="en-US"/>
        </w:rPr>
        <w:t xml:space="preserve">letter </w:t>
      </w:r>
      <w:r w:rsidR="00477FD5" w:rsidRPr="00D23C8D">
        <w:rPr>
          <w:sz w:val="22"/>
          <w:szCs w:val="22"/>
        </w:rPr>
        <w:t>10</w:t>
      </w:r>
      <w:r w:rsidR="00C21C82" w:rsidRPr="00D23C8D">
        <w:rPr>
          <w:sz w:val="22"/>
          <w:szCs w:val="22"/>
        </w:rPr>
        <w:t>/</w:t>
      </w:r>
      <w:r w:rsidR="0096458A" w:rsidRPr="00D23C8D">
        <w:rPr>
          <w:sz w:val="22"/>
          <w:szCs w:val="22"/>
          <w:lang w:val="en-US"/>
        </w:rPr>
        <w:t>11</w:t>
      </w:r>
      <w:r w:rsidRPr="00D23C8D">
        <w:rPr>
          <w:sz w:val="22"/>
          <w:szCs w:val="22"/>
          <w:lang w:val="en-US"/>
        </w:rPr>
        <w:t>)</w:t>
      </w:r>
    </w:p>
    <w:p w:rsidR="00403633" w:rsidRDefault="00403633" w:rsidP="0040363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4D2D59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403633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633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03633" w:rsidRPr="001F5A0A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03633" w:rsidRPr="00C67AB9" w:rsidRDefault="00403633" w:rsidP="0057662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03633" w:rsidRPr="00C67AB9" w:rsidRDefault="00403633" w:rsidP="0040363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403633">
        <w:trPr>
          <w:cantSplit/>
          <w:jc w:val="center"/>
        </w:trPr>
        <w:tc>
          <w:tcPr>
            <w:tcW w:w="1291" w:type="dxa"/>
          </w:tcPr>
          <w:p w:rsidR="00403633" w:rsidRDefault="00C73654" w:rsidP="0057662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1190" cy="664210"/>
                  <wp:effectExtent l="0" t="0" r="0" b="254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03633" w:rsidRPr="001F5A0A" w:rsidRDefault="00403633" w:rsidP="0057662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03633" w:rsidRDefault="00C73654" w:rsidP="0057662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1190" cy="6642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33" w:rsidRDefault="00403633" w:rsidP="0040363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03633" w:rsidRPr="00403633" w:rsidRDefault="00403633" w:rsidP="0040363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03633" w:rsidRPr="00E20C97" w:rsidRDefault="00077AA6" w:rsidP="00DF048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SG/WP meeting </w:t>
      </w:r>
      <w:r w:rsidR="00403633">
        <w:rPr>
          <w:i/>
          <w:sz w:val="20"/>
        </w:rPr>
        <w:t xml:space="preserve">-------------------------------------   from    </w:t>
      </w:r>
      <w:proofErr w:type="gramStart"/>
      <w:r w:rsidR="00403633">
        <w:rPr>
          <w:i/>
          <w:sz w:val="20"/>
        </w:rPr>
        <w:t>-------------------------  to</w:t>
      </w:r>
      <w:proofErr w:type="gramEnd"/>
      <w:r w:rsidR="00403633">
        <w:rPr>
          <w:i/>
          <w:sz w:val="20"/>
        </w:rPr>
        <w:t xml:space="preserve"> ----------------</w:t>
      </w:r>
      <w:r w:rsidR="00DF0484">
        <w:rPr>
          <w:i/>
          <w:sz w:val="20"/>
        </w:rPr>
        <w:t xml:space="preserve"> </w:t>
      </w:r>
      <w:bookmarkStart w:id="1" w:name="_GoBack"/>
      <w:bookmarkEnd w:id="1"/>
      <w:r w:rsidR="00403633">
        <w:rPr>
          <w:i/>
          <w:sz w:val="20"/>
        </w:rPr>
        <w:t>------ in Geneva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Confirmation of the reservation made on </w:t>
      </w:r>
      <w:r w:rsidR="00E63485">
        <w:rPr>
          <w:i/>
          <w:sz w:val="20"/>
        </w:rPr>
        <w:t>(date) -------------------------</w:t>
      </w:r>
      <w:r>
        <w:rPr>
          <w:i/>
          <w:sz w:val="20"/>
        </w:rPr>
        <w:t xml:space="preserve">   </w:t>
      </w:r>
      <w:r w:rsidR="00381130">
        <w:rPr>
          <w:i/>
          <w:sz w:val="20"/>
        </w:rPr>
        <w:t xml:space="preserve">with </w:t>
      </w:r>
      <w:r w:rsidR="00E63485">
        <w:rPr>
          <w:i/>
          <w:sz w:val="20"/>
        </w:rPr>
        <w:t>(</w:t>
      </w:r>
      <w:r>
        <w:rPr>
          <w:i/>
          <w:sz w:val="20"/>
        </w:rPr>
        <w:t>hotel</w:t>
      </w:r>
      <w:r w:rsidR="00E63485">
        <w:rPr>
          <w:i/>
          <w:sz w:val="20"/>
        </w:rPr>
        <w:t>)</w:t>
      </w:r>
      <w:r>
        <w:rPr>
          <w:i/>
          <w:sz w:val="20"/>
        </w:rPr>
        <w:t xml:space="preserve">   -------------------------------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381130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63485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</w:t>
      </w:r>
      <w:r w:rsidR="00381130">
        <w:rPr>
          <w:i/>
          <w:sz w:val="20"/>
        </w:rPr>
        <w:t>(s</w:t>
      </w:r>
      <w:r w:rsidR="00E63485">
        <w:rPr>
          <w:i/>
          <w:sz w:val="20"/>
        </w:rPr>
        <w:t>)</w:t>
      </w:r>
    </w:p>
    <w:p w:rsidR="00E63485" w:rsidRDefault="00E63485" w:rsidP="00D23C8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03633" w:rsidRDefault="00381130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arriving on </w:t>
      </w:r>
      <w:r w:rsidR="00403633">
        <w:rPr>
          <w:i/>
          <w:sz w:val="20"/>
        </w:rPr>
        <w:t>(da</w:t>
      </w:r>
      <w:r>
        <w:rPr>
          <w:i/>
          <w:sz w:val="20"/>
        </w:rPr>
        <w:t>te</w:t>
      </w:r>
      <w:r w:rsidR="00403633">
        <w:rPr>
          <w:i/>
          <w:sz w:val="20"/>
        </w:rPr>
        <w:t>) ---------------</w:t>
      </w:r>
      <w:r w:rsidR="00E63485">
        <w:rPr>
          <w:i/>
          <w:sz w:val="20"/>
        </w:rPr>
        <w:t>------------</w:t>
      </w:r>
      <w:r w:rsidR="00403633">
        <w:rPr>
          <w:i/>
          <w:sz w:val="20"/>
        </w:rPr>
        <w:t xml:space="preserve">  </w:t>
      </w:r>
      <w:r>
        <w:rPr>
          <w:i/>
          <w:sz w:val="20"/>
        </w:rPr>
        <w:t>at (time)</w:t>
      </w:r>
      <w:r w:rsidR="00403633">
        <w:rPr>
          <w:i/>
          <w:sz w:val="20"/>
        </w:rPr>
        <w:t xml:space="preserve">  -------------  </w:t>
      </w:r>
      <w:r>
        <w:rPr>
          <w:i/>
          <w:sz w:val="20"/>
        </w:rPr>
        <w:t xml:space="preserve">departing on </w:t>
      </w:r>
      <w:r w:rsidR="00403633">
        <w:rPr>
          <w:i/>
          <w:sz w:val="20"/>
        </w:rPr>
        <w:t>(da</w:t>
      </w:r>
      <w:r w:rsidR="00DF3BEF">
        <w:rPr>
          <w:i/>
          <w:sz w:val="20"/>
        </w:rPr>
        <w:t>te</w:t>
      </w:r>
      <w:r w:rsidR="00403633">
        <w:rPr>
          <w:i/>
          <w:sz w:val="20"/>
        </w:rPr>
        <w:t>) ----------------</w:t>
      </w:r>
      <w:r w:rsidR="00E63485">
        <w:rPr>
          <w:i/>
          <w:sz w:val="20"/>
        </w:rPr>
        <w:t>---------------</w:t>
      </w: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8B1814" w:rsidRDefault="00542259" w:rsidP="00D23C8D">
      <w:pPr>
        <w:tabs>
          <w:tab w:val="left" w:pos="1440"/>
        </w:tabs>
        <w:spacing w:before="0"/>
        <w:ind w:left="284" w:right="516"/>
        <w:rPr>
          <w:sz w:val="20"/>
        </w:rPr>
      </w:pPr>
    </w:p>
    <w:p w:rsidR="00542259" w:rsidRPr="00542259" w:rsidRDefault="00542259" w:rsidP="00D23C8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DF3BEF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403633" w:rsidRPr="00C67AB9">
        <w:rPr>
          <w:i/>
          <w:sz w:val="20"/>
          <w:lang w:val="en-US"/>
        </w:rPr>
        <w:t>ame</w:t>
      </w:r>
      <w:r w:rsidR="000646AE">
        <w:rPr>
          <w:sz w:val="20"/>
          <w:lang w:val="en-US"/>
        </w:rPr>
        <w:t xml:space="preserve">    ----------</w:t>
      </w:r>
      <w:r w:rsidR="00403633" w:rsidRPr="00C67AB9">
        <w:rPr>
          <w:sz w:val="20"/>
          <w:lang w:val="en-US"/>
        </w:rPr>
        <w:t>-------------------------------------------</w:t>
      </w:r>
      <w:r w:rsidR="00403633">
        <w:rPr>
          <w:sz w:val="20"/>
          <w:lang w:val="en-US"/>
        </w:rPr>
        <w:t>-----------------------------------</w:t>
      </w:r>
      <w:r w:rsidR="00E63485">
        <w:rPr>
          <w:sz w:val="20"/>
          <w:lang w:val="en-US"/>
        </w:rPr>
        <w:t>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8B1814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         Fax: -------------------------------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403633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 w:rsidR="00DF3BEF">
        <w:rPr>
          <w:i/>
          <w:sz w:val="20"/>
          <w:lang w:val="en-US"/>
        </w:rPr>
        <w:t xml:space="preserve"> until</w:t>
      </w:r>
      <w:r w:rsidR="000646AE"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28019C">
        <w:rPr>
          <w:sz w:val="20"/>
          <w:lang w:val="en-US"/>
        </w:rPr>
        <w:t>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86E0F" w:rsidRPr="002855D3" w:rsidRDefault="00403633" w:rsidP="00D23C8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D23C8D" w:rsidRPr="00D23C8D" w:rsidRDefault="00D23C8D" w:rsidP="00D23C8D">
      <w:pPr>
        <w:spacing w:before="480"/>
        <w:jc w:val="center"/>
        <w:rPr>
          <w:lang w:val="ru-RU"/>
        </w:rPr>
      </w:pPr>
      <w:r>
        <w:t>______________</w:t>
      </w:r>
    </w:p>
    <w:sectPr w:rsidR="00D23C8D" w:rsidRPr="00D23C8D" w:rsidSect="00D23C8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oddPage"/>
      <w:pgSz w:w="11907" w:h="16840" w:code="9"/>
      <w:pgMar w:top="567" w:right="1134" w:bottom="567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CF" w:rsidRDefault="00AA04CF">
      <w:r>
        <w:separator/>
      </w:r>
    </w:p>
  </w:endnote>
  <w:endnote w:type="continuationSeparator" w:id="0">
    <w:p w:rsidR="00AA04CF" w:rsidRDefault="00AA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99" w:rsidRDefault="00D23D99" w:rsidP="00D23D99">
    <w:pPr>
      <w:pStyle w:val="Footer"/>
      <w:rPr>
        <w:szCs w:val="16"/>
        <w:lang w:val="fr-CH"/>
      </w:rPr>
    </w:pPr>
    <w:r>
      <w:rPr>
        <w:szCs w:val="16"/>
        <w:lang w:val="fr-CH"/>
      </w:rPr>
      <w:t>ITU-T\COM-T\COM11\COLL\010R.DOC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99" w:rsidRDefault="00D23D99" w:rsidP="00D23D99">
    <w:pPr>
      <w:pStyle w:val="Footer"/>
      <w:rPr>
        <w:szCs w:val="16"/>
        <w:lang w:val="fr-CH"/>
      </w:rPr>
    </w:pPr>
    <w:r>
      <w:rPr>
        <w:szCs w:val="16"/>
        <w:lang w:val="fr-CH"/>
      </w:rPr>
      <w:t>ITU-T\COM-T\COM11\COLL\010R.DOC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D23C8D" w:rsidRPr="00EF273F" w:rsidTr="0097759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D23C8D" w:rsidRPr="00EF273F" w:rsidTr="00977592">
      <w:trPr>
        <w:cantSplit/>
      </w:trPr>
      <w:tc>
        <w:tcPr>
          <w:tcW w:w="1062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D23C8D" w:rsidRPr="00EF273F" w:rsidTr="00977592">
      <w:trPr>
        <w:cantSplit/>
      </w:trPr>
      <w:tc>
        <w:tcPr>
          <w:tcW w:w="1062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23C8D" w:rsidRPr="00EF273F" w:rsidRDefault="00D23C8D" w:rsidP="0097759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23C8D" w:rsidRPr="00D23C8D" w:rsidRDefault="00D23C8D" w:rsidP="00D23C8D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Default="00653D9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99" w:rsidRDefault="00D23D99" w:rsidP="00D23D99">
    <w:pPr>
      <w:pStyle w:val="Footer"/>
      <w:rPr>
        <w:szCs w:val="16"/>
        <w:lang w:val="fr-CH"/>
      </w:rPr>
    </w:pPr>
    <w:r>
      <w:rPr>
        <w:szCs w:val="16"/>
        <w:lang w:val="fr-CH"/>
      </w:rPr>
      <w:t>ITU-T\COM-T\COM11\COLL\010R.DOC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653D95" w:rsidRPr="00E34660" w:rsidTr="00867E6F">
      <w:trPr>
        <w:cantSplit/>
      </w:trPr>
      <w:tc>
        <w:tcPr>
          <w:tcW w:w="1062" w:type="pct"/>
          <w:tcBorders>
            <w:top w:val="single" w:sz="4" w:space="0" w:color="auto"/>
          </w:tcBorders>
          <w:tcMar>
            <w:top w:w="57" w:type="dxa"/>
          </w:tcMar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>Place des Nations</w:t>
          </w:r>
        </w:p>
      </w:tc>
      <w:tc>
        <w:tcPr>
          <w:tcW w:w="1584" w:type="pct"/>
          <w:tcBorders>
            <w:top w:val="single" w:sz="4" w:space="0" w:color="auto"/>
          </w:tcBorders>
          <w:tcMar>
            <w:top w:w="57" w:type="dxa"/>
          </w:tcMar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 xml:space="preserve">Telephone </w:t>
          </w:r>
          <w:r w:rsidRPr="00E34660">
            <w:rPr>
              <w:rFonts w:asciiTheme="majorBidi" w:hAnsiTheme="majorBidi" w:cstheme="majorBidi"/>
            </w:rPr>
            <w:tab/>
            <w:t>+41 22 730 51 11</w:t>
          </w:r>
        </w:p>
      </w:tc>
      <w:tc>
        <w:tcPr>
          <w:tcW w:w="1223" w:type="pct"/>
          <w:tcBorders>
            <w:top w:val="single" w:sz="4" w:space="0" w:color="auto"/>
          </w:tcBorders>
          <w:tcMar>
            <w:top w:w="57" w:type="dxa"/>
          </w:tcMar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 xml:space="preserve">Telex 421 000 </w:t>
          </w:r>
          <w:proofErr w:type="spellStart"/>
          <w:r w:rsidRPr="00E34660">
            <w:rPr>
              <w:rFonts w:asciiTheme="majorBidi" w:hAnsiTheme="majorBidi" w:cstheme="majorBidi"/>
            </w:rPr>
            <w:t>uit</w:t>
          </w:r>
          <w:proofErr w:type="spellEnd"/>
          <w:r w:rsidRPr="00E34660">
            <w:rPr>
              <w:rFonts w:asciiTheme="majorBidi" w:hAnsiTheme="majorBidi" w:cstheme="majorBidi"/>
            </w:rPr>
            <w:t xml:space="preserve"> </w:t>
          </w:r>
          <w:proofErr w:type="spellStart"/>
          <w:r w:rsidRPr="00E34660">
            <w:rPr>
              <w:rFonts w:asciiTheme="majorBidi" w:hAnsiTheme="majorBidi" w:cstheme="majorBidi"/>
            </w:rPr>
            <w:t>ch</w:t>
          </w:r>
          <w:proofErr w:type="spellEnd"/>
        </w:p>
      </w:tc>
      <w:tc>
        <w:tcPr>
          <w:tcW w:w="1131" w:type="pct"/>
          <w:tcBorders>
            <w:top w:val="single" w:sz="4" w:space="0" w:color="auto"/>
          </w:tcBorders>
          <w:tcMar>
            <w:top w:w="57" w:type="dxa"/>
          </w:tcMar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>E-mail:</w:t>
          </w:r>
          <w:r w:rsidRPr="00E34660">
            <w:rPr>
              <w:rFonts w:asciiTheme="majorBidi" w:hAnsiTheme="majorBidi" w:cstheme="majorBidi"/>
            </w:rPr>
            <w:tab/>
          </w:r>
          <w:hyperlink r:id="rId1" w:history="1">
            <w:r w:rsidRPr="00E34660">
              <w:rPr>
                <w:rStyle w:val="Hyperlink"/>
                <w:rFonts w:asciiTheme="majorBidi" w:hAnsiTheme="majorBidi" w:cstheme="majorBidi"/>
              </w:rPr>
              <w:t>itumail@itu.int</w:t>
            </w:r>
          </w:hyperlink>
        </w:p>
      </w:tc>
    </w:tr>
    <w:tr w:rsidR="00653D95" w:rsidRPr="00E34660" w:rsidTr="00714AE0">
      <w:trPr>
        <w:cantSplit/>
      </w:trPr>
      <w:tc>
        <w:tcPr>
          <w:tcW w:w="1062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>CH-1211 Genève 20</w:t>
          </w:r>
        </w:p>
      </w:tc>
      <w:tc>
        <w:tcPr>
          <w:tcW w:w="1584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>Telefax</w:t>
          </w:r>
          <w:r w:rsidRPr="00E34660">
            <w:rPr>
              <w:rFonts w:asciiTheme="majorBidi" w:hAnsiTheme="majorBidi" w:cstheme="majorBidi"/>
            </w:rPr>
            <w:tab/>
            <w:t>Gr3:</w:t>
          </w:r>
          <w:r w:rsidRPr="00E34660">
            <w:rPr>
              <w:rFonts w:asciiTheme="majorBidi" w:hAnsiTheme="majorBidi" w:cstheme="majorBidi"/>
            </w:rPr>
            <w:tab/>
            <w:t>+41 22 733 72 56</w:t>
          </w:r>
        </w:p>
      </w:tc>
      <w:tc>
        <w:tcPr>
          <w:tcW w:w="1223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>Telegram ITU GENEVE</w:t>
          </w:r>
        </w:p>
      </w:tc>
      <w:tc>
        <w:tcPr>
          <w:tcW w:w="1131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ab/>
          </w:r>
          <w:hyperlink r:id="rId2" w:history="1">
            <w:r w:rsidRPr="00E34660">
              <w:rPr>
                <w:rStyle w:val="Hyperlink"/>
                <w:rFonts w:asciiTheme="majorBidi" w:hAnsiTheme="majorBidi" w:cstheme="majorBidi"/>
              </w:rPr>
              <w:t>www.itu.int</w:t>
            </w:r>
          </w:hyperlink>
        </w:p>
      </w:tc>
    </w:tr>
    <w:tr w:rsidR="00653D95" w:rsidRPr="00E34660" w:rsidTr="00714AE0">
      <w:trPr>
        <w:cantSplit/>
      </w:trPr>
      <w:tc>
        <w:tcPr>
          <w:tcW w:w="1062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>Switzerland</w:t>
          </w:r>
        </w:p>
      </w:tc>
      <w:tc>
        <w:tcPr>
          <w:tcW w:w="1584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  <w:r w:rsidRPr="00E34660">
            <w:rPr>
              <w:rFonts w:asciiTheme="majorBidi" w:hAnsiTheme="majorBidi" w:cstheme="majorBidi"/>
            </w:rPr>
            <w:tab/>
            <w:t>Gr4:</w:t>
          </w:r>
          <w:r w:rsidRPr="00E34660">
            <w:rPr>
              <w:rFonts w:asciiTheme="majorBidi" w:hAnsiTheme="majorBidi" w:cstheme="majorBidi"/>
            </w:rPr>
            <w:tab/>
            <w:t>+41 22 730 65 00</w:t>
          </w:r>
        </w:p>
      </w:tc>
      <w:tc>
        <w:tcPr>
          <w:tcW w:w="1223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</w:p>
      </w:tc>
      <w:tc>
        <w:tcPr>
          <w:tcW w:w="1131" w:type="pct"/>
        </w:tcPr>
        <w:p w:rsidR="00653D95" w:rsidRPr="00E34660" w:rsidRDefault="00653D95" w:rsidP="00714AE0">
          <w:pPr>
            <w:pStyle w:val="itu"/>
            <w:rPr>
              <w:rFonts w:asciiTheme="majorBidi" w:hAnsiTheme="majorBidi" w:cstheme="majorBidi"/>
            </w:rPr>
          </w:pPr>
        </w:p>
      </w:tc>
    </w:tr>
  </w:tbl>
  <w:p w:rsidR="00653D95" w:rsidRPr="00910790" w:rsidRDefault="00653D9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CF" w:rsidRDefault="00AA04CF">
      <w:r>
        <w:t>____________________</w:t>
      </w:r>
    </w:p>
  </w:footnote>
  <w:footnote w:type="continuationSeparator" w:id="0">
    <w:p w:rsidR="00AA04CF" w:rsidRDefault="00AA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Default="00653D9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F0484">
      <w:rPr>
        <w:noProof/>
      </w:rPr>
      <w:t>4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Default="00653D95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48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99" w:rsidRDefault="00D23D9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Default="00653D9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Pr="00D23C8D" w:rsidRDefault="00653D95" w:rsidP="00D23C8D">
    <w:pPr>
      <w:pStyle w:val="Header"/>
      <w:spacing w:after="360"/>
      <w:rPr>
        <w:lang w:val="ru-RU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48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Default="00653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71761"/>
    <w:multiLevelType w:val="hybridMultilevel"/>
    <w:tmpl w:val="178EEB4E"/>
    <w:lvl w:ilvl="0" w:tplc="8D08D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31B28"/>
    <w:multiLevelType w:val="hybridMultilevel"/>
    <w:tmpl w:val="F5CC26B6"/>
    <w:lvl w:ilvl="0" w:tplc="FFFFFFFF">
      <w:numFmt w:val="bullet"/>
      <w:lvlText w:val="–"/>
      <w:lvlJc w:val="left"/>
      <w:pPr>
        <w:ind w:left="1651" w:hanging="4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B071B"/>
    <w:multiLevelType w:val="hybridMultilevel"/>
    <w:tmpl w:val="1E9A7F74"/>
    <w:lvl w:ilvl="0" w:tplc="0B007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0824"/>
    <w:multiLevelType w:val="hybridMultilevel"/>
    <w:tmpl w:val="AD0422DA"/>
    <w:lvl w:ilvl="0" w:tplc="79A07D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E0627F"/>
    <w:multiLevelType w:val="hybridMultilevel"/>
    <w:tmpl w:val="BEC41B5A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CABD8">
      <w:start w:val="6"/>
      <w:numFmt w:val="bullet"/>
      <w:lvlText w:val="–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A2269"/>
    <w:multiLevelType w:val="hybridMultilevel"/>
    <w:tmpl w:val="B2A4EF2E"/>
    <w:lvl w:ilvl="0" w:tplc="1918FB0A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6D675799"/>
    <w:multiLevelType w:val="hybridMultilevel"/>
    <w:tmpl w:val="80FEF066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30B261B8">
      <w:numFmt w:val="bullet"/>
      <w:lvlText w:val="-"/>
      <w:lvlJc w:val="left"/>
      <w:pPr>
        <w:ind w:left="1804" w:hanging="564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2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20DA9"/>
    <w:multiLevelType w:val="hybridMultilevel"/>
    <w:tmpl w:val="69729FDC"/>
    <w:lvl w:ilvl="0" w:tplc="139CABD8">
      <w:start w:val="6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04B44"/>
    <w:rsid w:val="0000758E"/>
    <w:rsid w:val="00020551"/>
    <w:rsid w:val="00027CA2"/>
    <w:rsid w:val="00034C8C"/>
    <w:rsid w:val="00036A40"/>
    <w:rsid w:val="00040918"/>
    <w:rsid w:val="0005103B"/>
    <w:rsid w:val="000545BD"/>
    <w:rsid w:val="00062F16"/>
    <w:rsid w:val="00063772"/>
    <w:rsid w:val="0006398F"/>
    <w:rsid w:val="000646A6"/>
    <w:rsid w:val="000646AE"/>
    <w:rsid w:val="00064F18"/>
    <w:rsid w:val="00064FDA"/>
    <w:rsid w:val="00067BFD"/>
    <w:rsid w:val="00072EB7"/>
    <w:rsid w:val="00074BCD"/>
    <w:rsid w:val="00074CEB"/>
    <w:rsid w:val="00077AA6"/>
    <w:rsid w:val="00080780"/>
    <w:rsid w:val="00080785"/>
    <w:rsid w:val="000814FB"/>
    <w:rsid w:val="000827E1"/>
    <w:rsid w:val="00082F74"/>
    <w:rsid w:val="00083CE9"/>
    <w:rsid w:val="00085A48"/>
    <w:rsid w:val="000877D6"/>
    <w:rsid w:val="0009512F"/>
    <w:rsid w:val="000A3C8D"/>
    <w:rsid w:val="000B0446"/>
    <w:rsid w:val="000B7278"/>
    <w:rsid w:val="000C3879"/>
    <w:rsid w:val="000D3DAE"/>
    <w:rsid w:val="000E6752"/>
    <w:rsid w:val="000E6B18"/>
    <w:rsid w:val="000F1105"/>
    <w:rsid w:val="000F2AD5"/>
    <w:rsid w:val="000F3103"/>
    <w:rsid w:val="000F5F65"/>
    <w:rsid w:val="001052BD"/>
    <w:rsid w:val="001262A5"/>
    <w:rsid w:val="00126384"/>
    <w:rsid w:val="001322EE"/>
    <w:rsid w:val="001358B5"/>
    <w:rsid w:val="00140D55"/>
    <w:rsid w:val="00157DEF"/>
    <w:rsid w:val="0016153A"/>
    <w:rsid w:val="00164614"/>
    <w:rsid w:val="0016582D"/>
    <w:rsid w:val="00167799"/>
    <w:rsid w:val="001771B8"/>
    <w:rsid w:val="001844DC"/>
    <w:rsid w:val="001851A7"/>
    <w:rsid w:val="00195E4F"/>
    <w:rsid w:val="001A1B60"/>
    <w:rsid w:val="001B2C32"/>
    <w:rsid w:val="001B4832"/>
    <w:rsid w:val="001B5570"/>
    <w:rsid w:val="001B7D39"/>
    <w:rsid w:val="001C77B0"/>
    <w:rsid w:val="001C7B93"/>
    <w:rsid w:val="001D5C4D"/>
    <w:rsid w:val="001E0E1E"/>
    <w:rsid w:val="001E6AF2"/>
    <w:rsid w:val="001E7837"/>
    <w:rsid w:val="001F0350"/>
    <w:rsid w:val="001F48C4"/>
    <w:rsid w:val="001F754E"/>
    <w:rsid w:val="001F7BB9"/>
    <w:rsid w:val="00200C6A"/>
    <w:rsid w:val="00205324"/>
    <w:rsid w:val="00205B03"/>
    <w:rsid w:val="00206009"/>
    <w:rsid w:val="0021396F"/>
    <w:rsid w:val="00222608"/>
    <w:rsid w:val="002277E9"/>
    <w:rsid w:val="00234FB5"/>
    <w:rsid w:val="002357E0"/>
    <w:rsid w:val="00235EF3"/>
    <w:rsid w:val="00256028"/>
    <w:rsid w:val="00256682"/>
    <w:rsid w:val="0028019C"/>
    <w:rsid w:val="00280E54"/>
    <w:rsid w:val="00282EE1"/>
    <w:rsid w:val="002855D3"/>
    <w:rsid w:val="0029340B"/>
    <w:rsid w:val="0029783F"/>
    <w:rsid w:val="002A1B14"/>
    <w:rsid w:val="002A3B14"/>
    <w:rsid w:val="002A3CBF"/>
    <w:rsid w:val="002A4DCE"/>
    <w:rsid w:val="002A715E"/>
    <w:rsid w:val="002A7DD3"/>
    <w:rsid w:val="002B17FA"/>
    <w:rsid w:val="002B2BC2"/>
    <w:rsid w:val="002C1F30"/>
    <w:rsid w:val="002C30AA"/>
    <w:rsid w:val="002C45FC"/>
    <w:rsid w:val="002C6469"/>
    <w:rsid w:val="002C7498"/>
    <w:rsid w:val="002C75C2"/>
    <w:rsid w:val="002D12D6"/>
    <w:rsid w:val="002D5664"/>
    <w:rsid w:val="002E3020"/>
    <w:rsid w:val="002E3CC0"/>
    <w:rsid w:val="002E49EA"/>
    <w:rsid w:val="002F490B"/>
    <w:rsid w:val="002F4CFF"/>
    <w:rsid w:val="00301A6E"/>
    <w:rsid w:val="003044B7"/>
    <w:rsid w:val="00316F6C"/>
    <w:rsid w:val="0032158F"/>
    <w:rsid w:val="003278F5"/>
    <w:rsid w:val="0033240B"/>
    <w:rsid w:val="00333903"/>
    <w:rsid w:val="003358C5"/>
    <w:rsid w:val="00342317"/>
    <w:rsid w:val="00347205"/>
    <w:rsid w:val="00351AF1"/>
    <w:rsid w:val="00352636"/>
    <w:rsid w:val="00352942"/>
    <w:rsid w:val="00352E56"/>
    <w:rsid w:val="00352EFA"/>
    <w:rsid w:val="003635BA"/>
    <w:rsid w:val="0036491C"/>
    <w:rsid w:val="00365821"/>
    <w:rsid w:val="00367BAF"/>
    <w:rsid w:val="00381130"/>
    <w:rsid w:val="00381C2A"/>
    <w:rsid w:val="003836B0"/>
    <w:rsid w:val="00385BF5"/>
    <w:rsid w:val="00391B68"/>
    <w:rsid w:val="00392A51"/>
    <w:rsid w:val="00395E4C"/>
    <w:rsid w:val="003A4544"/>
    <w:rsid w:val="003B03C5"/>
    <w:rsid w:val="003B7123"/>
    <w:rsid w:val="003C393F"/>
    <w:rsid w:val="003D7314"/>
    <w:rsid w:val="003E07C9"/>
    <w:rsid w:val="003E585D"/>
    <w:rsid w:val="003F185E"/>
    <w:rsid w:val="003F56F4"/>
    <w:rsid w:val="004003CB"/>
    <w:rsid w:val="00403353"/>
    <w:rsid w:val="00403633"/>
    <w:rsid w:val="00404D9A"/>
    <w:rsid w:val="004148CF"/>
    <w:rsid w:val="004215DD"/>
    <w:rsid w:val="00424175"/>
    <w:rsid w:val="00425BAA"/>
    <w:rsid w:val="004274E1"/>
    <w:rsid w:val="00427D06"/>
    <w:rsid w:val="004339BA"/>
    <w:rsid w:val="00441210"/>
    <w:rsid w:val="0044318A"/>
    <w:rsid w:val="00445A35"/>
    <w:rsid w:val="00455BA8"/>
    <w:rsid w:val="00456A44"/>
    <w:rsid w:val="00464FB6"/>
    <w:rsid w:val="0046635E"/>
    <w:rsid w:val="0047256D"/>
    <w:rsid w:val="00475951"/>
    <w:rsid w:val="00477FD5"/>
    <w:rsid w:val="0048073E"/>
    <w:rsid w:val="00491683"/>
    <w:rsid w:val="00494ECF"/>
    <w:rsid w:val="004962EC"/>
    <w:rsid w:val="00497ADA"/>
    <w:rsid w:val="004A22E8"/>
    <w:rsid w:val="004A4C2E"/>
    <w:rsid w:val="004A5B74"/>
    <w:rsid w:val="004A7A83"/>
    <w:rsid w:val="004B1BD1"/>
    <w:rsid w:val="004B7579"/>
    <w:rsid w:val="004C04D3"/>
    <w:rsid w:val="004C1D6D"/>
    <w:rsid w:val="004C346C"/>
    <w:rsid w:val="004D20A3"/>
    <w:rsid w:val="004D21A7"/>
    <w:rsid w:val="004D2D59"/>
    <w:rsid w:val="004E2B2D"/>
    <w:rsid w:val="004E2E9A"/>
    <w:rsid w:val="004E58A7"/>
    <w:rsid w:val="004E6105"/>
    <w:rsid w:val="004E7715"/>
    <w:rsid w:val="004F5813"/>
    <w:rsid w:val="005011EB"/>
    <w:rsid w:val="0050779B"/>
    <w:rsid w:val="0051212D"/>
    <w:rsid w:val="00512AD9"/>
    <w:rsid w:val="00513E83"/>
    <w:rsid w:val="00517DE4"/>
    <w:rsid w:val="00524367"/>
    <w:rsid w:val="005243DB"/>
    <w:rsid w:val="00527A48"/>
    <w:rsid w:val="00532F92"/>
    <w:rsid w:val="0053490B"/>
    <w:rsid w:val="00542259"/>
    <w:rsid w:val="005454AD"/>
    <w:rsid w:val="005522D4"/>
    <w:rsid w:val="00562D79"/>
    <w:rsid w:val="00563A5F"/>
    <w:rsid w:val="00564AA5"/>
    <w:rsid w:val="00566D5D"/>
    <w:rsid w:val="00571330"/>
    <w:rsid w:val="00576622"/>
    <w:rsid w:val="00584424"/>
    <w:rsid w:val="00586348"/>
    <w:rsid w:val="005962E7"/>
    <w:rsid w:val="00597751"/>
    <w:rsid w:val="005A3E6F"/>
    <w:rsid w:val="005A5AC8"/>
    <w:rsid w:val="005C1895"/>
    <w:rsid w:val="005C2CCA"/>
    <w:rsid w:val="005C3F7B"/>
    <w:rsid w:val="005C472B"/>
    <w:rsid w:val="005C6A89"/>
    <w:rsid w:val="005C7FBA"/>
    <w:rsid w:val="005D3A31"/>
    <w:rsid w:val="005E07C5"/>
    <w:rsid w:val="005E16E5"/>
    <w:rsid w:val="005E5875"/>
    <w:rsid w:val="005F161F"/>
    <w:rsid w:val="005F1CF2"/>
    <w:rsid w:val="005F2DBB"/>
    <w:rsid w:val="0060058D"/>
    <w:rsid w:val="00604637"/>
    <w:rsid w:val="006154F5"/>
    <w:rsid w:val="00625D2B"/>
    <w:rsid w:val="00626E03"/>
    <w:rsid w:val="006328C0"/>
    <w:rsid w:val="0063475D"/>
    <w:rsid w:val="00644079"/>
    <w:rsid w:val="00646DC2"/>
    <w:rsid w:val="00653D95"/>
    <w:rsid w:val="00661EE9"/>
    <w:rsid w:val="006665F0"/>
    <w:rsid w:val="00667960"/>
    <w:rsid w:val="006703AE"/>
    <w:rsid w:val="00673D82"/>
    <w:rsid w:val="0067728F"/>
    <w:rsid w:val="00682D9A"/>
    <w:rsid w:val="00686E0F"/>
    <w:rsid w:val="00686E25"/>
    <w:rsid w:val="00690AA9"/>
    <w:rsid w:val="006927DC"/>
    <w:rsid w:val="006A6CF7"/>
    <w:rsid w:val="006B2798"/>
    <w:rsid w:val="006B51CF"/>
    <w:rsid w:val="006C48D6"/>
    <w:rsid w:val="006F5F6B"/>
    <w:rsid w:val="006F682B"/>
    <w:rsid w:val="00702221"/>
    <w:rsid w:val="00711906"/>
    <w:rsid w:val="00714AE0"/>
    <w:rsid w:val="0071504E"/>
    <w:rsid w:val="0071542F"/>
    <w:rsid w:val="00722B67"/>
    <w:rsid w:val="00723AE9"/>
    <w:rsid w:val="00724E79"/>
    <w:rsid w:val="007255DA"/>
    <w:rsid w:val="007277EF"/>
    <w:rsid w:val="00727F10"/>
    <w:rsid w:val="007348F9"/>
    <w:rsid w:val="007358EB"/>
    <w:rsid w:val="00741886"/>
    <w:rsid w:val="007421C4"/>
    <w:rsid w:val="00743F13"/>
    <w:rsid w:val="00745B31"/>
    <w:rsid w:val="007510BB"/>
    <w:rsid w:val="0075428B"/>
    <w:rsid w:val="00755F53"/>
    <w:rsid w:val="00762160"/>
    <w:rsid w:val="007624DE"/>
    <w:rsid w:val="00764C51"/>
    <w:rsid w:val="00766FE1"/>
    <w:rsid w:val="007726C0"/>
    <w:rsid w:val="00777C6C"/>
    <w:rsid w:val="0078763B"/>
    <w:rsid w:val="007948CB"/>
    <w:rsid w:val="007A0102"/>
    <w:rsid w:val="007A0791"/>
    <w:rsid w:val="007B5B29"/>
    <w:rsid w:val="007C0B9F"/>
    <w:rsid w:val="007D1D73"/>
    <w:rsid w:val="007D5C68"/>
    <w:rsid w:val="007D6430"/>
    <w:rsid w:val="007E5E4C"/>
    <w:rsid w:val="007F26D9"/>
    <w:rsid w:val="0080659A"/>
    <w:rsid w:val="00806875"/>
    <w:rsid w:val="00812F54"/>
    <w:rsid w:val="0082346A"/>
    <w:rsid w:val="00825FC5"/>
    <w:rsid w:val="008266E5"/>
    <w:rsid w:val="00834D78"/>
    <w:rsid w:val="00845908"/>
    <w:rsid w:val="008463CA"/>
    <w:rsid w:val="00847975"/>
    <w:rsid w:val="00850B08"/>
    <w:rsid w:val="00867E6F"/>
    <w:rsid w:val="00877FE5"/>
    <w:rsid w:val="008837C4"/>
    <w:rsid w:val="008918F0"/>
    <w:rsid w:val="00892810"/>
    <w:rsid w:val="0089448E"/>
    <w:rsid w:val="008A6379"/>
    <w:rsid w:val="008A69A3"/>
    <w:rsid w:val="008A6BD2"/>
    <w:rsid w:val="008B557C"/>
    <w:rsid w:val="008B585F"/>
    <w:rsid w:val="008B7B8C"/>
    <w:rsid w:val="008C1991"/>
    <w:rsid w:val="008C19B9"/>
    <w:rsid w:val="008C3446"/>
    <w:rsid w:val="008C5F43"/>
    <w:rsid w:val="008D34E6"/>
    <w:rsid w:val="008D566F"/>
    <w:rsid w:val="008E79D9"/>
    <w:rsid w:val="008E7EA8"/>
    <w:rsid w:val="008F2CC4"/>
    <w:rsid w:val="008F5532"/>
    <w:rsid w:val="008F573C"/>
    <w:rsid w:val="008F5E4B"/>
    <w:rsid w:val="009009FA"/>
    <w:rsid w:val="00902BD5"/>
    <w:rsid w:val="0090478A"/>
    <w:rsid w:val="00906A32"/>
    <w:rsid w:val="00910790"/>
    <w:rsid w:val="00912ADB"/>
    <w:rsid w:val="00917774"/>
    <w:rsid w:val="009179B5"/>
    <w:rsid w:val="00922A02"/>
    <w:rsid w:val="00931D9C"/>
    <w:rsid w:val="00936A9B"/>
    <w:rsid w:val="00941C20"/>
    <w:rsid w:val="0094412C"/>
    <w:rsid w:val="009442E2"/>
    <w:rsid w:val="009516E0"/>
    <w:rsid w:val="009521B9"/>
    <w:rsid w:val="00952D60"/>
    <w:rsid w:val="00954B25"/>
    <w:rsid w:val="0096458A"/>
    <w:rsid w:val="00966A1F"/>
    <w:rsid w:val="00980F4A"/>
    <w:rsid w:val="00986048"/>
    <w:rsid w:val="0099368F"/>
    <w:rsid w:val="009948E4"/>
    <w:rsid w:val="00994BE5"/>
    <w:rsid w:val="00997CD0"/>
    <w:rsid w:val="009B333F"/>
    <w:rsid w:val="009C2588"/>
    <w:rsid w:val="009C783A"/>
    <w:rsid w:val="009D51B0"/>
    <w:rsid w:val="009D5C72"/>
    <w:rsid w:val="009E0E56"/>
    <w:rsid w:val="009E0FDF"/>
    <w:rsid w:val="009F067D"/>
    <w:rsid w:val="00A01C02"/>
    <w:rsid w:val="00A11ED9"/>
    <w:rsid w:val="00A24338"/>
    <w:rsid w:val="00A268BA"/>
    <w:rsid w:val="00A30C8A"/>
    <w:rsid w:val="00A357CC"/>
    <w:rsid w:val="00A35DE1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4692"/>
    <w:rsid w:val="00A82440"/>
    <w:rsid w:val="00A86194"/>
    <w:rsid w:val="00A8733E"/>
    <w:rsid w:val="00A93C47"/>
    <w:rsid w:val="00A95F7B"/>
    <w:rsid w:val="00A972AA"/>
    <w:rsid w:val="00AA04CF"/>
    <w:rsid w:val="00AA29A3"/>
    <w:rsid w:val="00AA52CC"/>
    <w:rsid w:val="00AA65D2"/>
    <w:rsid w:val="00AB5FFB"/>
    <w:rsid w:val="00AC0BAC"/>
    <w:rsid w:val="00AC1CF8"/>
    <w:rsid w:val="00AC5CFE"/>
    <w:rsid w:val="00AD14B6"/>
    <w:rsid w:val="00AD63F7"/>
    <w:rsid w:val="00AE2F9B"/>
    <w:rsid w:val="00AE3DE9"/>
    <w:rsid w:val="00AF0541"/>
    <w:rsid w:val="00AF0857"/>
    <w:rsid w:val="00AF2B2B"/>
    <w:rsid w:val="00B00853"/>
    <w:rsid w:val="00B01DEA"/>
    <w:rsid w:val="00B03325"/>
    <w:rsid w:val="00B03F1C"/>
    <w:rsid w:val="00B10FC6"/>
    <w:rsid w:val="00B12D64"/>
    <w:rsid w:val="00B14E71"/>
    <w:rsid w:val="00B17F19"/>
    <w:rsid w:val="00B20746"/>
    <w:rsid w:val="00B20DAD"/>
    <w:rsid w:val="00B30512"/>
    <w:rsid w:val="00B351D3"/>
    <w:rsid w:val="00B4146A"/>
    <w:rsid w:val="00B427C8"/>
    <w:rsid w:val="00B451B2"/>
    <w:rsid w:val="00B50CE1"/>
    <w:rsid w:val="00B51DC4"/>
    <w:rsid w:val="00B61822"/>
    <w:rsid w:val="00B62F32"/>
    <w:rsid w:val="00B70C16"/>
    <w:rsid w:val="00B745CB"/>
    <w:rsid w:val="00B745EF"/>
    <w:rsid w:val="00B8131A"/>
    <w:rsid w:val="00B8146B"/>
    <w:rsid w:val="00B84DD9"/>
    <w:rsid w:val="00B86E4B"/>
    <w:rsid w:val="00B92119"/>
    <w:rsid w:val="00B93250"/>
    <w:rsid w:val="00B94C55"/>
    <w:rsid w:val="00BA0FCF"/>
    <w:rsid w:val="00BB6706"/>
    <w:rsid w:val="00BC08F1"/>
    <w:rsid w:val="00BC13AB"/>
    <w:rsid w:val="00BC1DBB"/>
    <w:rsid w:val="00BD3D65"/>
    <w:rsid w:val="00BE6AC6"/>
    <w:rsid w:val="00BF2EE4"/>
    <w:rsid w:val="00BF3F77"/>
    <w:rsid w:val="00C165E5"/>
    <w:rsid w:val="00C169D6"/>
    <w:rsid w:val="00C21C82"/>
    <w:rsid w:val="00C34EDE"/>
    <w:rsid w:val="00C401BC"/>
    <w:rsid w:val="00C51DC6"/>
    <w:rsid w:val="00C532F0"/>
    <w:rsid w:val="00C55860"/>
    <w:rsid w:val="00C564BD"/>
    <w:rsid w:val="00C56938"/>
    <w:rsid w:val="00C575E5"/>
    <w:rsid w:val="00C66655"/>
    <w:rsid w:val="00C72E27"/>
    <w:rsid w:val="00C73654"/>
    <w:rsid w:val="00C738FE"/>
    <w:rsid w:val="00C773CD"/>
    <w:rsid w:val="00C77E20"/>
    <w:rsid w:val="00C80A3F"/>
    <w:rsid w:val="00C8252D"/>
    <w:rsid w:val="00C8445F"/>
    <w:rsid w:val="00C86A8F"/>
    <w:rsid w:val="00C86A99"/>
    <w:rsid w:val="00C87346"/>
    <w:rsid w:val="00C9611D"/>
    <w:rsid w:val="00CA2A50"/>
    <w:rsid w:val="00CB06AC"/>
    <w:rsid w:val="00CB66C3"/>
    <w:rsid w:val="00CC008E"/>
    <w:rsid w:val="00CC301D"/>
    <w:rsid w:val="00CC3DFE"/>
    <w:rsid w:val="00CC7057"/>
    <w:rsid w:val="00CD0C8B"/>
    <w:rsid w:val="00CD1B78"/>
    <w:rsid w:val="00CD614E"/>
    <w:rsid w:val="00CD7340"/>
    <w:rsid w:val="00CE05B5"/>
    <w:rsid w:val="00CE1E82"/>
    <w:rsid w:val="00CE5D1D"/>
    <w:rsid w:val="00CE5FAD"/>
    <w:rsid w:val="00CF162F"/>
    <w:rsid w:val="00CF2AF6"/>
    <w:rsid w:val="00CF76E0"/>
    <w:rsid w:val="00D159D1"/>
    <w:rsid w:val="00D22839"/>
    <w:rsid w:val="00D23C8D"/>
    <w:rsid w:val="00D23D99"/>
    <w:rsid w:val="00D26D90"/>
    <w:rsid w:val="00D31C68"/>
    <w:rsid w:val="00D332AF"/>
    <w:rsid w:val="00D4601F"/>
    <w:rsid w:val="00D46789"/>
    <w:rsid w:val="00D601FB"/>
    <w:rsid w:val="00D64DB8"/>
    <w:rsid w:val="00D67923"/>
    <w:rsid w:val="00D700B5"/>
    <w:rsid w:val="00D72071"/>
    <w:rsid w:val="00D73620"/>
    <w:rsid w:val="00D779DA"/>
    <w:rsid w:val="00D8029A"/>
    <w:rsid w:val="00D84452"/>
    <w:rsid w:val="00D9679E"/>
    <w:rsid w:val="00DA2736"/>
    <w:rsid w:val="00DC2963"/>
    <w:rsid w:val="00DC3E6E"/>
    <w:rsid w:val="00DD74DC"/>
    <w:rsid w:val="00DE4A1C"/>
    <w:rsid w:val="00DE59C8"/>
    <w:rsid w:val="00DE65B2"/>
    <w:rsid w:val="00DE6814"/>
    <w:rsid w:val="00DF0484"/>
    <w:rsid w:val="00DF3BEF"/>
    <w:rsid w:val="00DF762B"/>
    <w:rsid w:val="00E05D77"/>
    <w:rsid w:val="00E106EA"/>
    <w:rsid w:val="00E14F7D"/>
    <w:rsid w:val="00E20C75"/>
    <w:rsid w:val="00E21A52"/>
    <w:rsid w:val="00E356EA"/>
    <w:rsid w:val="00E4238E"/>
    <w:rsid w:val="00E52AE4"/>
    <w:rsid w:val="00E55A3C"/>
    <w:rsid w:val="00E55BFA"/>
    <w:rsid w:val="00E574AB"/>
    <w:rsid w:val="00E62878"/>
    <w:rsid w:val="00E63485"/>
    <w:rsid w:val="00E643A2"/>
    <w:rsid w:val="00E72F6D"/>
    <w:rsid w:val="00E85069"/>
    <w:rsid w:val="00E8788E"/>
    <w:rsid w:val="00E87A59"/>
    <w:rsid w:val="00E87E3D"/>
    <w:rsid w:val="00E925ED"/>
    <w:rsid w:val="00E9433A"/>
    <w:rsid w:val="00EA4E24"/>
    <w:rsid w:val="00EA6431"/>
    <w:rsid w:val="00EC6E02"/>
    <w:rsid w:val="00EC724B"/>
    <w:rsid w:val="00ED41D9"/>
    <w:rsid w:val="00EF26B5"/>
    <w:rsid w:val="00F00E7C"/>
    <w:rsid w:val="00F03ADB"/>
    <w:rsid w:val="00F05388"/>
    <w:rsid w:val="00F0581D"/>
    <w:rsid w:val="00F108AA"/>
    <w:rsid w:val="00F1516F"/>
    <w:rsid w:val="00F425D9"/>
    <w:rsid w:val="00F45C99"/>
    <w:rsid w:val="00F47388"/>
    <w:rsid w:val="00F47F90"/>
    <w:rsid w:val="00F5389C"/>
    <w:rsid w:val="00F61959"/>
    <w:rsid w:val="00F621F0"/>
    <w:rsid w:val="00F6723C"/>
    <w:rsid w:val="00F70CB1"/>
    <w:rsid w:val="00F728B7"/>
    <w:rsid w:val="00F7301A"/>
    <w:rsid w:val="00F740C3"/>
    <w:rsid w:val="00F812CF"/>
    <w:rsid w:val="00F833E1"/>
    <w:rsid w:val="00F922B4"/>
    <w:rsid w:val="00F92C27"/>
    <w:rsid w:val="00F9396E"/>
    <w:rsid w:val="00F94201"/>
    <w:rsid w:val="00FA3CBD"/>
    <w:rsid w:val="00FA55B7"/>
    <w:rsid w:val="00FA7090"/>
    <w:rsid w:val="00FA7F67"/>
    <w:rsid w:val="00FB0E5C"/>
    <w:rsid w:val="00FB349F"/>
    <w:rsid w:val="00FC08A7"/>
    <w:rsid w:val="00FC6D06"/>
    <w:rsid w:val="00FD0EA7"/>
    <w:rsid w:val="00FD7219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1E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E1E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E1E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E1E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E1E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E1E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E1E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E1E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E1E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E1E82"/>
  </w:style>
  <w:style w:type="paragraph" w:styleId="TOC7">
    <w:name w:val="toc 7"/>
    <w:basedOn w:val="TOC3"/>
    <w:next w:val="Normal"/>
    <w:semiHidden/>
    <w:rsid w:val="00CE1E82"/>
  </w:style>
  <w:style w:type="paragraph" w:styleId="TOC6">
    <w:name w:val="toc 6"/>
    <w:basedOn w:val="TOC3"/>
    <w:next w:val="Normal"/>
    <w:semiHidden/>
    <w:rsid w:val="00CE1E82"/>
  </w:style>
  <w:style w:type="paragraph" w:styleId="TOC5">
    <w:name w:val="toc 5"/>
    <w:basedOn w:val="TOC3"/>
    <w:next w:val="Normal"/>
    <w:semiHidden/>
    <w:rsid w:val="00CE1E82"/>
  </w:style>
  <w:style w:type="paragraph" w:styleId="TOC4">
    <w:name w:val="toc 4"/>
    <w:basedOn w:val="TOC3"/>
    <w:next w:val="Normal"/>
    <w:semiHidden/>
    <w:rsid w:val="00CE1E82"/>
  </w:style>
  <w:style w:type="paragraph" w:styleId="TOC3">
    <w:name w:val="toc 3"/>
    <w:basedOn w:val="TOC2"/>
    <w:next w:val="Normal"/>
    <w:semiHidden/>
    <w:rsid w:val="00CE1E82"/>
    <w:pPr>
      <w:spacing w:before="80"/>
    </w:pPr>
  </w:style>
  <w:style w:type="paragraph" w:styleId="TOC2">
    <w:name w:val="toc 2"/>
    <w:basedOn w:val="TOC1"/>
    <w:next w:val="Normal"/>
    <w:semiHidden/>
    <w:rsid w:val="00CE1E82"/>
    <w:pPr>
      <w:spacing w:before="120"/>
    </w:pPr>
  </w:style>
  <w:style w:type="paragraph" w:styleId="TOC1">
    <w:name w:val="toc 1"/>
    <w:basedOn w:val="Normal"/>
    <w:semiHidden/>
    <w:rsid w:val="00CE1E8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E1E82"/>
    <w:pPr>
      <w:ind w:left="1698"/>
    </w:pPr>
  </w:style>
  <w:style w:type="paragraph" w:styleId="Index6">
    <w:name w:val="index 6"/>
    <w:basedOn w:val="Normal"/>
    <w:next w:val="Normal"/>
    <w:semiHidden/>
    <w:rsid w:val="00CE1E82"/>
    <w:pPr>
      <w:ind w:left="1415"/>
    </w:pPr>
  </w:style>
  <w:style w:type="paragraph" w:styleId="Index5">
    <w:name w:val="index 5"/>
    <w:basedOn w:val="Normal"/>
    <w:next w:val="Normal"/>
    <w:semiHidden/>
    <w:rsid w:val="00CE1E82"/>
    <w:pPr>
      <w:ind w:left="1132"/>
    </w:pPr>
  </w:style>
  <w:style w:type="paragraph" w:styleId="Index4">
    <w:name w:val="index 4"/>
    <w:basedOn w:val="Normal"/>
    <w:next w:val="Normal"/>
    <w:semiHidden/>
    <w:rsid w:val="00CE1E82"/>
    <w:pPr>
      <w:ind w:left="851"/>
    </w:pPr>
  </w:style>
  <w:style w:type="paragraph" w:styleId="Index3">
    <w:name w:val="index 3"/>
    <w:basedOn w:val="Normal"/>
    <w:next w:val="Normal"/>
    <w:semiHidden/>
    <w:rsid w:val="00CE1E82"/>
    <w:pPr>
      <w:ind w:left="567"/>
    </w:pPr>
  </w:style>
  <w:style w:type="paragraph" w:styleId="Index2">
    <w:name w:val="index 2"/>
    <w:basedOn w:val="Normal"/>
    <w:next w:val="Normal"/>
    <w:semiHidden/>
    <w:rsid w:val="00CE1E82"/>
    <w:pPr>
      <w:ind w:left="284"/>
    </w:pPr>
  </w:style>
  <w:style w:type="paragraph" w:styleId="Index1">
    <w:name w:val="index 1"/>
    <w:basedOn w:val="Normal"/>
    <w:next w:val="Normal"/>
    <w:semiHidden/>
    <w:rsid w:val="00CE1E82"/>
  </w:style>
  <w:style w:type="character" w:styleId="LineNumber">
    <w:name w:val="line number"/>
    <w:basedOn w:val="DefaultParagraphFont"/>
    <w:rsid w:val="00CE1E82"/>
  </w:style>
  <w:style w:type="paragraph" w:styleId="IndexHeading">
    <w:name w:val="index heading"/>
    <w:basedOn w:val="Normal"/>
    <w:next w:val="Normal"/>
    <w:semiHidden/>
    <w:rsid w:val="00CE1E82"/>
  </w:style>
  <w:style w:type="paragraph" w:styleId="Footer">
    <w:name w:val="footer"/>
    <w:basedOn w:val="Normal"/>
    <w:link w:val="FooterChar"/>
    <w:rsid w:val="00CE1E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E1E8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CE1E82"/>
    <w:rPr>
      <w:position w:val="6"/>
      <w:sz w:val="16"/>
    </w:rPr>
  </w:style>
  <w:style w:type="paragraph" w:styleId="FootnoteText">
    <w:name w:val="footnote text"/>
    <w:basedOn w:val="Normal"/>
    <w:semiHidden/>
    <w:rsid w:val="00CE1E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E1E82"/>
    <w:pPr>
      <w:ind w:left="794"/>
    </w:pPr>
  </w:style>
  <w:style w:type="paragraph" w:customStyle="1" w:styleId="TableLegend">
    <w:name w:val="Table_Legend"/>
    <w:basedOn w:val="TableText"/>
    <w:rsid w:val="00CE1E82"/>
    <w:pPr>
      <w:spacing w:before="120"/>
    </w:pPr>
  </w:style>
  <w:style w:type="paragraph" w:customStyle="1" w:styleId="TableText">
    <w:name w:val="Table_Text"/>
    <w:basedOn w:val="Normal"/>
    <w:rsid w:val="00CE1E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E1E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E1E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CE1E82"/>
    <w:pPr>
      <w:spacing w:before="80"/>
      <w:ind w:left="794" w:hanging="794"/>
    </w:pPr>
  </w:style>
  <w:style w:type="paragraph" w:customStyle="1" w:styleId="enumlev2">
    <w:name w:val="enumlev2"/>
    <w:basedOn w:val="enumlev1"/>
    <w:rsid w:val="00CE1E82"/>
    <w:pPr>
      <w:ind w:left="1191" w:hanging="397"/>
    </w:pPr>
  </w:style>
  <w:style w:type="paragraph" w:customStyle="1" w:styleId="enumlev3">
    <w:name w:val="enumlev3"/>
    <w:basedOn w:val="enumlev2"/>
    <w:rsid w:val="00CE1E82"/>
    <w:pPr>
      <w:ind w:left="1588"/>
    </w:pPr>
  </w:style>
  <w:style w:type="paragraph" w:customStyle="1" w:styleId="TableHead">
    <w:name w:val="Table_Head"/>
    <w:basedOn w:val="TableText"/>
    <w:rsid w:val="00CE1E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E1E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E1E82"/>
    <w:pPr>
      <w:spacing w:before="480"/>
    </w:pPr>
  </w:style>
  <w:style w:type="paragraph" w:customStyle="1" w:styleId="FigureTitle">
    <w:name w:val="Figure_Title"/>
    <w:basedOn w:val="TableTitle"/>
    <w:next w:val="Normal"/>
    <w:rsid w:val="00CE1E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E1E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E1E8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E1E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E1E82"/>
  </w:style>
  <w:style w:type="paragraph" w:customStyle="1" w:styleId="AppendixRef">
    <w:name w:val="Appendix_Ref"/>
    <w:basedOn w:val="AnnexRef"/>
    <w:next w:val="AppendixTitle"/>
    <w:rsid w:val="00CE1E82"/>
  </w:style>
  <w:style w:type="paragraph" w:customStyle="1" w:styleId="AppendixTitle">
    <w:name w:val="Appendix_Title"/>
    <w:basedOn w:val="AnnexTitle"/>
    <w:next w:val="Normalaftertitle"/>
    <w:rsid w:val="00CE1E82"/>
  </w:style>
  <w:style w:type="paragraph" w:customStyle="1" w:styleId="RefTitle">
    <w:name w:val="Ref_Title"/>
    <w:basedOn w:val="Normal"/>
    <w:next w:val="RefText"/>
    <w:rsid w:val="00CE1E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E1E82"/>
    <w:pPr>
      <w:ind w:left="794" w:hanging="794"/>
    </w:pPr>
  </w:style>
  <w:style w:type="paragraph" w:customStyle="1" w:styleId="Equation">
    <w:name w:val="Equation"/>
    <w:basedOn w:val="Normal"/>
    <w:rsid w:val="00CE1E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E1E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E1E82"/>
    <w:pPr>
      <w:spacing w:before="320"/>
    </w:pPr>
  </w:style>
  <w:style w:type="paragraph" w:customStyle="1" w:styleId="call">
    <w:name w:val="call"/>
    <w:basedOn w:val="Normal"/>
    <w:next w:val="Normal"/>
    <w:rsid w:val="00CE1E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E1E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E1E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E1E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E1E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E1E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E1E82"/>
  </w:style>
  <w:style w:type="paragraph" w:customStyle="1" w:styleId="ITUbureau">
    <w:name w:val="ITU_bureau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E1E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E1E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E1E8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uiPriority w:val="99"/>
    <w:rsid w:val="00CE1E82"/>
    <w:rPr>
      <w:color w:val="0000FF"/>
      <w:u w:val="single"/>
    </w:rPr>
  </w:style>
  <w:style w:type="paragraph" w:customStyle="1" w:styleId="Qlist">
    <w:name w:val="Qlis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E1E82"/>
    <w:pPr>
      <w:tabs>
        <w:tab w:val="left" w:pos="397"/>
      </w:tabs>
    </w:pPr>
  </w:style>
  <w:style w:type="paragraph" w:customStyle="1" w:styleId="FirstFooter">
    <w:name w:val="FirstFooter"/>
    <w:basedOn w:val="Footer"/>
    <w:rsid w:val="00CE1E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E1E82"/>
  </w:style>
  <w:style w:type="paragraph" w:styleId="BodyText0">
    <w:name w:val="Body Text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E1E82"/>
  </w:style>
  <w:style w:type="paragraph" w:customStyle="1" w:styleId="AnnexNo">
    <w:name w:val="Annex_No"/>
    <w:basedOn w:val="Normal"/>
    <w:next w:val="Normal"/>
    <w:rsid w:val="00CE1E8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CE1E82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-1">
    <w:name w:val="본문-1"/>
    <w:basedOn w:val="Normal"/>
    <w:link w:val="-1Char"/>
    <w:rsid w:val="00682D9A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spacing w:before="0" w:line="240" w:lineRule="atLeast"/>
      <w:ind w:firstLine="170"/>
      <w:jc w:val="both"/>
    </w:pPr>
    <w:rPr>
      <w:rFonts w:ascii="BatangChe" w:eastAsia="Batang" w:hAnsi="Arial"/>
      <w:w w:val="105"/>
      <w:kern w:val="2"/>
      <w:sz w:val="20"/>
      <w:lang w:val="en-US" w:eastAsia="ko-KR"/>
    </w:rPr>
  </w:style>
  <w:style w:type="character" w:customStyle="1" w:styleId="-1Char">
    <w:name w:val="본문-1 Char"/>
    <w:link w:val="-1"/>
    <w:rsid w:val="00682D9A"/>
    <w:rPr>
      <w:rFonts w:ascii="BatangChe" w:eastAsia="Batang" w:hAnsi="Arial"/>
      <w:w w:val="105"/>
      <w:kern w:val="2"/>
      <w:lang w:val="en-US" w:eastAsia="ko-KR" w:bidi="ar-SA"/>
    </w:rPr>
  </w:style>
  <w:style w:type="character" w:customStyle="1" w:styleId="enumlev10">
    <w:name w:val="enumlev1 (文字)"/>
    <w:basedOn w:val="DefaultParagraphFont"/>
    <w:link w:val="enumlev1"/>
    <w:rsid w:val="00CE1E82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E1E82"/>
    <w:pPr>
      <w:ind w:left="720"/>
      <w:contextualSpacing/>
    </w:pPr>
  </w:style>
  <w:style w:type="paragraph" w:customStyle="1" w:styleId="itu">
    <w:name w:val="itu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3D95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D23C8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D23D99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1E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E1E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E1E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E1E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E1E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E1E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E1E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E1E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E1E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E1E82"/>
  </w:style>
  <w:style w:type="paragraph" w:styleId="TOC7">
    <w:name w:val="toc 7"/>
    <w:basedOn w:val="TOC3"/>
    <w:next w:val="Normal"/>
    <w:semiHidden/>
    <w:rsid w:val="00CE1E82"/>
  </w:style>
  <w:style w:type="paragraph" w:styleId="TOC6">
    <w:name w:val="toc 6"/>
    <w:basedOn w:val="TOC3"/>
    <w:next w:val="Normal"/>
    <w:semiHidden/>
    <w:rsid w:val="00CE1E82"/>
  </w:style>
  <w:style w:type="paragraph" w:styleId="TOC5">
    <w:name w:val="toc 5"/>
    <w:basedOn w:val="TOC3"/>
    <w:next w:val="Normal"/>
    <w:semiHidden/>
    <w:rsid w:val="00CE1E82"/>
  </w:style>
  <w:style w:type="paragraph" w:styleId="TOC4">
    <w:name w:val="toc 4"/>
    <w:basedOn w:val="TOC3"/>
    <w:next w:val="Normal"/>
    <w:semiHidden/>
    <w:rsid w:val="00CE1E82"/>
  </w:style>
  <w:style w:type="paragraph" w:styleId="TOC3">
    <w:name w:val="toc 3"/>
    <w:basedOn w:val="TOC2"/>
    <w:next w:val="Normal"/>
    <w:semiHidden/>
    <w:rsid w:val="00CE1E82"/>
    <w:pPr>
      <w:spacing w:before="80"/>
    </w:pPr>
  </w:style>
  <w:style w:type="paragraph" w:styleId="TOC2">
    <w:name w:val="toc 2"/>
    <w:basedOn w:val="TOC1"/>
    <w:next w:val="Normal"/>
    <w:semiHidden/>
    <w:rsid w:val="00CE1E82"/>
    <w:pPr>
      <w:spacing w:before="120"/>
    </w:pPr>
  </w:style>
  <w:style w:type="paragraph" w:styleId="TOC1">
    <w:name w:val="toc 1"/>
    <w:basedOn w:val="Normal"/>
    <w:semiHidden/>
    <w:rsid w:val="00CE1E8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E1E82"/>
    <w:pPr>
      <w:ind w:left="1698"/>
    </w:pPr>
  </w:style>
  <w:style w:type="paragraph" w:styleId="Index6">
    <w:name w:val="index 6"/>
    <w:basedOn w:val="Normal"/>
    <w:next w:val="Normal"/>
    <w:semiHidden/>
    <w:rsid w:val="00CE1E82"/>
    <w:pPr>
      <w:ind w:left="1415"/>
    </w:pPr>
  </w:style>
  <w:style w:type="paragraph" w:styleId="Index5">
    <w:name w:val="index 5"/>
    <w:basedOn w:val="Normal"/>
    <w:next w:val="Normal"/>
    <w:semiHidden/>
    <w:rsid w:val="00CE1E82"/>
    <w:pPr>
      <w:ind w:left="1132"/>
    </w:pPr>
  </w:style>
  <w:style w:type="paragraph" w:styleId="Index4">
    <w:name w:val="index 4"/>
    <w:basedOn w:val="Normal"/>
    <w:next w:val="Normal"/>
    <w:semiHidden/>
    <w:rsid w:val="00CE1E82"/>
    <w:pPr>
      <w:ind w:left="851"/>
    </w:pPr>
  </w:style>
  <w:style w:type="paragraph" w:styleId="Index3">
    <w:name w:val="index 3"/>
    <w:basedOn w:val="Normal"/>
    <w:next w:val="Normal"/>
    <w:semiHidden/>
    <w:rsid w:val="00CE1E82"/>
    <w:pPr>
      <w:ind w:left="567"/>
    </w:pPr>
  </w:style>
  <w:style w:type="paragraph" w:styleId="Index2">
    <w:name w:val="index 2"/>
    <w:basedOn w:val="Normal"/>
    <w:next w:val="Normal"/>
    <w:semiHidden/>
    <w:rsid w:val="00CE1E82"/>
    <w:pPr>
      <w:ind w:left="284"/>
    </w:pPr>
  </w:style>
  <w:style w:type="paragraph" w:styleId="Index1">
    <w:name w:val="index 1"/>
    <w:basedOn w:val="Normal"/>
    <w:next w:val="Normal"/>
    <w:semiHidden/>
    <w:rsid w:val="00CE1E82"/>
  </w:style>
  <w:style w:type="character" w:styleId="LineNumber">
    <w:name w:val="line number"/>
    <w:basedOn w:val="DefaultParagraphFont"/>
    <w:rsid w:val="00CE1E82"/>
  </w:style>
  <w:style w:type="paragraph" w:styleId="IndexHeading">
    <w:name w:val="index heading"/>
    <w:basedOn w:val="Normal"/>
    <w:next w:val="Normal"/>
    <w:semiHidden/>
    <w:rsid w:val="00CE1E82"/>
  </w:style>
  <w:style w:type="paragraph" w:styleId="Footer">
    <w:name w:val="footer"/>
    <w:basedOn w:val="Normal"/>
    <w:link w:val="FooterChar"/>
    <w:rsid w:val="00CE1E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E1E8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CE1E82"/>
    <w:rPr>
      <w:position w:val="6"/>
      <w:sz w:val="16"/>
    </w:rPr>
  </w:style>
  <w:style w:type="paragraph" w:styleId="FootnoteText">
    <w:name w:val="footnote text"/>
    <w:basedOn w:val="Normal"/>
    <w:semiHidden/>
    <w:rsid w:val="00CE1E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E1E82"/>
    <w:pPr>
      <w:ind w:left="794"/>
    </w:pPr>
  </w:style>
  <w:style w:type="paragraph" w:customStyle="1" w:styleId="TableLegend">
    <w:name w:val="Table_Legend"/>
    <w:basedOn w:val="TableText"/>
    <w:rsid w:val="00CE1E82"/>
    <w:pPr>
      <w:spacing w:before="120"/>
    </w:pPr>
  </w:style>
  <w:style w:type="paragraph" w:customStyle="1" w:styleId="TableText">
    <w:name w:val="Table_Text"/>
    <w:basedOn w:val="Normal"/>
    <w:rsid w:val="00CE1E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E1E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E1E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CE1E82"/>
    <w:pPr>
      <w:spacing w:before="80"/>
      <w:ind w:left="794" w:hanging="794"/>
    </w:pPr>
  </w:style>
  <w:style w:type="paragraph" w:customStyle="1" w:styleId="enumlev2">
    <w:name w:val="enumlev2"/>
    <w:basedOn w:val="enumlev1"/>
    <w:rsid w:val="00CE1E82"/>
    <w:pPr>
      <w:ind w:left="1191" w:hanging="397"/>
    </w:pPr>
  </w:style>
  <w:style w:type="paragraph" w:customStyle="1" w:styleId="enumlev3">
    <w:name w:val="enumlev3"/>
    <w:basedOn w:val="enumlev2"/>
    <w:rsid w:val="00CE1E82"/>
    <w:pPr>
      <w:ind w:left="1588"/>
    </w:pPr>
  </w:style>
  <w:style w:type="paragraph" w:customStyle="1" w:styleId="TableHead">
    <w:name w:val="Table_Head"/>
    <w:basedOn w:val="TableText"/>
    <w:rsid w:val="00CE1E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E1E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E1E82"/>
    <w:pPr>
      <w:spacing w:before="480"/>
    </w:pPr>
  </w:style>
  <w:style w:type="paragraph" w:customStyle="1" w:styleId="FigureTitle">
    <w:name w:val="Figure_Title"/>
    <w:basedOn w:val="TableTitle"/>
    <w:next w:val="Normal"/>
    <w:rsid w:val="00CE1E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E1E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E1E8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E1E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E1E82"/>
  </w:style>
  <w:style w:type="paragraph" w:customStyle="1" w:styleId="AppendixRef">
    <w:name w:val="Appendix_Ref"/>
    <w:basedOn w:val="AnnexRef"/>
    <w:next w:val="AppendixTitle"/>
    <w:rsid w:val="00CE1E82"/>
  </w:style>
  <w:style w:type="paragraph" w:customStyle="1" w:styleId="AppendixTitle">
    <w:name w:val="Appendix_Title"/>
    <w:basedOn w:val="AnnexTitle"/>
    <w:next w:val="Normalaftertitle"/>
    <w:rsid w:val="00CE1E82"/>
  </w:style>
  <w:style w:type="paragraph" w:customStyle="1" w:styleId="RefTitle">
    <w:name w:val="Ref_Title"/>
    <w:basedOn w:val="Normal"/>
    <w:next w:val="RefText"/>
    <w:rsid w:val="00CE1E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E1E82"/>
    <w:pPr>
      <w:ind w:left="794" w:hanging="794"/>
    </w:pPr>
  </w:style>
  <w:style w:type="paragraph" w:customStyle="1" w:styleId="Equation">
    <w:name w:val="Equation"/>
    <w:basedOn w:val="Normal"/>
    <w:rsid w:val="00CE1E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E1E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E1E82"/>
    <w:pPr>
      <w:spacing w:before="320"/>
    </w:pPr>
  </w:style>
  <w:style w:type="paragraph" w:customStyle="1" w:styleId="call">
    <w:name w:val="call"/>
    <w:basedOn w:val="Normal"/>
    <w:next w:val="Normal"/>
    <w:rsid w:val="00CE1E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E1E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E1E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E1E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E1E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E1E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E1E82"/>
  </w:style>
  <w:style w:type="paragraph" w:customStyle="1" w:styleId="ITUbureau">
    <w:name w:val="ITU_bureau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E1E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E1E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E1E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E1E8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uiPriority w:val="99"/>
    <w:rsid w:val="00CE1E82"/>
    <w:rPr>
      <w:color w:val="0000FF"/>
      <w:u w:val="single"/>
    </w:rPr>
  </w:style>
  <w:style w:type="paragraph" w:customStyle="1" w:styleId="Qlist">
    <w:name w:val="Qlist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E1E82"/>
    <w:pPr>
      <w:tabs>
        <w:tab w:val="left" w:pos="397"/>
      </w:tabs>
    </w:pPr>
  </w:style>
  <w:style w:type="paragraph" w:customStyle="1" w:styleId="FirstFooter">
    <w:name w:val="FirstFooter"/>
    <w:basedOn w:val="Footer"/>
    <w:rsid w:val="00CE1E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E1E82"/>
  </w:style>
  <w:style w:type="paragraph" w:styleId="BodyText0">
    <w:name w:val="Body Text"/>
    <w:basedOn w:val="Normal"/>
    <w:rsid w:val="00CE1E8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E1E82"/>
  </w:style>
  <w:style w:type="paragraph" w:customStyle="1" w:styleId="AnnexNo">
    <w:name w:val="Annex_No"/>
    <w:basedOn w:val="Normal"/>
    <w:next w:val="Normal"/>
    <w:rsid w:val="00CE1E8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CE1E82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-1">
    <w:name w:val="본문-1"/>
    <w:basedOn w:val="Normal"/>
    <w:link w:val="-1Char"/>
    <w:rsid w:val="00682D9A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spacing w:before="0" w:line="240" w:lineRule="atLeast"/>
      <w:ind w:firstLine="170"/>
      <w:jc w:val="both"/>
    </w:pPr>
    <w:rPr>
      <w:rFonts w:ascii="BatangChe" w:eastAsia="Batang" w:hAnsi="Arial"/>
      <w:w w:val="105"/>
      <w:kern w:val="2"/>
      <w:sz w:val="20"/>
      <w:lang w:val="en-US" w:eastAsia="ko-KR"/>
    </w:rPr>
  </w:style>
  <w:style w:type="character" w:customStyle="1" w:styleId="-1Char">
    <w:name w:val="본문-1 Char"/>
    <w:link w:val="-1"/>
    <w:rsid w:val="00682D9A"/>
    <w:rPr>
      <w:rFonts w:ascii="BatangChe" w:eastAsia="Batang" w:hAnsi="Arial"/>
      <w:w w:val="105"/>
      <w:kern w:val="2"/>
      <w:lang w:val="en-US" w:eastAsia="ko-KR" w:bidi="ar-SA"/>
    </w:rPr>
  </w:style>
  <w:style w:type="character" w:customStyle="1" w:styleId="enumlev10">
    <w:name w:val="enumlev1 (文字)"/>
    <w:basedOn w:val="DefaultParagraphFont"/>
    <w:link w:val="enumlev1"/>
    <w:rsid w:val="00CE1E82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E1E82"/>
    <w:pPr>
      <w:ind w:left="720"/>
      <w:contextualSpacing/>
    </w:pPr>
  </w:style>
  <w:style w:type="paragraph" w:customStyle="1" w:styleId="itu">
    <w:name w:val="itu"/>
    <w:basedOn w:val="Normal"/>
    <w:rsid w:val="00CE1E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3D95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D23C8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D23D99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751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78417">
                                      <w:marLeft w:val="4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725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577">
                                      <w:marLeft w:val="4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net/ITU-T/ddp/Default.aspx?groupid=7279" TargetMode="External"/><Relationship Id="rId18" Type="http://schemas.openxmlformats.org/officeDocument/2006/relationships/hyperlink" Target="http://www.itu.int/travel/" TargetMode="External"/><Relationship Id="rId26" Type="http://schemas.openxmlformats.org/officeDocument/2006/relationships/image" Target="media/image2.w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ITUT/studygroups/com11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24" Type="http://schemas.openxmlformats.org/officeDocument/2006/relationships/header" Target="header3.xml"/><Relationship Id="rId32" Type="http://schemas.openxmlformats.org/officeDocument/2006/relationships/footer" Target="footer6.xml"/><Relationship Id="rId5" Type="http://schemas.microsoft.com/office/2007/relationships/stylesWithEffects" Target="stylesWithEffect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image" Target="media/image1.jpeg"/><Relationship Id="rId19" Type="http://schemas.openxmlformats.org/officeDocument/2006/relationships/hyperlink" Target="mailto:tsbreg@itu.int" TargetMode="External"/><Relationship Id="rId31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studygroups/templates/index.html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tsb\SG_DOC\SG11\SG11-2009-2012\13May2011\col_letter\www.itu.int" TargetMode="External"/><Relationship Id="rId1" Type="http://schemas.openxmlformats.org/officeDocument/2006/relationships/hyperlink" Target="file:///\\blue\dfs\tsb\SG_DOC\SG11\SG11-2009-2012\13May2011\col_letter\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1489-5134-4321-851C-BE3622330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D6EFD-53AA-4A6D-B0E5-733B803C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10833</Characters>
  <Application>Microsoft Office Word</Application>
  <DocSecurity>4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12239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2011-12-12T15:47:00Z</cp:lastPrinted>
  <dcterms:created xsi:type="dcterms:W3CDTF">2011-12-15T13:26:00Z</dcterms:created>
  <dcterms:modified xsi:type="dcterms:W3CDTF">2011-12-15T13:26:00Z</dcterms:modified>
</cp:coreProperties>
</file>