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A" w:rsidRDefault="009D51FA" w:rsidP="000C4682">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5C51C1" w:rsidTr="009D51FA">
        <w:trPr>
          <w:cantSplit/>
        </w:trPr>
        <w:tc>
          <w:tcPr>
            <w:tcW w:w="6426" w:type="dxa"/>
            <w:vAlign w:val="center"/>
          </w:tcPr>
          <w:p w:rsidR="009D51FA" w:rsidRPr="005C51C1" w:rsidRDefault="009D51FA" w:rsidP="000C4682">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0C4682">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4F6E873A" wp14:editId="5E469276">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0C4682">
            <w:pPr>
              <w:tabs>
                <w:tab w:val="right" w:pos="8732"/>
              </w:tabs>
              <w:spacing w:before="0"/>
              <w:rPr>
                <w:rFonts w:ascii="Verdana" w:hAnsi="Verdana"/>
                <w:b/>
                <w:bCs/>
                <w:iCs/>
                <w:sz w:val="18"/>
                <w:szCs w:val="18"/>
              </w:rPr>
            </w:pPr>
          </w:p>
        </w:tc>
        <w:tc>
          <w:tcPr>
            <w:tcW w:w="3355" w:type="dxa"/>
            <w:vAlign w:val="center"/>
          </w:tcPr>
          <w:p w:rsidR="009D51FA" w:rsidRPr="005C51C1" w:rsidRDefault="009D51FA" w:rsidP="000C4682">
            <w:pPr>
              <w:spacing w:before="0"/>
              <w:ind w:left="993" w:hanging="993"/>
              <w:jc w:val="right"/>
              <w:rPr>
                <w:rFonts w:ascii="Verdana" w:hAnsi="Verdana"/>
                <w:sz w:val="18"/>
                <w:szCs w:val="18"/>
              </w:rPr>
            </w:pPr>
          </w:p>
        </w:tc>
      </w:tr>
    </w:tbl>
    <w:p w:rsidR="009D51FA" w:rsidRPr="005C51C1" w:rsidRDefault="009D51FA" w:rsidP="000C4682">
      <w:pPr>
        <w:tabs>
          <w:tab w:val="clear" w:pos="794"/>
          <w:tab w:val="clear" w:pos="1191"/>
          <w:tab w:val="clear" w:pos="1588"/>
          <w:tab w:val="clear" w:pos="1985"/>
          <w:tab w:val="left" w:pos="4962"/>
        </w:tabs>
      </w:pPr>
      <w:r w:rsidRPr="005C51C1">
        <w:tab/>
        <w:t>Genève, le</w:t>
      </w:r>
      <w:r w:rsidR="006407C0">
        <w:t xml:space="preserve"> 2 décembre 2011</w:t>
      </w:r>
    </w:p>
    <w:p w:rsidR="009D51FA" w:rsidRPr="005C51C1" w:rsidRDefault="009D51FA" w:rsidP="000C4682">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9D51FA" w:rsidRPr="005C51C1" w:rsidTr="009D51FA">
        <w:trPr>
          <w:cantSplit/>
          <w:trHeight w:val="340"/>
        </w:trPr>
        <w:tc>
          <w:tcPr>
            <w:tcW w:w="822" w:type="dxa"/>
          </w:tcPr>
          <w:p w:rsidR="009D51FA" w:rsidRPr="005C51C1" w:rsidRDefault="009D51FA" w:rsidP="000C4682">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6407C0" w:rsidP="000C4682">
            <w:pPr>
              <w:tabs>
                <w:tab w:val="left" w:pos="4111"/>
              </w:tabs>
              <w:spacing w:before="0"/>
              <w:ind w:left="57"/>
              <w:rPr>
                <w:b/>
              </w:rPr>
            </w:pPr>
            <w:r>
              <w:rPr>
                <w:b/>
              </w:rPr>
              <w:t>Lettre collective TSB 10/11</w:t>
            </w:r>
          </w:p>
          <w:p w:rsidR="009D51FA" w:rsidRPr="005C51C1" w:rsidRDefault="009D51FA" w:rsidP="000C4682">
            <w:pPr>
              <w:tabs>
                <w:tab w:val="left" w:pos="4111"/>
              </w:tabs>
              <w:spacing w:before="0"/>
              <w:ind w:left="57"/>
              <w:rPr>
                <w:b/>
              </w:rPr>
            </w:pPr>
          </w:p>
          <w:p w:rsidR="009D51FA" w:rsidRPr="005C51C1" w:rsidRDefault="009D51FA" w:rsidP="000C4682">
            <w:pPr>
              <w:tabs>
                <w:tab w:val="left" w:pos="4111"/>
              </w:tabs>
              <w:spacing w:before="0"/>
              <w:ind w:left="57"/>
              <w:rPr>
                <w:b/>
              </w:rPr>
            </w:pPr>
          </w:p>
        </w:tc>
        <w:tc>
          <w:tcPr>
            <w:tcW w:w="4762" w:type="dxa"/>
          </w:tcPr>
          <w:p w:rsidR="009D51FA" w:rsidRPr="005C51C1" w:rsidRDefault="009D51FA" w:rsidP="000C4682">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5C51C1" w:rsidRDefault="009D51FA" w:rsidP="000C4682">
            <w:pPr>
              <w:tabs>
                <w:tab w:val="left" w:pos="4111"/>
              </w:tabs>
              <w:spacing w:before="10"/>
              <w:ind w:left="57"/>
              <w:rPr>
                <w:sz w:val="22"/>
              </w:rPr>
            </w:pPr>
            <w:r w:rsidRPr="005C51C1">
              <w:rPr>
                <w:sz w:val="22"/>
              </w:rPr>
              <w:t>Tél.:</w:t>
            </w:r>
          </w:p>
        </w:tc>
        <w:tc>
          <w:tcPr>
            <w:tcW w:w="4055" w:type="dxa"/>
          </w:tcPr>
          <w:p w:rsidR="009D51FA" w:rsidRPr="005C51C1" w:rsidRDefault="009D51FA" w:rsidP="000C4682">
            <w:pPr>
              <w:tabs>
                <w:tab w:val="left" w:pos="4111"/>
              </w:tabs>
              <w:spacing w:before="0"/>
              <w:ind w:left="57"/>
            </w:pPr>
            <w:r w:rsidRPr="005C51C1">
              <w:t xml:space="preserve">+41 22 730 </w:t>
            </w:r>
            <w:r w:rsidR="006407C0">
              <w:t>5858</w:t>
            </w:r>
          </w:p>
        </w:tc>
        <w:tc>
          <w:tcPr>
            <w:tcW w:w="4762" w:type="dxa"/>
          </w:tcPr>
          <w:p w:rsidR="009D51FA" w:rsidRPr="005C51C1" w:rsidRDefault="009D51FA" w:rsidP="000C4682">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5C51C1" w:rsidRDefault="009D51FA" w:rsidP="000C4682">
            <w:pPr>
              <w:tabs>
                <w:tab w:val="left" w:pos="4111"/>
              </w:tabs>
              <w:spacing w:before="0"/>
              <w:ind w:left="57"/>
              <w:rPr>
                <w:sz w:val="22"/>
              </w:rPr>
            </w:pPr>
            <w:r w:rsidRPr="005C51C1">
              <w:rPr>
                <w:sz w:val="22"/>
              </w:rPr>
              <w:t>Fax:</w:t>
            </w:r>
            <w:r w:rsidRPr="005C51C1">
              <w:rPr>
                <w:sz w:val="22"/>
              </w:rPr>
              <w:br/>
              <w:t>E-mail:</w:t>
            </w:r>
          </w:p>
        </w:tc>
        <w:tc>
          <w:tcPr>
            <w:tcW w:w="4055" w:type="dxa"/>
          </w:tcPr>
          <w:p w:rsidR="009D51FA" w:rsidRPr="005C51C1" w:rsidRDefault="009D51FA" w:rsidP="000A2C5E">
            <w:pPr>
              <w:tabs>
                <w:tab w:val="left" w:pos="4111"/>
              </w:tabs>
              <w:spacing w:before="0"/>
              <w:ind w:left="57"/>
              <w:rPr>
                <w:sz w:val="22"/>
              </w:rPr>
            </w:pPr>
            <w:r w:rsidRPr="00FB351D">
              <w:rPr>
                <w:szCs w:val="24"/>
              </w:rPr>
              <w:t xml:space="preserve">+41 22 730 </w:t>
            </w:r>
            <w:proofErr w:type="gramStart"/>
            <w:r w:rsidRPr="00FB351D">
              <w:rPr>
                <w:szCs w:val="24"/>
              </w:rPr>
              <w:t>5853</w:t>
            </w:r>
            <w:r w:rsidRPr="005C51C1">
              <w:rPr>
                <w:sz w:val="22"/>
              </w:rPr>
              <w:br/>
            </w:r>
            <w:hyperlink r:id="rId10" w:history="1">
              <w:r w:rsidR="000A2C5E" w:rsidRPr="003A1757">
                <w:rPr>
                  <w:rStyle w:val="Hyperlink"/>
                  <w:sz w:val="22"/>
                </w:rPr>
                <w:t>tsbsg11@itu.int</w:t>
              </w:r>
              <w:proofErr w:type="gramEnd"/>
            </w:hyperlink>
          </w:p>
        </w:tc>
        <w:tc>
          <w:tcPr>
            <w:tcW w:w="4762" w:type="dxa"/>
          </w:tcPr>
          <w:p w:rsidR="009D51FA" w:rsidRPr="005C51C1" w:rsidRDefault="009D51FA" w:rsidP="000C4682">
            <w:pPr>
              <w:tabs>
                <w:tab w:val="clear" w:pos="794"/>
                <w:tab w:val="clear" w:pos="1191"/>
                <w:tab w:val="clear" w:pos="1588"/>
                <w:tab w:val="clear" w:pos="1985"/>
              </w:tabs>
              <w:spacing w:before="0"/>
              <w:ind w:left="226" w:hanging="169"/>
            </w:pPr>
            <w:r>
              <w:tab/>
            </w:r>
            <w:r w:rsidRPr="005C51C1">
              <w:t>Aux administrations des Etats Membres de l</w:t>
            </w:r>
            <w:r w:rsidR="00167472">
              <w:t>'</w:t>
            </w:r>
            <w:r w:rsidRPr="005C51C1">
              <w:t>Unio</w:t>
            </w:r>
            <w:r w:rsidR="00364E95">
              <w:t xml:space="preserve">n, aux Membres du Secteur UIT-T, </w:t>
            </w:r>
            <w:r w:rsidRPr="005C51C1">
              <w:t>aux Associés de l</w:t>
            </w:r>
            <w:r w:rsidR="00167472">
              <w:t>'</w:t>
            </w:r>
            <w:r w:rsidRPr="005C51C1">
              <w:t xml:space="preserve">UIT-T </w:t>
            </w:r>
            <w:r w:rsidR="00364E95">
              <w:t>et</w:t>
            </w:r>
            <w:r w:rsidR="000C56BE">
              <w:t xml:space="preserve"> aux établissements universitaires</w:t>
            </w:r>
            <w:r w:rsidR="00CF5B46">
              <w:t xml:space="preserve"> </w:t>
            </w:r>
            <w:r w:rsidR="00364E95">
              <w:t>de l</w:t>
            </w:r>
            <w:r w:rsidR="00167472">
              <w:t>'</w:t>
            </w:r>
            <w:r w:rsidR="00364E95">
              <w:t xml:space="preserve">UIT-T </w:t>
            </w:r>
            <w:r w:rsidR="006407C0">
              <w:t xml:space="preserve">participant aux travaux </w:t>
            </w:r>
            <w:r w:rsidR="00966BA6">
              <w:t>de la Commission d'études</w:t>
            </w:r>
            <w:r w:rsidR="006407C0">
              <w:t xml:space="preserve"> 11</w:t>
            </w:r>
          </w:p>
        </w:tc>
      </w:tr>
    </w:tbl>
    <w:p w:rsidR="009D51FA" w:rsidRPr="005C51C1" w:rsidRDefault="009D51FA" w:rsidP="000C4682">
      <w:pPr>
        <w:spacing w:before="0"/>
      </w:pPr>
    </w:p>
    <w:p w:rsidR="009D51FA" w:rsidRPr="005C51C1" w:rsidRDefault="009D51FA" w:rsidP="000C468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RPr="005C51C1" w:rsidTr="009D51FA">
        <w:trPr>
          <w:cantSplit/>
        </w:trPr>
        <w:tc>
          <w:tcPr>
            <w:tcW w:w="822" w:type="dxa"/>
          </w:tcPr>
          <w:p w:rsidR="009D51FA" w:rsidRPr="005C51C1" w:rsidRDefault="009D51FA" w:rsidP="000C4682">
            <w:pPr>
              <w:tabs>
                <w:tab w:val="left" w:pos="4111"/>
              </w:tabs>
              <w:spacing w:before="10"/>
              <w:ind w:left="57"/>
              <w:rPr>
                <w:rFonts w:ascii="Futura Lt BT" w:hAnsi="Futura Lt BT"/>
                <w:sz w:val="20"/>
              </w:rPr>
            </w:pPr>
            <w:r w:rsidRPr="005C51C1">
              <w:rPr>
                <w:sz w:val="22"/>
              </w:rPr>
              <w:t>Objet:</w:t>
            </w:r>
          </w:p>
        </w:tc>
        <w:tc>
          <w:tcPr>
            <w:tcW w:w="4943" w:type="dxa"/>
          </w:tcPr>
          <w:p w:rsidR="009D51FA" w:rsidRPr="005C51C1" w:rsidRDefault="006407C0" w:rsidP="000C4682">
            <w:pPr>
              <w:tabs>
                <w:tab w:val="left" w:pos="4111"/>
              </w:tabs>
              <w:spacing w:before="0"/>
              <w:ind w:left="57"/>
            </w:pPr>
            <w:r>
              <w:rPr>
                <w:b/>
                <w:bCs/>
              </w:rPr>
              <w:t>Réunion des Groupes de travail 1, 2, 3 et 4/11</w:t>
            </w:r>
            <w:r w:rsidR="009D51FA" w:rsidRPr="00640962">
              <w:rPr>
                <w:b/>
                <w:bCs/>
              </w:rPr>
              <w:br/>
              <w:t>Genève</w:t>
            </w:r>
            <w:r>
              <w:rPr>
                <w:b/>
                <w:bCs/>
              </w:rPr>
              <w:t>, le 17 février 2012 (</w:t>
            </w:r>
            <w:r w:rsidR="00A22B2E">
              <w:rPr>
                <w:b/>
                <w:bCs/>
              </w:rPr>
              <w:t>successivement à partir de 11</w:t>
            </w:r>
            <w:r w:rsidR="000A2C5E">
              <w:rPr>
                <w:b/>
                <w:bCs/>
              </w:rPr>
              <w:t xml:space="preserve"> </w:t>
            </w:r>
            <w:r w:rsidR="00A22B2E">
              <w:rPr>
                <w:b/>
                <w:bCs/>
              </w:rPr>
              <w:t>h</w:t>
            </w:r>
            <w:r w:rsidR="000A2C5E">
              <w:rPr>
                <w:b/>
                <w:bCs/>
              </w:rPr>
              <w:t xml:space="preserve"> </w:t>
            </w:r>
            <w:r w:rsidR="00A22B2E">
              <w:rPr>
                <w:b/>
                <w:bCs/>
              </w:rPr>
              <w:t>30)</w:t>
            </w:r>
          </w:p>
        </w:tc>
      </w:tr>
    </w:tbl>
    <w:p w:rsidR="009D51FA" w:rsidRPr="005C51C1" w:rsidRDefault="009D51FA" w:rsidP="000C4682"/>
    <w:p w:rsidR="007E3C5C" w:rsidRPr="005C51C1" w:rsidRDefault="007E3C5C" w:rsidP="000C4682">
      <w:pPr>
        <w:pStyle w:val="ITUintr"/>
        <w:tabs>
          <w:tab w:val="clear" w:pos="737"/>
          <w:tab w:val="clear" w:pos="1134"/>
          <w:tab w:val="left" w:pos="794"/>
        </w:tabs>
        <w:spacing w:before="120"/>
        <w:ind w:right="92"/>
        <w:rPr>
          <w:sz w:val="24"/>
        </w:rPr>
      </w:pPr>
      <w:r w:rsidRPr="005C51C1">
        <w:rPr>
          <w:sz w:val="24"/>
        </w:rPr>
        <w:t>Madame, Monsieur,</w:t>
      </w:r>
    </w:p>
    <w:p w:rsidR="00426E2D" w:rsidRDefault="007E3C5C" w:rsidP="000C4682">
      <w:bookmarkStart w:id="1" w:name="suitetext"/>
      <w:bookmarkEnd w:id="1"/>
      <w:r w:rsidRPr="005C51C1">
        <w:rPr>
          <w:bCs/>
        </w:rPr>
        <w:t>1</w:t>
      </w:r>
      <w:r w:rsidRPr="005C51C1">
        <w:tab/>
      </w:r>
      <w:r w:rsidR="00426E2D" w:rsidRPr="00510A5B">
        <w:t xml:space="preserve">En accord avec le Président de la Commission d'études 11 </w:t>
      </w:r>
      <w:r w:rsidR="00426E2D">
        <w:t xml:space="preserve">(M. Wei Feng) </w:t>
      </w:r>
      <w:r w:rsidR="00426E2D" w:rsidRPr="00510A5B">
        <w:t xml:space="preserve">et ainsi qu'il en a été décidé à la réunion </w:t>
      </w:r>
      <w:r w:rsidR="003D1EFF">
        <w:t>de la Commission d'études</w:t>
      </w:r>
      <w:r w:rsidR="00426E2D" w:rsidRPr="00510A5B">
        <w:t xml:space="preserve"> 11 (</w:t>
      </w:r>
      <w:r w:rsidR="00426E2D">
        <w:t>Genève</w:t>
      </w:r>
      <w:r w:rsidR="00426E2D" w:rsidRPr="00510A5B">
        <w:t xml:space="preserve">, </w:t>
      </w:r>
      <w:r w:rsidR="00426E2D">
        <w:t xml:space="preserve">17-21 octobre </w:t>
      </w:r>
      <w:r w:rsidR="00426E2D" w:rsidRPr="00510A5B">
        <w:t>20</w:t>
      </w:r>
      <w:r w:rsidR="00426E2D">
        <w:t>11</w:t>
      </w:r>
      <w:r w:rsidR="00426E2D" w:rsidRPr="00510A5B">
        <w:t>), j'ai l'honneur de vous informer que le Groupe de travail 1/11 (</w:t>
      </w:r>
      <w:r w:rsidR="00426E2D" w:rsidRPr="00510A5B">
        <w:rPr>
          <w:i/>
          <w:iCs/>
        </w:rPr>
        <w:t xml:space="preserve">Architecture </w:t>
      </w:r>
      <w:r w:rsidR="00426E2D">
        <w:rPr>
          <w:i/>
          <w:iCs/>
        </w:rPr>
        <w:t>des protocoles</w:t>
      </w:r>
      <w:r w:rsidR="00426E2D" w:rsidRPr="00510A5B">
        <w:rPr>
          <w:i/>
          <w:iCs/>
        </w:rPr>
        <w:t xml:space="preserve"> et commande d'application</w:t>
      </w:r>
      <w:r w:rsidR="00426E2D" w:rsidRPr="00510A5B">
        <w:t>), le Groupe de travail 2/11 (</w:t>
      </w:r>
      <w:r w:rsidR="00426E2D" w:rsidRPr="00510A5B">
        <w:rPr>
          <w:i/>
          <w:iCs/>
        </w:rPr>
        <w:t>Commande de session, de support et de ressource</w:t>
      </w:r>
      <w:r w:rsidR="00426E2D">
        <w:t xml:space="preserve">), </w:t>
      </w:r>
      <w:r w:rsidR="00426E2D" w:rsidRPr="00510A5B">
        <w:t>le Groupe de travail 3/11 (</w:t>
      </w:r>
      <w:r w:rsidR="00426E2D" w:rsidRPr="00510A5B">
        <w:rPr>
          <w:i/>
          <w:iCs/>
        </w:rPr>
        <w:t xml:space="preserve">Multidiffusion et </w:t>
      </w:r>
      <w:r w:rsidR="00426E2D">
        <w:rPr>
          <w:i/>
          <w:iCs/>
        </w:rPr>
        <w:t>rattachement</w:t>
      </w:r>
      <w:r w:rsidR="00426E2D" w:rsidRPr="00510A5B">
        <w:t xml:space="preserve">) </w:t>
      </w:r>
      <w:r w:rsidR="00426E2D">
        <w:t>et le Groupe de travail 4/11 (</w:t>
      </w:r>
      <w:r w:rsidR="00426E2D">
        <w:rPr>
          <w:i/>
          <w:iCs/>
        </w:rPr>
        <w:t>Spécifications de test</w:t>
      </w:r>
      <w:r w:rsidR="00426E2D">
        <w:t xml:space="preserve">) </w:t>
      </w:r>
      <w:r w:rsidR="00426E2D" w:rsidRPr="00510A5B">
        <w:t xml:space="preserve">se réuniront à Genève, au siège de l'UIT, le </w:t>
      </w:r>
      <w:r w:rsidR="00426E2D">
        <w:t>17 février</w:t>
      </w:r>
      <w:r w:rsidR="00426E2D" w:rsidRPr="00510A5B">
        <w:t xml:space="preserve"> 20</w:t>
      </w:r>
      <w:r w:rsidR="00426E2D">
        <w:t>12</w:t>
      </w:r>
      <w:r w:rsidR="00426E2D" w:rsidRPr="00510A5B">
        <w:t xml:space="preserve">, afin de décider de la </w:t>
      </w:r>
      <w:r w:rsidR="00426E2D">
        <w:t>suite à donner (consentement/</w:t>
      </w:r>
      <w:r w:rsidR="00426E2D" w:rsidRPr="00510A5B">
        <w:t>détermination</w:t>
      </w:r>
      <w:r w:rsidR="00426E2D">
        <w:t>/accord</w:t>
      </w:r>
      <w:r w:rsidR="00426E2D" w:rsidRPr="00510A5B">
        <w:t>) aux projets de Recommandation</w:t>
      </w:r>
      <w:r w:rsidR="00966BA6">
        <w:t xml:space="preserve"> et aux </w:t>
      </w:r>
      <w:r w:rsidR="003D1EFF">
        <w:t>Suppléments.</w:t>
      </w:r>
    </w:p>
    <w:p w:rsidR="004A6401" w:rsidRDefault="004A6401" w:rsidP="000C4682">
      <w:r w:rsidRPr="00510A5B">
        <w:t>L</w:t>
      </w:r>
      <w:r>
        <w:t>es</w:t>
      </w:r>
      <w:r w:rsidRPr="00510A5B">
        <w:t xml:space="preserve"> réunion</w:t>
      </w:r>
      <w:r w:rsidR="000C4682">
        <w:t>s des G</w:t>
      </w:r>
      <w:r>
        <w:t>roupes de travail se succé</w:t>
      </w:r>
      <w:r w:rsidRPr="00510A5B">
        <w:t>deront</w:t>
      </w:r>
      <w:r w:rsidR="003D1EFF">
        <w:t xml:space="preserve"> à partir de 11</w:t>
      </w:r>
      <w:r>
        <w:t> h 30</w:t>
      </w:r>
      <w:r w:rsidRPr="00510A5B">
        <w:t>. L'</w:t>
      </w:r>
      <w:r w:rsidR="000C4682">
        <w:t>inscription</w:t>
      </w:r>
      <w:r w:rsidRPr="00510A5B">
        <w:t xml:space="preserve"> des participants débutera à </w:t>
      </w:r>
      <w:r>
        <w:t>8 h 30</w:t>
      </w:r>
      <w:r w:rsidRPr="00510A5B">
        <w:t xml:space="preserve"> à l'entrée </w:t>
      </w:r>
      <w:proofErr w:type="spellStart"/>
      <w:r w:rsidRPr="00510A5B">
        <w:t>Montbrillant</w:t>
      </w:r>
      <w:proofErr w:type="spellEnd"/>
      <w:r w:rsidRPr="00510A5B">
        <w:t>. Les précisions relatives aux salles de réunion seront affichées sur les écrans placés aux entrées du siège de l'UIT.</w:t>
      </w:r>
    </w:p>
    <w:p w:rsidR="007E3C5C" w:rsidRPr="005C51C1" w:rsidRDefault="007E3C5C" w:rsidP="000C4682">
      <w:r w:rsidRPr="005C51C1">
        <w:rPr>
          <w:bCs/>
        </w:rPr>
        <w:t>2</w:t>
      </w:r>
      <w:r w:rsidRPr="005C51C1">
        <w:tab/>
      </w:r>
      <w:r w:rsidR="004A6401" w:rsidRPr="004A6401">
        <w:t>Aucun service d'interprétation n</w:t>
      </w:r>
      <w:r w:rsidR="004A6401">
        <w:t>e sera assuré pour cette réunion.</w:t>
      </w:r>
    </w:p>
    <w:p w:rsidR="007E3C5C" w:rsidRPr="005C51C1" w:rsidRDefault="007E3C5C" w:rsidP="000C4682">
      <w:r w:rsidRPr="005C51C1">
        <w:rPr>
          <w:bCs/>
        </w:rPr>
        <w:t>3</w:t>
      </w:r>
      <w:r w:rsidRPr="005C51C1">
        <w:tab/>
        <w:t>Le projet d</w:t>
      </w:r>
      <w:r>
        <w:t>'</w:t>
      </w:r>
      <w:r w:rsidRPr="005C51C1">
        <w:t xml:space="preserve">ordre du jour, </w:t>
      </w:r>
      <w:r w:rsidR="004A6401" w:rsidRPr="00510A5B">
        <w:t xml:space="preserve">établi </w:t>
      </w:r>
      <w:r w:rsidR="004A6401">
        <w:t>en accord avec</w:t>
      </w:r>
      <w:r w:rsidR="004A6401" w:rsidRPr="00510A5B">
        <w:t xml:space="preserve"> les Présidents des Groupes de travail 1, 2</w:t>
      </w:r>
      <w:r w:rsidR="004A6401">
        <w:t>, 3</w:t>
      </w:r>
      <w:r w:rsidR="004A6401" w:rsidRPr="00510A5B">
        <w:t xml:space="preserve"> et </w:t>
      </w:r>
      <w:r w:rsidR="004A6401">
        <w:t>4</w:t>
      </w:r>
      <w:r w:rsidR="004A6401" w:rsidRPr="00510A5B">
        <w:t>/11</w:t>
      </w:r>
      <w:r w:rsidRPr="005C51C1">
        <w:t>, figure dans l</w:t>
      </w:r>
      <w:r>
        <w:t>'</w:t>
      </w:r>
      <w:r w:rsidRPr="005C51C1">
        <w:rPr>
          <w:b/>
        </w:rPr>
        <w:t>Annexe 1</w:t>
      </w:r>
      <w:r w:rsidRPr="005C51C1">
        <w:t xml:space="preserve"> ci-après.</w:t>
      </w:r>
    </w:p>
    <w:p w:rsidR="007E3C5C" w:rsidRPr="005C51C1" w:rsidRDefault="007E3C5C" w:rsidP="000A2C5E">
      <w:r w:rsidRPr="005C51C1">
        <w:t>4</w:t>
      </w:r>
      <w:r w:rsidRPr="005C51C1">
        <w:tab/>
      </w:r>
      <w:r w:rsidR="004A6401" w:rsidRPr="00510A5B">
        <w:t>Les réunions des Groupes de travail 1, 2</w:t>
      </w:r>
      <w:r w:rsidR="004A6401">
        <w:t>, 3</w:t>
      </w:r>
      <w:r w:rsidR="004A6401" w:rsidRPr="00510A5B">
        <w:t xml:space="preserve"> et </w:t>
      </w:r>
      <w:r w:rsidR="004A6401">
        <w:t>4</w:t>
      </w:r>
      <w:r w:rsidR="004A6401" w:rsidRPr="00510A5B">
        <w:t>/11 ont essentiellement pour objet d'étudier la possibilité d'engager la procédure d'approbation pou</w:t>
      </w:r>
      <w:r w:rsidR="00B6651A">
        <w:t>r les projets de Recommandation</w:t>
      </w:r>
      <w:r w:rsidR="004A6401" w:rsidRPr="00510A5B">
        <w:t xml:space="preserve"> et </w:t>
      </w:r>
      <w:r w:rsidR="000A2C5E">
        <w:t>les</w:t>
      </w:r>
      <w:r w:rsidR="00EA6AE6">
        <w:t xml:space="preserve"> </w:t>
      </w:r>
      <w:r w:rsidR="000C4682">
        <w:t>S</w:t>
      </w:r>
      <w:r w:rsidR="00317E19">
        <w:t>u</w:t>
      </w:r>
      <w:r w:rsidR="004A6401" w:rsidRPr="00510A5B">
        <w:t xml:space="preserve">ppléments, le cas échéant, en fonction des résultats des réunions précédentes </w:t>
      </w:r>
      <w:r w:rsidR="004A6401">
        <w:t xml:space="preserve">de </w:t>
      </w:r>
      <w:r w:rsidR="000A2C5E">
        <w:t>G</w:t>
      </w:r>
      <w:r w:rsidR="004A6401">
        <w:t>roupes de Rapporteur</w:t>
      </w:r>
      <w:r w:rsidR="004A6401" w:rsidRPr="00510A5B">
        <w:t xml:space="preserve"> tenues pendant la réunion NGN-GSI (</w:t>
      </w:r>
      <w:r w:rsidR="00B6651A">
        <w:t>6-17 février</w:t>
      </w:r>
      <w:r w:rsidR="004A6401" w:rsidRPr="00510A5B">
        <w:t xml:space="preserve"> 20</w:t>
      </w:r>
      <w:r w:rsidR="00B6651A">
        <w:t>12</w:t>
      </w:r>
      <w:r w:rsidR="004A6401" w:rsidRPr="00510A5B">
        <w:t>)</w:t>
      </w:r>
      <w:r w:rsidR="00B6651A">
        <w:t>.</w:t>
      </w:r>
    </w:p>
    <w:p w:rsidR="007E3C5C" w:rsidRPr="000A2C5E" w:rsidRDefault="007E3C5C" w:rsidP="000A2C5E">
      <w:r w:rsidRPr="005C51C1">
        <w:t>On trouvera un complément d</w:t>
      </w:r>
      <w:r>
        <w:t>'</w:t>
      </w:r>
      <w:r w:rsidR="00B6651A">
        <w:t>information sur la réunion NGN-GSI</w:t>
      </w:r>
      <w:r w:rsidRPr="005C51C1">
        <w:t xml:space="preserve"> </w:t>
      </w:r>
      <w:r w:rsidR="00B6651A">
        <w:t xml:space="preserve">à l'adresse suivante: </w:t>
      </w:r>
      <w:hyperlink r:id="rId11" w:history="1">
        <w:r w:rsidR="00B6651A" w:rsidRPr="00101618">
          <w:rPr>
            <w:rStyle w:val="Hyperlink"/>
          </w:rPr>
          <w:t>http://itu.int/ITU-T/ngn</w:t>
        </w:r>
      </w:hyperlink>
      <w:r w:rsidR="000A2C5E" w:rsidRPr="000A2C5E">
        <w:t>.</w:t>
      </w:r>
    </w:p>
    <w:p w:rsidR="007E3C5C" w:rsidRPr="005C51C1" w:rsidRDefault="00B6651A" w:rsidP="006F1C79">
      <w:pPr>
        <w:keepNext/>
        <w:keepLines/>
      </w:pPr>
      <w:r>
        <w:lastRenderedPageBreak/>
        <w:t>5</w:t>
      </w:r>
      <w:r w:rsidR="007E3C5C" w:rsidRPr="005C51C1">
        <w:tab/>
      </w:r>
      <w:r w:rsidR="007E3C5C">
        <w:t xml:space="preserve">A sa réunion de février 2011, le GCNT a décidé de continuer </w:t>
      </w:r>
      <w:r>
        <w:t xml:space="preserve">à </w:t>
      </w:r>
      <w:r w:rsidR="007E3C5C">
        <w:t>appliquer le délai expérimental de 12 (douze) jours calendaires pour la soumission de</w:t>
      </w:r>
      <w:r w:rsidR="00E81AFF">
        <w:t>s contributions aux réunions du </w:t>
      </w:r>
      <w:r w:rsidR="007E3C5C">
        <w:t xml:space="preserve">TSB. Ces contributions, qui </w:t>
      </w:r>
      <w:r w:rsidR="007E3C5C" w:rsidRPr="005C51C1">
        <w:t xml:space="preserve">seront postées sur le site web </w:t>
      </w:r>
      <w:r w:rsidR="003D1EFF">
        <w:t>de la Commission d'études</w:t>
      </w:r>
      <w:r>
        <w:t xml:space="preserve"> 11 </w:t>
      </w:r>
      <w:r w:rsidR="007E3C5C" w:rsidRPr="005C51C1">
        <w:t xml:space="preserve">devront donc parvenir au TSB le </w:t>
      </w:r>
      <w:r>
        <w:rPr>
          <w:b/>
          <w:bCs/>
        </w:rPr>
        <w:t>4 février 2012</w:t>
      </w:r>
      <w:r w:rsidR="007E3C5C" w:rsidRPr="005C51C1">
        <w:t xml:space="preserve"> </w:t>
      </w:r>
      <w:r w:rsidR="007E3C5C" w:rsidRPr="005C51C1">
        <w:rPr>
          <w:b/>
          <w:bCs/>
        </w:rPr>
        <w:t>au plus tard</w:t>
      </w:r>
      <w:r w:rsidR="007E3C5C" w:rsidRPr="00117882">
        <w:t xml:space="preserve">. </w:t>
      </w:r>
      <w:r w:rsidR="007E3C5C" w:rsidRPr="005C51C1">
        <w:t>Les contributions reçues deux mois au moins avant le début de la réunion pourront être traduites, si nécessaire, conformément aux dispositions en vigueur.</w:t>
      </w:r>
    </w:p>
    <w:p w:rsidR="007E3C5C" w:rsidRPr="003D1EFF" w:rsidRDefault="00B6651A" w:rsidP="000C4682">
      <w:pPr>
        <w:rPr>
          <w:szCs w:val="24"/>
        </w:rPr>
      </w:pPr>
      <w:r>
        <w:rPr>
          <w:szCs w:val="24"/>
        </w:rPr>
        <w:t>6</w:t>
      </w:r>
      <w:r w:rsidR="007E3C5C">
        <w:rPr>
          <w:szCs w:val="24"/>
        </w:rPr>
        <w:tab/>
        <w:t>Comme demandé à la dernière réunion du GCNT, il existe maintenant un système de postage direct des contributions en ligne. Ce système permet aux Membres de l'UIT-T de réserver des numéros de contribution et de télécharger, et éventuellement de modifier, les contributions directement sur le serveur web de l'UIT-T. Il complète le système traditionnel utilisant le courrier électronique, que vous pourrez, si vous le souhaitez, continuer à utiliser</w:t>
      </w:r>
      <w:r>
        <w:rPr>
          <w:szCs w:val="24"/>
        </w:rPr>
        <w:t xml:space="preserve"> à l'adresse suivante: </w:t>
      </w:r>
      <w:hyperlink r:id="rId12" w:history="1">
        <w:r w:rsidRPr="00C34EDE">
          <w:rPr>
            <w:rStyle w:val="Hyperlink"/>
          </w:rPr>
          <w:t>tsbsg11</w:t>
        </w:r>
        <w:r w:rsidRPr="00E074C3">
          <w:rPr>
            <w:rStyle w:val="Hyperlink"/>
          </w:rPr>
          <w:t>@itu.int</w:t>
        </w:r>
      </w:hyperlink>
      <w:r w:rsidR="007E3C5C">
        <w:rPr>
          <w:szCs w:val="24"/>
        </w:rPr>
        <w:t>. Vous trouverez de plus amples informations et des lignes directrices relatives à ce nouveau système de postage direct à l'adresse suivante</w:t>
      </w:r>
      <w:r w:rsidR="000A2C5E">
        <w:rPr>
          <w:szCs w:val="24"/>
        </w:rPr>
        <w:t>:</w:t>
      </w:r>
      <w:r w:rsidR="007E3C5C">
        <w:rPr>
          <w:szCs w:val="24"/>
        </w:rPr>
        <w:t xml:space="preserve"> </w:t>
      </w:r>
      <w:hyperlink r:id="rId13" w:history="1">
        <w:r w:rsidRPr="00101618">
          <w:rPr>
            <w:rStyle w:val="Hyperlink"/>
          </w:rPr>
          <w:t>http://itu.int/net/ITU-T/ddp/Default.aspx?groupid=7279</w:t>
        </w:r>
      </w:hyperlink>
      <w:r w:rsidR="003D1EFF" w:rsidRPr="003D1EFF">
        <w:rPr>
          <w:szCs w:val="24"/>
        </w:rPr>
        <w:t>.</w:t>
      </w:r>
    </w:p>
    <w:p w:rsidR="007E3C5C" w:rsidRPr="005C51C1" w:rsidRDefault="007E3C5C" w:rsidP="000C4682">
      <w:r w:rsidRPr="005C51C1">
        <w:t>Nous vous engageons vivement à utiliser l</w:t>
      </w:r>
      <w:r>
        <w:t>'</w:t>
      </w:r>
      <w:r w:rsidRPr="005C51C1">
        <w:t>ensemble de gabarits (</w:t>
      </w:r>
      <w:proofErr w:type="spellStart"/>
      <w:r w:rsidRPr="005C51C1">
        <w:rPr>
          <w:i/>
          <w:iCs/>
        </w:rPr>
        <w:t>templates</w:t>
      </w:r>
      <w:proofErr w:type="spellEnd"/>
      <w:r w:rsidR="00AC3582">
        <w:t>) qui a été mis au point </w:t>
      </w:r>
      <w:r w:rsidRPr="005C51C1">
        <w:t>afin d</w:t>
      </w:r>
      <w:r>
        <w:t>'</w:t>
      </w:r>
      <w:r w:rsidRPr="005C51C1">
        <w:t>harmoniser la présentation des documents de l</w:t>
      </w:r>
      <w:r>
        <w:t>'</w:t>
      </w:r>
      <w:r w:rsidRPr="005C51C1">
        <w:t>UIT-T, ce q</w:t>
      </w:r>
      <w:r w:rsidR="00AC3582">
        <w:t>ui facilitera la production des </w:t>
      </w:r>
      <w:r w:rsidRPr="005C51C1">
        <w:t>documents et la rendra donc plus efficace. Ces gabarits sont accessibles sur la page web de chaque commission d</w:t>
      </w:r>
      <w:r>
        <w:t>'</w:t>
      </w:r>
      <w:r w:rsidRPr="005C51C1">
        <w:t>études de l</w:t>
      </w:r>
      <w:r>
        <w:t>'</w:t>
      </w:r>
      <w:r w:rsidRPr="005C51C1">
        <w:t>UIT-T, sous "</w:t>
      </w:r>
      <w:proofErr w:type="spellStart"/>
      <w:r>
        <w:t>Delegate</w:t>
      </w:r>
      <w:proofErr w:type="spellEnd"/>
      <w:r>
        <w:t xml:space="preserve"> </w:t>
      </w:r>
      <w:proofErr w:type="spellStart"/>
      <w:r>
        <w:t>resources</w:t>
      </w:r>
      <w:proofErr w:type="spellEnd"/>
      <w:r w:rsidRPr="005C51C1">
        <w:t>" (</w:t>
      </w:r>
      <w:hyperlink r:id="rId14" w:history="1">
        <w:r w:rsidRPr="005C51C1">
          <w:rPr>
            <w:rStyle w:val="Hyperlink"/>
          </w:rPr>
          <w:t>http://www.itu.int/ITU</w:t>
        </w:r>
        <w:r w:rsidRPr="005C51C1">
          <w:rPr>
            <w:rStyle w:val="Hyperlink"/>
          </w:rPr>
          <w:noBreakHyphen/>
          <w:t>T/studygroups/templates/index.html</w:t>
        </w:r>
      </w:hyperlink>
      <w:r w:rsidRPr="005C51C1">
        <w:t xml:space="preserve">). </w:t>
      </w:r>
    </w:p>
    <w:p w:rsidR="007E3C5C" w:rsidRPr="005C51C1" w:rsidRDefault="007E3C5C" w:rsidP="000C4682">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7E3C5C" w:rsidRPr="005C51C1" w:rsidRDefault="00DE09CC" w:rsidP="000C4682">
      <w:r>
        <w:t>7</w:t>
      </w:r>
      <w:r w:rsidR="007E3C5C" w:rsidRPr="005C51C1">
        <w:tab/>
        <w:t>Afin de permettre au TSB de prendre les dispositions nécessaires concernant la documentation et l</w:t>
      </w:r>
      <w:r w:rsidR="007E3C5C">
        <w:t>'</w:t>
      </w:r>
      <w:r w:rsidR="007E3C5C" w:rsidRPr="005C51C1">
        <w:t xml:space="preserve">organisation de la réunion, je vous saurais gré de bien vouloir me faire parvenir par lettre, par </w:t>
      </w:r>
      <w:r w:rsidR="007E3C5C">
        <w:t xml:space="preserve">télécopie </w:t>
      </w:r>
      <w:r w:rsidR="007E3C5C" w:rsidRPr="005C51C1">
        <w:t>(N° +41 22 730 5853) ou par courrier électronique (</w:t>
      </w:r>
      <w:hyperlink r:id="rId15" w:history="1">
        <w:r w:rsidR="007E3C5C" w:rsidRPr="005C51C1">
          <w:rPr>
            <w:rStyle w:val="Hyperlink"/>
          </w:rPr>
          <w:t>tsbreg@itu.int</w:t>
        </w:r>
      </w:hyperlink>
      <w:r w:rsidR="007E3C5C" w:rsidRPr="005C51C1">
        <w:t xml:space="preserve">), dès que possible et </w:t>
      </w:r>
      <w:r w:rsidR="007E3C5C" w:rsidRPr="005C51C1">
        <w:rPr>
          <w:b/>
        </w:rPr>
        <w:t>au plus tard le </w:t>
      </w:r>
      <w:r>
        <w:rPr>
          <w:b/>
        </w:rPr>
        <w:t>17 janvier 2012</w:t>
      </w:r>
      <w:r w:rsidR="007E3C5C" w:rsidRPr="00117882">
        <w:rPr>
          <w:bCs/>
        </w:rPr>
        <w:t>,</w:t>
      </w:r>
      <w:r w:rsidR="007E3C5C" w:rsidRPr="005C51C1">
        <w:t xml:space="preserve"> la liste des personnes qui représenteront votre Administration, Membre de Secteur, Associé, </w:t>
      </w:r>
      <w:r w:rsidR="007E3C5C">
        <w:t xml:space="preserve">établissement universitaire, </w:t>
      </w:r>
      <w:r w:rsidR="007E3C5C" w:rsidRPr="005C51C1">
        <w:t xml:space="preserve">organisation régionale et/ou internationale ou autre entité. Les administrations sont invitées à indiquer également le nom du Chef de délégation (et du Chef adjoint, le cas échéant). </w:t>
      </w:r>
    </w:p>
    <w:p w:rsidR="007E3C5C" w:rsidRDefault="003D1EFF" w:rsidP="000C4682">
      <w:pPr>
        <w:ind w:right="-426"/>
        <w:rPr>
          <w:b/>
          <w:bCs/>
          <w:szCs w:val="24"/>
        </w:rPr>
      </w:pPr>
      <w:r>
        <w:t>8</w:t>
      </w:r>
      <w:r w:rsidR="007E3C5C" w:rsidRPr="005C51C1">
        <w:tab/>
      </w:r>
      <w:r w:rsidR="007E3C5C" w:rsidRPr="005C51C1">
        <w:rPr>
          <w:b/>
          <w:bCs/>
        </w:rPr>
        <w:t>Veuillez noter que</w:t>
      </w:r>
      <w:r w:rsidR="007E3C5C">
        <w:rPr>
          <w:b/>
          <w:bCs/>
        </w:rPr>
        <w:t xml:space="preserve"> la pré</w:t>
      </w:r>
      <w:r w:rsidR="007E3C5C" w:rsidRPr="005C51C1">
        <w:rPr>
          <w:b/>
          <w:bCs/>
        </w:rPr>
        <w:t>inscription des participants aux réunions de l</w:t>
      </w:r>
      <w:r w:rsidR="007E3C5C">
        <w:rPr>
          <w:b/>
          <w:bCs/>
        </w:rPr>
        <w:t>'UIT</w:t>
      </w:r>
      <w:r w:rsidR="007E3C5C">
        <w:rPr>
          <w:b/>
          <w:bCs/>
        </w:rPr>
        <w:noBreakHyphen/>
        <w:t>T se </w:t>
      </w:r>
      <w:r w:rsidR="007E3C5C" w:rsidRPr="005C51C1">
        <w:rPr>
          <w:b/>
          <w:bCs/>
        </w:rPr>
        <w:t>f</w:t>
      </w:r>
      <w:r w:rsidR="007E3C5C">
        <w:rPr>
          <w:b/>
          <w:bCs/>
        </w:rPr>
        <w:t>ait </w:t>
      </w:r>
      <w:r w:rsidR="007E3C5C" w:rsidRPr="005C51C1">
        <w:rPr>
          <w:b/>
          <w:bCs/>
        </w:rPr>
        <w:t xml:space="preserve">exclusivement </w:t>
      </w:r>
      <w:r w:rsidR="007E3C5C" w:rsidRPr="005C51C1">
        <w:rPr>
          <w:b/>
          <w:bCs/>
          <w:i/>
        </w:rPr>
        <w:t>en ligne</w:t>
      </w:r>
      <w:r w:rsidR="007E3C5C" w:rsidRPr="005C51C1">
        <w:rPr>
          <w:b/>
          <w:bCs/>
        </w:rPr>
        <w:t xml:space="preserve"> sur le site web de l</w:t>
      </w:r>
      <w:r w:rsidR="007E3C5C">
        <w:rPr>
          <w:b/>
          <w:bCs/>
        </w:rPr>
        <w:t>'</w:t>
      </w:r>
      <w:r w:rsidR="007E3C5C" w:rsidRPr="005C51C1">
        <w:rPr>
          <w:b/>
          <w:bCs/>
        </w:rPr>
        <w:t xml:space="preserve">UIT-T </w:t>
      </w:r>
      <w:r w:rsidR="007E3C5C" w:rsidRPr="0030356E">
        <w:rPr>
          <w:b/>
          <w:bCs/>
          <w:szCs w:val="24"/>
        </w:rPr>
        <w:t>(</w:t>
      </w:r>
      <w:hyperlink r:id="rId16" w:history="1">
        <w:r w:rsidRPr="00101618">
          <w:rPr>
            <w:rStyle w:val="Hyperlink"/>
            <w:b/>
            <w:bCs/>
          </w:rPr>
          <w:t>http://itu.int/ITU-T/studygroups/com11</w:t>
        </w:r>
      </w:hyperlink>
      <w:r w:rsidR="007E3C5C" w:rsidRPr="0030356E">
        <w:rPr>
          <w:b/>
          <w:bCs/>
          <w:szCs w:val="24"/>
        </w:rPr>
        <w:t>).</w:t>
      </w:r>
    </w:p>
    <w:p w:rsidR="007E3C5C" w:rsidRDefault="003D1EFF" w:rsidP="000C4682">
      <w:pPr>
        <w:ind w:right="-426"/>
        <w:rPr>
          <w:szCs w:val="24"/>
        </w:rPr>
      </w:pPr>
      <w:r>
        <w:rPr>
          <w:szCs w:val="24"/>
        </w:rPr>
        <w:t>9</w:t>
      </w:r>
      <w:r>
        <w:rPr>
          <w:szCs w:val="24"/>
        </w:rPr>
        <w:tab/>
        <w:t>En accord avec son Président</w:t>
      </w:r>
      <w:r w:rsidR="007E3C5C">
        <w:rPr>
          <w:szCs w:val="24"/>
        </w:rPr>
        <w:t xml:space="preserve">, M. </w:t>
      </w:r>
      <w:r w:rsidR="00DE09CC">
        <w:rPr>
          <w:szCs w:val="24"/>
        </w:rPr>
        <w:t>Wei Feng</w:t>
      </w:r>
      <w:r w:rsidR="007E3C5C">
        <w:rPr>
          <w:szCs w:val="24"/>
        </w:rPr>
        <w:t xml:space="preserve">, la Commission d'études </w:t>
      </w:r>
      <w:r w:rsidR="00DE09CC">
        <w:rPr>
          <w:szCs w:val="24"/>
        </w:rPr>
        <w:t>11</w:t>
      </w:r>
      <w:r w:rsidR="007E3C5C">
        <w:rPr>
          <w:szCs w:val="24"/>
        </w:rPr>
        <w:t xml:space="preserve"> prendra de nouvelles mesures pour travailler dans un environnem</w:t>
      </w:r>
      <w:r w:rsidR="000D1B7A">
        <w:rPr>
          <w:szCs w:val="24"/>
        </w:rPr>
        <w:t>ent entièrement électronique. Les</w:t>
      </w:r>
      <w:r w:rsidR="007E3C5C">
        <w:rPr>
          <w:szCs w:val="24"/>
        </w:rPr>
        <w:t xml:space="preserve"> réunion</w:t>
      </w:r>
      <w:r w:rsidR="000D1B7A">
        <w:rPr>
          <w:szCs w:val="24"/>
        </w:rPr>
        <w:t>s des groupes de travail du 17 février 2012 se dérouleront</w:t>
      </w:r>
      <w:r w:rsidR="007E3C5C">
        <w:rPr>
          <w:szCs w:val="24"/>
        </w:rPr>
        <w:t xml:space="preserve"> donc sans document papier.</w:t>
      </w:r>
    </w:p>
    <w:p w:rsidR="007E3C5C" w:rsidRDefault="007E3C5C" w:rsidP="000C4682">
      <w:pPr>
        <w:ind w:right="-426"/>
        <w:rPr>
          <w:szCs w:val="24"/>
        </w:rPr>
      </w:pPr>
      <w:r>
        <w:rPr>
          <w:szCs w:val="24"/>
        </w:rPr>
        <w:t>Des imprimantes sont mises à la disposition des délégués qui souhaitent imprimer des documents, au cybercafé</w:t>
      </w:r>
      <w:r w:rsidR="00EA6AE6">
        <w:rPr>
          <w:szCs w:val="24"/>
        </w:rPr>
        <w:t>,</w:t>
      </w:r>
      <w:r w:rsidR="00EA6AE6" w:rsidRPr="00EA6AE6">
        <w:rPr>
          <w:szCs w:val="24"/>
        </w:rPr>
        <w:t xml:space="preserve"> </w:t>
      </w:r>
      <w:r w:rsidR="00EA6AE6">
        <w:rPr>
          <w:szCs w:val="24"/>
        </w:rPr>
        <w:t>au deuxième sous-sol de la Tour et</w:t>
      </w:r>
      <w:r>
        <w:rPr>
          <w:szCs w:val="24"/>
        </w:rPr>
        <w:t xml:space="preserve"> au </w:t>
      </w:r>
      <w:r w:rsidR="00DE09CC" w:rsidRPr="00EA6AE6">
        <w:rPr>
          <w:b/>
          <w:bCs/>
          <w:szCs w:val="24"/>
        </w:rPr>
        <w:t>rez-de-chaussée</w:t>
      </w:r>
      <w:r w:rsidR="00DE09CC">
        <w:rPr>
          <w:szCs w:val="24"/>
        </w:rPr>
        <w:t xml:space="preserve"> </w:t>
      </w:r>
      <w:r>
        <w:rPr>
          <w:szCs w:val="24"/>
        </w:rPr>
        <w:t xml:space="preserve">du bâtiment </w:t>
      </w:r>
      <w:proofErr w:type="spellStart"/>
      <w:r>
        <w:rPr>
          <w:szCs w:val="24"/>
        </w:rPr>
        <w:t>Montbrillant</w:t>
      </w:r>
      <w:proofErr w:type="spellEnd"/>
      <w:r>
        <w:rPr>
          <w:szCs w:val="24"/>
        </w:rPr>
        <w:t>. De plus, le Service d'assistance informatique (</w:t>
      </w:r>
      <w:hyperlink r:id="rId17" w:history="1">
        <w:r w:rsidRPr="00506435">
          <w:rPr>
            <w:rStyle w:val="Hyperlink"/>
            <w:szCs w:val="24"/>
          </w:rPr>
          <w:t>helpdesk@itu.int</w:t>
        </w:r>
      </w:hyperlink>
      <w:r>
        <w:rPr>
          <w:szCs w:val="24"/>
        </w:rPr>
        <w:t>) a préparé un certain nombre d'ordinateurs portables pour les personnes qui n'en ont pas.</w:t>
      </w:r>
    </w:p>
    <w:p w:rsidR="00B70EFD" w:rsidRDefault="003D1EFF" w:rsidP="000C4682">
      <w:pPr>
        <w:ind w:right="-426"/>
        <w:rPr>
          <w:szCs w:val="24"/>
        </w:rPr>
      </w:pPr>
      <w:r>
        <w:t>10</w:t>
      </w:r>
      <w:r w:rsidR="00B70EFD">
        <w:tab/>
        <w:t>D</w:t>
      </w:r>
      <w:r w:rsidR="00B70EFD" w:rsidRPr="00AF57CD">
        <w:t xml:space="preserve">es consignes électroniques sont mises à disposition au rez-de-chaussée du bâtiment </w:t>
      </w:r>
      <w:proofErr w:type="spellStart"/>
      <w:r w:rsidR="00B70EFD" w:rsidRPr="00AF57CD">
        <w:t>Montbrillant</w:t>
      </w:r>
      <w:proofErr w:type="spellEnd"/>
      <w:r w:rsidR="00B70EFD" w:rsidRPr="00AF57CD">
        <w:t>. Le casier s'ouvre et se ferme au moyen de votre badge RFID de l'UIT. Votre casier n'est disponible que pendant la durée de la réunion à laquelle vous participez; ve</w:t>
      </w:r>
      <w:r w:rsidR="00B70EFD">
        <w:t>uillez donc le libérer avant 23 h </w:t>
      </w:r>
      <w:r w:rsidR="00B70EFD" w:rsidRPr="00AF57CD">
        <w:t>59 le dernier jour de la réunion.</w:t>
      </w:r>
    </w:p>
    <w:p w:rsidR="007E3C5C" w:rsidRPr="005C51C1" w:rsidRDefault="007E3C5C" w:rsidP="006F1C79">
      <w:pPr>
        <w:keepNext/>
        <w:keepLines/>
      </w:pPr>
      <w:r w:rsidRPr="005C51C1">
        <w:lastRenderedPageBreak/>
        <w:t>1</w:t>
      </w:r>
      <w:r w:rsidR="003D1EFF">
        <w:t>1</w:t>
      </w:r>
      <w:r w:rsidRPr="005C51C1">
        <w:tab/>
        <w:t xml:space="preserve">Des équipements de réseau local sans fil sont à la disposition des délégués dans </w:t>
      </w:r>
      <w:r w:rsidR="00B70EFD">
        <w:t>tous les</w:t>
      </w:r>
      <w:r w:rsidRPr="005C51C1">
        <w:t xml:space="preserve"> espaces de conférence de l</w:t>
      </w:r>
      <w:r>
        <w:t>'</w:t>
      </w:r>
      <w:r w:rsidRPr="005C51C1">
        <w:t>UIT et dans le bâtiment du CICG (Centre international de conférences de Genève). L</w:t>
      </w:r>
      <w:r>
        <w:t>'</w:t>
      </w:r>
      <w:r w:rsidRPr="005C51C1">
        <w:t>accès au réseau câblé continue d</w:t>
      </w:r>
      <w:r>
        <w:t>'</w:t>
      </w:r>
      <w:r w:rsidRPr="005C51C1">
        <w:t xml:space="preserve">être disponible dans le bâtiment </w:t>
      </w:r>
      <w:proofErr w:type="spellStart"/>
      <w:r w:rsidRPr="005C51C1">
        <w:t>Montbrillant</w:t>
      </w:r>
      <w:proofErr w:type="spellEnd"/>
      <w:r w:rsidRPr="005C51C1">
        <w:t xml:space="preserve"> de l</w:t>
      </w:r>
      <w:r>
        <w:t>'</w:t>
      </w:r>
      <w:r w:rsidRPr="005C51C1">
        <w:t>UIT. Vous trouverez de plus amples renseignements sur le site web de l</w:t>
      </w:r>
      <w:r>
        <w:t>'</w:t>
      </w:r>
      <w:r w:rsidRPr="005C51C1">
        <w:t>UIT-T (</w:t>
      </w:r>
      <w:hyperlink r:id="rId18" w:history="1">
        <w:r w:rsidRPr="005C51C1">
          <w:rPr>
            <w:rStyle w:val="Hyperlink"/>
          </w:rPr>
          <w:t>http://www.itu.int/ITU-T/edh/faqs-support.html</w:t>
        </w:r>
      </w:hyperlink>
      <w:r w:rsidRPr="005C51C1">
        <w:t>).</w:t>
      </w:r>
      <w:r w:rsidR="00EA6AE6">
        <w:t xml:space="preserve"> </w:t>
      </w:r>
      <w:r w:rsidR="00EA6AE6" w:rsidRPr="00AF57CD">
        <w:t xml:space="preserve">(L'accès au réseau câblé continue d'être disponible dans le bâtiment </w:t>
      </w:r>
      <w:proofErr w:type="spellStart"/>
      <w:r w:rsidR="00EA6AE6" w:rsidRPr="00AF57CD">
        <w:t>Montbrillant</w:t>
      </w:r>
      <w:proofErr w:type="spellEnd"/>
      <w:r w:rsidR="00EA6AE6" w:rsidRPr="00AF57CD">
        <w:t xml:space="preserve"> de l'UIT.)</w:t>
      </w:r>
    </w:p>
    <w:p w:rsidR="007E3C5C" w:rsidRPr="005C51C1" w:rsidRDefault="007E3C5C" w:rsidP="000C4682">
      <w:r w:rsidRPr="005C51C1">
        <w:t>1</w:t>
      </w:r>
      <w:r w:rsidR="003D1EFF">
        <w:t>2</w:t>
      </w:r>
      <w:r w:rsidRPr="005C51C1">
        <w:tab/>
        <w:t>A toutes fins utiles, vous trouverez un formulaire de confirmation d</w:t>
      </w:r>
      <w:r>
        <w:t>'</w:t>
      </w:r>
      <w:r w:rsidRPr="005C51C1">
        <w:t>hôtel dans l</w:t>
      </w:r>
      <w:r>
        <w:t>'</w:t>
      </w:r>
      <w:r w:rsidRPr="005C51C1">
        <w:rPr>
          <w:b/>
        </w:rPr>
        <w:t>Annexe</w:t>
      </w:r>
      <w:r w:rsidRPr="005C51C1">
        <w:t> </w:t>
      </w:r>
      <w:r w:rsidR="00816C40">
        <w:rPr>
          <w:b/>
          <w:bCs/>
        </w:rPr>
        <w:t>2</w:t>
      </w:r>
      <w:r w:rsidRPr="005C51C1">
        <w:rPr>
          <w:b/>
          <w:bCs/>
        </w:rPr>
        <w:t xml:space="preserve"> </w:t>
      </w:r>
      <w:r w:rsidRPr="005C51C1">
        <w:t>(voir </w:t>
      </w:r>
      <w:hyperlink r:id="rId19" w:history="1">
        <w:r w:rsidRPr="005C51C1">
          <w:rPr>
            <w:rStyle w:val="Hyperlink"/>
          </w:rPr>
          <w:t>http://www.itu.int/travel/</w:t>
        </w:r>
      </w:hyperlink>
      <w:r w:rsidRPr="005C51C1">
        <w:t xml:space="preserve"> pour la liste des hôtels).</w:t>
      </w:r>
    </w:p>
    <w:p w:rsidR="00816C40" w:rsidRPr="00AF57CD" w:rsidRDefault="007E3C5C" w:rsidP="000C4682">
      <w:pPr>
        <w:rPr>
          <w:u w:val="single"/>
        </w:rPr>
      </w:pPr>
      <w:r w:rsidRPr="005C51C1">
        <w:t>1</w:t>
      </w:r>
      <w:r w:rsidR="003D1EFF">
        <w:t>3</w:t>
      </w:r>
      <w:r w:rsidRPr="005C51C1">
        <w:tab/>
      </w:r>
      <w:r w:rsidR="00816C40" w:rsidRPr="00AF57CD">
        <w:t xml:space="preserve">Nous tenons à vous rappeler que pour les ressortissants de certains pays, l'entrée et le séjour, quelle qu'en soit la durée, sur le territoire de la Suisse sont soumis à l'obtention d'un visa. </w:t>
      </w:r>
      <w:r w:rsidR="00816C40" w:rsidRPr="00A559DC">
        <w:rPr>
          <w:b/>
          <w:bCs/>
        </w:rPr>
        <w:t>Ce visa doit être demandé au moins quatre (4) semaines avant le début de la réunion</w:t>
      </w:r>
      <w:r w:rsidR="00816C40" w:rsidRPr="00AF57CD">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quatre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00816C40" w:rsidRPr="00AF57CD">
        <w:rPr>
          <w:b/>
          <w:bCs/>
        </w:rPr>
        <w:t>"demande de visa"</w:t>
      </w:r>
      <w:r w:rsidR="00816C40" w:rsidRPr="00AF57CD">
        <w:t>, par télécopie (N°: +41 22 730 5853) ou par courrier électronique (</w:t>
      </w:r>
      <w:hyperlink r:id="rId20" w:history="1">
        <w:r w:rsidR="00816C40" w:rsidRPr="00AF57CD">
          <w:rPr>
            <w:rStyle w:val="Hyperlink"/>
          </w:rPr>
          <w:t>tsbreg@itu.int</w:t>
        </w:r>
      </w:hyperlink>
      <w:r w:rsidR="00816C40" w:rsidRPr="00AF57CD">
        <w:t xml:space="preserve">). </w:t>
      </w:r>
    </w:p>
    <w:p w:rsidR="00816C40" w:rsidRPr="00AF57CD" w:rsidRDefault="00816C40" w:rsidP="000C4682">
      <w:r w:rsidRPr="00AF57CD">
        <w:t>Veuillez agréer, Madame, Monsieur, l'assurance de ma considération distinguée.</w:t>
      </w:r>
    </w:p>
    <w:p w:rsidR="00816C40" w:rsidRDefault="00816C40" w:rsidP="000C4682"/>
    <w:p w:rsidR="00816C40" w:rsidRDefault="00816C40" w:rsidP="000C4682"/>
    <w:p w:rsidR="00816C40" w:rsidRDefault="00816C40" w:rsidP="000C4682"/>
    <w:p w:rsidR="007E3C5C" w:rsidRPr="005C51C1" w:rsidRDefault="00816C40" w:rsidP="000C4682">
      <w:r w:rsidRPr="00AF57CD">
        <w:t>Malcolm Johnson</w:t>
      </w:r>
      <w:r w:rsidRPr="00AF57CD">
        <w:br/>
        <w:t>Directeur du Bureau de la</w:t>
      </w:r>
      <w:r w:rsidRPr="00AF57CD">
        <w:br/>
        <w:t>normalisation des télécommunications</w:t>
      </w:r>
    </w:p>
    <w:p w:rsidR="007E3C5C" w:rsidRPr="005C51C1" w:rsidRDefault="007E3C5C" w:rsidP="000C4682">
      <w:pPr>
        <w:tabs>
          <w:tab w:val="left" w:pos="1296"/>
          <w:tab w:val="left" w:pos="1418"/>
          <w:tab w:val="left" w:pos="2160"/>
          <w:tab w:val="left" w:pos="3024"/>
        </w:tabs>
        <w:ind w:right="92"/>
        <w:rPr>
          <w:u w:val="single"/>
        </w:rPr>
      </w:pPr>
    </w:p>
    <w:p w:rsidR="007E3C5C" w:rsidRPr="005C51C1" w:rsidRDefault="007E3C5C" w:rsidP="000C4682">
      <w:pPr>
        <w:tabs>
          <w:tab w:val="left" w:pos="1296"/>
          <w:tab w:val="left" w:pos="1418"/>
          <w:tab w:val="left" w:pos="2160"/>
          <w:tab w:val="left" w:pos="3024"/>
        </w:tabs>
        <w:ind w:right="92"/>
        <w:rPr>
          <w:u w:val="single"/>
        </w:rPr>
      </w:pPr>
    </w:p>
    <w:p w:rsidR="00AC3582" w:rsidRPr="000C4682" w:rsidRDefault="007E3C5C" w:rsidP="000A2C5E">
      <w:pPr>
        <w:tabs>
          <w:tab w:val="left" w:pos="1296"/>
          <w:tab w:val="left" w:pos="1418"/>
          <w:tab w:val="left" w:pos="2160"/>
          <w:tab w:val="left" w:pos="3024"/>
        </w:tabs>
        <w:ind w:right="92"/>
        <w:rPr>
          <w:b/>
          <w:lang w:val="en-US"/>
        </w:rPr>
        <w:sectPr w:rsidR="00AC3582" w:rsidRPr="000C4682" w:rsidSect="008E435F">
          <w:headerReference w:type="even" r:id="rId21"/>
          <w:headerReference w:type="default" r:id="rId22"/>
          <w:footerReference w:type="even" r:id="rId23"/>
          <w:footerReference w:type="default" r:id="rId24"/>
          <w:headerReference w:type="first" r:id="rId25"/>
          <w:footerReference w:type="first" r:id="rId26"/>
          <w:pgSz w:w="11907" w:h="16727" w:code="9"/>
          <w:pgMar w:top="1134" w:right="1089" w:bottom="1134" w:left="1089" w:header="567" w:footer="567" w:gutter="0"/>
          <w:paperSrc w:first="15" w:other="15"/>
          <w:cols w:space="720"/>
          <w:titlePg/>
          <w:docGrid w:linePitch="326"/>
        </w:sectPr>
      </w:pPr>
      <w:r w:rsidRPr="000C4682">
        <w:rPr>
          <w:b/>
          <w:lang w:val="en-US"/>
        </w:rPr>
        <w:t>Annexes</w:t>
      </w:r>
      <w:r w:rsidR="000D1B7A" w:rsidRPr="000C4682">
        <w:rPr>
          <w:b/>
          <w:lang w:val="en-US"/>
        </w:rPr>
        <w:t xml:space="preserve">: </w:t>
      </w:r>
      <w:r w:rsidR="000D1B7A" w:rsidRPr="000A2C5E">
        <w:rPr>
          <w:bCs/>
          <w:lang w:val="en-US"/>
        </w:rPr>
        <w:t>2</w:t>
      </w:r>
    </w:p>
    <w:p w:rsidR="0009739F" w:rsidRPr="0009739F" w:rsidRDefault="0009739F" w:rsidP="000C4682">
      <w:pPr>
        <w:spacing w:before="0"/>
        <w:ind w:right="91"/>
        <w:jc w:val="center"/>
        <w:rPr>
          <w:lang w:val="en-US"/>
        </w:rPr>
      </w:pPr>
      <w:r w:rsidRPr="0009739F">
        <w:rPr>
          <w:bCs/>
          <w:lang w:val="en-US"/>
        </w:rPr>
        <w:lastRenderedPageBreak/>
        <w:t>ANNEX 1</w:t>
      </w:r>
      <w:r w:rsidRPr="0009739F">
        <w:rPr>
          <w:b/>
          <w:lang w:val="en-US"/>
        </w:rPr>
        <w:br/>
      </w:r>
      <w:r w:rsidRPr="0009739F">
        <w:rPr>
          <w:lang w:val="en-US"/>
        </w:rPr>
        <w:t>(to TSB Collective letter 10/11)</w:t>
      </w:r>
    </w:p>
    <w:p w:rsidR="0009739F" w:rsidRPr="0009739F" w:rsidRDefault="0009739F" w:rsidP="000C4682">
      <w:pPr>
        <w:ind w:right="91"/>
        <w:jc w:val="center"/>
        <w:rPr>
          <w:b/>
          <w:bCs/>
          <w:lang w:val="en-US"/>
        </w:rPr>
      </w:pPr>
      <w:r w:rsidRPr="0009739F">
        <w:rPr>
          <w:b/>
          <w:bCs/>
          <w:lang w:val="en-US"/>
        </w:rPr>
        <w:t xml:space="preserve">Meeting of Working Parties </w:t>
      </w:r>
      <w:r w:rsidRPr="0009739F">
        <w:rPr>
          <w:b/>
          <w:lang w:val="en-US"/>
        </w:rPr>
        <w:t xml:space="preserve">1, </w:t>
      </w:r>
      <w:r w:rsidRPr="0009739F">
        <w:rPr>
          <w:b/>
          <w:bCs/>
          <w:lang w:val="en-US"/>
        </w:rPr>
        <w:t xml:space="preserve">2, 3 and </w:t>
      </w:r>
      <w:r w:rsidRPr="0009739F">
        <w:rPr>
          <w:b/>
          <w:lang w:val="en-US"/>
        </w:rPr>
        <w:t>4/11</w:t>
      </w:r>
      <w:r w:rsidRPr="0009739F">
        <w:rPr>
          <w:b/>
          <w:bCs/>
          <w:lang w:val="en-US"/>
        </w:rPr>
        <w:t xml:space="preserve"> </w:t>
      </w:r>
      <w:r w:rsidRPr="0009739F">
        <w:rPr>
          <w:b/>
          <w:bCs/>
          <w:lang w:val="en-US"/>
        </w:rPr>
        <w:br/>
        <w:t xml:space="preserve">Geneva, 17 February </w:t>
      </w:r>
      <w:r w:rsidRPr="0009739F">
        <w:rPr>
          <w:b/>
          <w:lang w:val="en-US"/>
        </w:rPr>
        <w:t>(consecutively from 1130 hours onwards</w:t>
      </w:r>
      <w:r w:rsidRPr="0009739F">
        <w:rPr>
          <w:b/>
          <w:bCs/>
          <w:lang w:val="en-US"/>
        </w:rPr>
        <w:t>)</w:t>
      </w:r>
    </w:p>
    <w:p w:rsidR="0009739F" w:rsidRDefault="0009739F" w:rsidP="000C4682">
      <w:pPr>
        <w:ind w:right="91"/>
        <w:jc w:val="center"/>
        <w:rPr>
          <w:b/>
          <w:bCs/>
          <w:lang w:val="fr-CH"/>
        </w:rPr>
      </w:pPr>
      <w:proofErr w:type="spellStart"/>
      <w:r>
        <w:rPr>
          <w:b/>
          <w:bCs/>
          <w:lang w:val="fr-CH"/>
        </w:rPr>
        <w:t>Draft</w:t>
      </w:r>
      <w:proofErr w:type="spellEnd"/>
      <w:r>
        <w:rPr>
          <w:b/>
          <w:bCs/>
          <w:lang w:val="fr-CH"/>
        </w:rPr>
        <w:t xml:space="preserve"> Agenda</w:t>
      </w:r>
    </w:p>
    <w:p w:rsidR="0009739F" w:rsidRDefault="0009739F" w:rsidP="000C4682">
      <w:pPr>
        <w:numPr>
          <w:ilvl w:val="0"/>
          <w:numId w:val="5"/>
        </w:numPr>
        <w:tabs>
          <w:tab w:val="clear" w:pos="794"/>
          <w:tab w:val="clear" w:pos="1191"/>
          <w:tab w:val="clear" w:pos="1588"/>
          <w:tab w:val="clear" w:pos="1985"/>
        </w:tabs>
        <w:overflowPunct/>
        <w:autoSpaceDE/>
        <w:autoSpaceDN/>
        <w:adjustRightInd/>
        <w:ind w:right="91"/>
        <w:textAlignment w:val="auto"/>
      </w:pPr>
      <w:proofErr w:type="spellStart"/>
      <w:r>
        <w:t>Opening</w:t>
      </w:r>
      <w:proofErr w:type="spellEnd"/>
      <w:r>
        <w:t xml:space="preserve"> </w:t>
      </w:r>
      <w:proofErr w:type="spellStart"/>
      <w:r>
        <w:t>remarks</w:t>
      </w:r>
      <w:proofErr w:type="spellEnd"/>
      <w:r>
        <w:t xml:space="preserve"> and </w:t>
      </w:r>
      <w:proofErr w:type="spellStart"/>
      <w:r>
        <w:t>welcome</w:t>
      </w:r>
      <w:proofErr w:type="spellEnd"/>
    </w:p>
    <w:p w:rsidR="0009739F" w:rsidRDefault="0009739F" w:rsidP="000C4682">
      <w:pPr>
        <w:numPr>
          <w:ilvl w:val="0"/>
          <w:numId w:val="5"/>
        </w:numPr>
        <w:tabs>
          <w:tab w:val="clear" w:pos="794"/>
          <w:tab w:val="clear" w:pos="1191"/>
          <w:tab w:val="clear" w:pos="1588"/>
          <w:tab w:val="clear" w:pos="1985"/>
        </w:tabs>
        <w:overflowPunct/>
        <w:autoSpaceDE/>
        <w:autoSpaceDN/>
        <w:adjustRightInd/>
        <w:ind w:right="91"/>
        <w:textAlignment w:val="auto"/>
        <w:rPr>
          <w:lang w:val="en-US"/>
        </w:rPr>
      </w:pPr>
      <w:r w:rsidRPr="0009739F">
        <w:rPr>
          <w:lang w:val="en-US"/>
        </w:rPr>
        <w:t>Approval of the agenda for the plenary meetings of Working Parties 1, 2, 3 and 4/11</w:t>
      </w:r>
    </w:p>
    <w:p w:rsidR="0009739F" w:rsidRDefault="0009739F" w:rsidP="000C4682">
      <w:pPr>
        <w:numPr>
          <w:ilvl w:val="0"/>
          <w:numId w:val="5"/>
        </w:numPr>
        <w:tabs>
          <w:tab w:val="clear" w:pos="794"/>
          <w:tab w:val="clear" w:pos="1191"/>
          <w:tab w:val="clear" w:pos="1588"/>
          <w:tab w:val="clear" w:pos="1985"/>
        </w:tabs>
        <w:overflowPunct/>
        <w:autoSpaceDE/>
        <w:autoSpaceDN/>
        <w:adjustRightInd/>
        <w:ind w:right="91"/>
        <w:textAlignment w:val="auto"/>
      </w:pPr>
      <w:r>
        <w:t>Documents</w:t>
      </w:r>
    </w:p>
    <w:p w:rsidR="0009739F" w:rsidRPr="0009739F" w:rsidRDefault="0009739F" w:rsidP="000C4682">
      <w:pPr>
        <w:numPr>
          <w:ilvl w:val="0"/>
          <w:numId w:val="5"/>
        </w:numPr>
        <w:tabs>
          <w:tab w:val="clear" w:pos="794"/>
          <w:tab w:val="clear" w:pos="1191"/>
          <w:tab w:val="clear" w:pos="1588"/>
          <w:tab w:val="clear" w:pos="1985"/>
        </w:tabs>
        <w:overflowPunct/>
        <w:autoSpaceDE/>
        <w:autoSpaceDN/>
        <w:adjustRightInd/>
        <w:ind w:right="91"/>
        <w:textAlignment w:val="auto"/>
        <w:rPr>
          <w:lang w:val="en-US"/>
        </w:rPr>
      </w:pPr>
      <w:r w:rsidRPr="0009739F">
        <w:rPr>
          <w:lang w:val="en-US"/>
        </w:rPr>
        <w:t xml:space="preserve">Review the results of Rapporteur Group meetings </w:t>
      </w:r>
    </w:p>
    <w:p w:rsidR="0009739F" w:rsidRPr="0009739F" w:rsidRDefault="0009739F" w:rsidP="000C4682">
      <w:pPr>
        <w:numPr>
          <w:ilvl w:val="0"/>
          <w:numId w:val="5"/>
        </w:numPr>
        <w:tabs>
          <w:tab w:val="clear" w:pos="794"/>
          <w:tab w:val="clear" w:pos="1191"/>
          <w:tab w:val="clear" w:pos="1588"/>
          <w:tab w:val="clear" w:pos="1985"/>
        </w:tabs>
        <w:overflowPunct/>
        <w:autoSpaceDE/>
        <w:autoSpaceDN/>
        <w:adjustRightInd/>
        <w:ind w:right="91"/>
        <w:textAlignment w:val="auto"/>
        <w:rPr>
          <w:lang w:val="en-US"/>
        </w:rPr>
      </w:pPr>
      <w:r w:rsidRPr="0009739F">
        <w:rPr>
          <w:lang w:val="en-US"/>
        </w:rPr>
        <w:t>Consent or determination of draft Recommendations, agreement on supplements/handbooks for WPs 1,2, 3 and 4/11 as follows:</w:t>
      </w:r>
    </w:p>
    <w:p w:rsidR="0009739F" w:rsidRDefault="0009739F" w:rsidP="000C4682">
      <w:pPr>
        <w:jc w:val="both"/>
        <w:rPr>
          <w:b/>
          <w:bCs/>
          <w:lang w:eastAsia="zh-CN"/>
        </w:rPr>
      </w:pPr>
      <w:r>
        <w:rPr>
          <w:b/>
          <w:bCs/>
          <w:lang w:eastAsia="zh-CN"/>
        </w:rPr>
        <w:t>WP 1/11</w:t>
      </w:r>
    </w:p>
    <w:p w:rsidR="0009739F" w:rsidRPr="0009739F" w:rsidRDefault="0009739F" w:rsidP="000C4682">
      <w:pPr>
        <w:numPr>
          <w:ilvl w:val="0"/>
          <w:numId w:val="6"/>
        </w:numPr>
        <w:tabs>
          <w:tab w:val="clear" w:pos="794"/>
          <w:tab w:val="clear" w:pos="1191"/>
          <w:tab w:val="clear" w:pos="1588"/>
          <w:tab w:val="clear" w:pos="1985"/>
        </w:tabs>
        <w:spacing w:before="0"/>
        <w:ind w:left="1134" w:hanging="414"/>
        <w:rPr>
          <w:szCs w:val="22"/>
          <w:lang w:val="en-US"/>
        </w:rPr>
      </w:pPr>
      <w:r w:rsidRPr="0009739F">
        <w:rPr>
          <w:szCs w:val="22"/>
          <w:lang w:val="en-US"/>
        </w:rPr>
        <w:t>Q.TS-IVR - “</w:t>
      </w:r>
      <w:proofErr w:type="spellStart"/>
      <w:r w:rsidRPr="0009739F">
        <w:rPr>
          <w:szCs w:val="22"/>
          <w:lang w:val="en-US"/>
        </w:rPr>
        <w:t>Signalling</w:t>
      </w:r>
      <w:proofErr w:type="spellEnd"/>
      <w:r w:rsidRPr="0009739F">
        <w:rPr>
          <w:szCs w:val="22"/>
          <w:lang w:val="en-US"/>
        </w:rPr>
        <w:t xml:space="preserve"> requirements for touch screen terminal-based IVR services”</w:t>
      </w:r>
    </w:p>
    <w:p w:rsidR="0009739F" w:rsidRPr="0009739F" w:rsidRDefault="0009739F" w:rsidP="000C4682">
      <w:pPr>
        <w:numPr>
          <w:ilvl w:val="0"/>
          <w:numId w:val="6"/>
        </w:numPr>
        <w:tabs>
          <w:tab w:val="clear" w:pos="794"/>
          <w:tab w:val="clear" w:pos="1191"/>
          <w:tab w:val="clear" w:pos="1588"/>
          <w:tab w:val="clear" w:pos="1985"/>
        </w:tabs>
        <w:spacing w:before="100"/>
        <w:ind w:left="1134" w:hanging="414"/>
        <w:rPr>
          <w:lang w:val="en-US" w:eastAsia="zh-CN"/>
        </w:rPr>
      </w:pPr>
      <w:r w:rsidRPr="0009739F">
        <w:rPr>
          <w:lang w:val="en-US"/>
        </w:rPr>
        <w:t xml:space="preserve">TRQ.ETS-overview (draft revised Supp.62 to </w:t>
      </w:r>
      <w:r w:rsidRPr="00E9433A">
        <w:rPr>
          <w:lang w:val="en-US"/>
        </w:rPr>
        <w:t xml:space="preserve">ITU-T </w:t>
      </w:r>
      <w:r w:rsidRPr="0009739F">
        <w:rPr>
          <w:lang w:val="en-US"/>
        </w:rPr>
        <w:t>Q series Recommendations) “Overview of Standards Development Organizations (SDOs) and Other Organizations' Work on Emergency Telecommunications Service (ETS)“</w:t>
      </w:r>
    </w:p>
    <w:p w:rsidR="0009739F" w:rsidRDefault="0009739F" w:rsidP="000C4682">
      <w:pPr>
        <w:jc w:val="both"/>
        <w:rPr>
          <w:b/>
          <w:bCs/>
          <w:lang w:eastAsia="zh-CN"/>
        </w:rPr>
      </w:pPr>
      <w:r w:rsidRPr="00C34EDE">
        <w:rPr>
          <w:b/>
          <w:bCs/>
          <w:lang w:eastAsia="zh-CN"/>
        </w:rPr>
        <w:t>WP 2/11</w:t>
      </w:r>
    </w:p>
    <w:p w:rsidR="0009739F" w:rsidRPr="0009739F" w:rsidRDefault="0009739F" w:rsidP="000C4682">
      <w:pPr>
        <w:numPr>
          <w:ilvl w:val="0"/>
          <w:numId w:val="6"/>
        </w:numPr>
        <w:tabs>
          <w:tab w:val="clear" w:pos="794"/>
          <w:tab w:val="clear" w:pos="1191"/>
          <w:tab w:val="clear" w:pos="1588"/>
          <w:tab w:val="clear" w:pos="1985"/>
        </w:tabs>
        <w:spacing w:before="0"/>
        <w:ind w:left="1134" w:hanging="414"/>
        <w:rPr>
          <w:szCs w:val="22"/>
          <w:lang w:val="en-US"/>
        </w:rPr>
      </w:pPr>
      <w:r w:rsidRPr="0009739F">
        <w:rPr>
          <w:szCs w:val="22"/>
          <w:lang w:val="en-US"/>
        </w:rPr>
        <w:t>Q.3310</w:t>
      </w:r>
      <w:r w:rsidRPr="0009739F">
        <w:rPr>
          <w:rFonts w:hint="eastAsia"/>
          <w:szCs w:val="22"/>
          <w:lang w:val="en-US"/>
        </w:rPr>
        <w:t>.</w:t>
      </w:r>
      <w:r w:rsidRPr="0009739F">
        <w:rPr>
          <w:szCs w:val="22"/>
          <w:lang w:val="en-US"/>
        </w:rPr>
        <w:t>- “Protocol at the interface between Resource Admission Control Physical entities (RAC-PE) and CPN Gateway Physical entities (CG-PE) (CGPE-PE) (Rh' interface)”</w:t>
      </w:r>
    </w:p>
    <w:p w:rsidR="0009739F" w:rsidRPr="0009739F" w:rsidRDefault="0009739F" w:rsidP="000C4682">
      <w:pPr>
        <w:numPr>
          <w:ilvl w:val="0"/>
          <w:numId w:val="6"/>
        </w:numPr>
        <w:tabs>
          <w:tab w:val="clear" w:pos="794"/>
          <w:tab w:val="clear" w:pos="1191"/>
          <w:tab w:val="clear" w:pos="1588"/>
          <w:tab w:val="clear" w:pos="1985"/>
        </w:tabs>
        <w:spacing w:before="100"/>
        <w:ind w:left="1134" w:hanging="414"/>
        <w:rPr>
          <w:szCs w:val="22"/>
          <w:lang w:val="en-US"/>
        </w:rPr>
      </w:pPr>
      <w:r w:rsidRPr="0009739F">
        <w:rPr>
          <w:szCs w:val="22"/>
          <w:lang w:val="en-US"/>
        </w:rPr>
        <w:t>Q.33</w:t>
      </w:r>
      <w:r w:rsidRPr="0009739F">
        <w:rPr>
          <w:rFonts w:hint="eastAsia"/>
          <w:szCs w:val="22"/>
          <w:lang w:val="en-US"/>
        </w:rPr>
        <w:t>0</w:t>
      </w:r>
      <w:r w:rsidRPr="0009739F">
        <w:rPr>
          <w:szCs w:val="22"/>
          <w:lang w:val="en-US"/>
        </w:rPr>
        <w:t>3.1</w:t>
      </w:r>
      <w:r w:rsidRPr="0009739F">
        <w:rPr>
          <w:rFonts w:hint="eastAsia"/>
          <w:szCs w:val="22"/>
          <w:lang w:val="en-US"/>
        </w:rPr>
        <w:t xml:space="preserve"> v2</w:t>
      </w:r>
      <w:r w:rsidRPr="0009739F">
        <w:rPr>
          <w:szCs w:val="22"/>
          <w:lang w:val="en-US"/>
        </w:rPr>
        <w:t xml:space="preserve"> – “Resource control protocol no.3: COPS Profile Protocol at the </w:t>
      </w:r>
      <w:proofErr w:type="spellStart"/>
      <w:r w:rsidRPr="0009739F">
        <w:rPr>
          <w:szCs w:val="22"/>
          <w:lang w:val="en-US"/>
        </w:rPr>
        <w:t>Rw</w:t>
      </w:r>
      <w:proofErr w:type="spellEnd"/>
      <w:r w:rsidRPr="0009739F">
        <w:rPr>
          <w:szCs w:val="22"/>
          <w:lang w:val="en-US"/>
        </w:rPr>
        <w:t xml:space="preserve"> interface between Policy decision Physical entity (PD-PE) and Policy Enforcement Physical Entity (PE-PE)”</w:t>
      </w:r>
    </w:p>
    <w:p w:rsidR="0009739F" w:rsidRPr="0009739F" w:rsidRDefault="0009739F" w:rsidP="000C4682">
      <w:pPr>
        <w:numPr>
          <w:ilvl w:val="0"/>
          <w:numId w:val="6"/>
        </w:numPr>
        <w:tabs>
          <w:tab w:val="clear" w:pos="794"/>
          <w:tab w:val="clear" w:pos="1191"/>
          <w:tab w:val="clear" w:pos="1588"/>
          <w:tab w:val="clear" w:pos="1985"/>
        </w:tabs>
        <w:spacing w:before="100"/>
        <w:ind w:left="1134" w:hanging="414"/>
        <w:rPr>
          <w:szCs w:val="22"/>
          <w:lang w:val="en-US"/>
        </w:rPr>
      </w:pPr>
      <w:r w:rsidRPr="0009739F">
        <w:rPr>
          <w:szCs w:val="22"/>
          <w:lang w:val="en-US"/>
        </w:rPr>
        <w:t xml:space="preserve">Q.M9 – “Proposal for the new recommendation of </w:t>
      </w:r>
      <w:proofErr w:type="spellStart"/>
      <w:r w:rsidRPr="0009739F">
        <w:rPr>
          <w:szCs w:val="22"/>
          <w:lang w:val="en-US"/>
        </w:rPr>
        <w:t>signalling</w:t>
      </w:r>
      <w:proofErr w:type="spellEnd"/>
      <w:r w:rsidRPr="0009739F">
        <w:rPr>
          <w:szCs w:val="22"/>
          <w:lang w:val="en-US"/>
        </w:rPr>
        <w:t xml:space="preserve"> requirements and protocol at the M9 interface between MLM-PE(P) and MLM-PE(C)”</w:t>
      </w:r>
    </w:p>
    <w:p w:rsidR="0009739F" w:rsidRPr="0009739F" w:rsidRDefault="0009739F" w:rsidP="000C4682">
      <w:pPr>
        <w:numPr>
          <w:ilvl w:val="0"/>
          <w:numId w:val="6"/>
        </w:numPr>
        <w:tabs>
          <w:tab w:val="clear" w:pos="794"/>
          <w:tab w:val="clear" w:pos="1191"/>
          <w:tab w:val="clear" w:pos="1588"/>
          <w:tab w:val="clear" w:pos="1985"/>
        </w:tabs>
        <w:spacing w:before="100"/>
        <w:ind w:left="1134" w:hanging="414"/>
        <w:rPr>
          <w:szCs w:val="22"/>
          <w:lang w:val="en-US"/>
        </w:rPr>
      </w:pPr>
      <w:proofErr w:type="spellStart"/>
      <w:r w:rsidRPr="0009739F">
        <w:rPr>
          <w:szCs w:val="22"/>
          <w:lang w:val="en-US"/>
        </w:rPr>
        <w:t>Q.sigafmob</w:t>
      </w:r>
      <w:proofErr w:type="spellEnd"/>
      <w:r w:rsidRPr="0009739F">
        <w:rPr>
          <w:szCs w:val="22"/>
          <w:lang w:val="en-US"/>
        </w:rPr>
        <w:t xml:space="preserve"> – “</w:t>
      </w:r>
      <w:proofErr w:type="spellStart"/>
      <w:r w:rsidRPr="0009739F">
        <w:rPr>
          <w:szCs w:val="22"/>
          <w:lang w:val="en-US"/>
        </w:rPr>
        <w:t>Signalling</w:t>
      </w:r>
      <w:proofErr w:type="spellEnd"/>
      <w:r w:rsidRPr="0009739F">
        <w:rPr>
          <w:szCs w:val="22"/>
          <w:lang w:val="en-US"/>
        </w:rPr>
        <w:t xml:space="preserve"> architecture and </w:t>
      </w:r>
      <w:proofErr w:type="spellStart"/>
      <w:r w:rsidRPr="0009739F">
        <w:rPr>
          <w:szCs w:val="22"/>
          <w:lang w:val="en-US"/>
        </w:rPr>
        <w:t>signalling</w:t>
      </w:r>
      <w:proofErr w:type="spellEnd"/>
      <w:r w:rsidRPr="0009739F">
        <w:rPr>
          <w:szCs w:val="22"/>
          <w:lang w:val="en-US"/>
        </w:rPr>
        <w:t xml:space="preserve"> flows for mobility”</w:t>
      </w:r>
    </w:p>
    <w:p w:rsidR="0009739F" w:rsidRPr="00C34EDE" w:rsidRDefault="0009739F" w:rsidP="000C4682">
      <w:pPr>
        <w:ind w:left="567" w:hanging="567"/>
        <w:rPr>
          <w:b/>
          <w:bCs/>
          <w:lang w:eastAsia="zh-CN"/>
        </w:rPr>
      </w:pPr>
      <w:r w:rsidRPr="00C34EDE">
        <w:rPr>
          <w:b/>
          <w:bCs/>
          <w:lang w:eastAsia="zh-CN"/>
        </w:rPr>
        <w:t>WP 3/11</w:t>
      </w:r>
    </w:p>
    <w:p w:rsidR="0009739F" w:rsidRPr="0009739F" w:rsidRDefault="0009739F" w:rsidP="000C4682">
      <w:pPr>
        <w:numPr>
          <w:ilvl w:val="0"/>
          <w:numId w:val="6"/>
        </w:numPr>
        <w:tabs>
          <w:tab w:val="clear" w:pos="794"/>
          <w:tab w:val="clear" w:pos="1191"/>
          <w:tab w:val="clear" w:pos="1588"/>
          <w:tab w:val="clear" w:pos="1985"/>
        </w:tabs>
        <w:spacing w:before="0"/>
        <w:ind w:left="1134" w:hanging="414"/>
        <w:rPr>
          <w:szCs w:val="22"/>
          <w:lang w:val="en-US"/>
        </w:rPr>
      </w:pPr>
      <w:r w:rsidRPr="0009739F">
        <w:rPr>
          <w:szCs w:val="22"/>
          <w:lang w:val="en-US"/>
        </w:rPr>
        <w:t>Q.</w:t>
      </w:r>
      <w:r w:rsidRPr="0009739F">
        <w:rPr>
          <w:rFonts w:hint="eastAsia"/>
          <w:szCs w:val="22"/>
          <w:lang w:val="en-US"/>
        </w:rPr>
        <w:t>nacp.M13</w:t>
      </w:r>
      <w:r w:rsidRPr="0009739F">
        <w:rPr>
          <w:szCs w:val="22"/>
          <w:lang w:val="en-US"/>
        </w:rPr>
        <w:t xml:space="preserve"> – “</w:t>
      </w:r>
      <w:proofErr w:type="spellStart"/>
      <w:r w:rsidRPr="0009739F">
        <w:rPr>
          <w:szCs w:val="22"/>
          <w:lang w:val="en-US"/>
        </w:rPr>
        <w:t>Signalling</w:t>
      </w:r>
      <w:proofErr w:type="spellEnd"/>
      <w:r w:rsidRPr="0009739F">
        <w:rPr>
          <w:szCs w:val="22"/>
          <w:lang w:val="en-US"/>
        </w:rPr>
        <w:t xml:space="preserve"> Requirements and Protocol at the M13 interface between TLM-PE and NID-PE”</w:t>
      </w:r>
    </w:p>
    <w:p w:rsidR="0009739F" w:rsidRPr="0009739F" w:rsidRDefault="0009739F" w:rsidP="000C4682">
      <w:pPr>
        <w:numPr>
          <w:ilvl w:val="0"/>
          <w:numId w:val="6"/>
        </w:numPr>
        <w:tabs>
          <w:tab w:val="clear" w:pos="794"/>
          <w:tab w:val="clear" w:pos="1191"/>
          <w:tab w:val="clear" w:pos="1588"/>
          <w:tab w:val="clear" w:pos="1985"/>
        </w:tabs>
        <w:spacing w:before="100"/>
        <w:ind w:left="1134" w:hanging="414"/>
        <w:rPr>
          <w:szCs w:val="22"/>
          <w:lang w:val="en-US"/>
        </w:rPr>
      </w:pPr>
      <w:r w:rsidRPr="0009739F">
        <w:rPr>
          <w:rFonts w:hint="eastAsia"/>
          <w:szCs w:val="22"/>
          <w:lang w:val="en-US"/>
        </w:rPr>
        <w:t>Revised X.603(2004)</w:t>
      </w:r>
      <w:r w:rsidRPr="0009739F">
        <w:rPr>
          <w:szCs w:val="22"/>
          <w:lang w:val="en-US"/>
        </w:rPr>
        <w:t xml:space="preserve"> “Relayed multicast control protocol”</w:t>
      </w:r>
    </w:p>
    <w:p w:rsidR="0009739F" w:rsidRPr="00FA55B7" w:rsidRDefault="0009739F" w:rsidP="000C4682">
      <w:pPr>
        <w:numPr>
          <w:ilvl w:val="0"/>
          <w:numId w:val="6"/>
        </w:numPr>
        <w:tabs>
          <w:tab w:val="clear" w:pos="794"/>
          <w:tab w:val="clear" w:pos="1191"/>
          <w:tab w:val="clear" w:pos="1588"/>
          <w:tab w:val="clear" w:pos="1985"/>
        </w:tabs>
        <w:spacing w:before="100"/>
        <w:ind w:left="1134" w:hanging="414"/>
        <w:rPr>
          <w:szCs w:val="22"/>
          <w:lang w:val="en-US"/>
        </w:rPr>
      </w:pPr>
      <w:r w:rsidRPr="0009739F">
        <w:rPr>
          <w:rFonts w:hint="eastAsia"/>
          <w:szCs w:val="22"/>
          <w:lang w:val="en-US"/>
        </w:rPr>
        <w:t>Revised X.603.1(2010)</w:t>
      </w:r>
      <w:r w:rsidRPr="0009739F">
        <w:rPr>
          <w:szCs w:val="22"/>
          <w:lang w:val="en-US"/>
        </w:rPr>
        <w:t xml:space="preserve"> “</w:t>
      </w:r>
      <w:r w:rsidRPr="00FA55B7">
        <w:rPr>
          <w:szCs w:val="22"/>
          <w:lang w:val="en-US"/>
        </w:rPr>
        <w:t>Information technology – Relayed multicast protocol: Specification for simplex group applications</w:t>
      </w:r>
      <w:r>
        <w:rPr>
          <w:szCs w:val="22"/>
          <w:lang w:val="en-US"/>
        </w:rPr>
        <w:t>”</w:t>
      </w:r>
    </w:p>
    <w:p w:rsidR="0009739F" w:rsidRPr="0009739F" w:rsidRDefault="0009739F" w:rsidP="000C4682">
      <w:pPr>
        <w:numPr>
          <w:ilvl w:val="0"/>
          <w:numId w:val="6"/>
        </w:numPr>
        <w:tabs>
          <w:tab w:val="clear" w:pos="794"/>
          <w:tab w:val="clear" w:pos="1191"/>
          <w:tab w:val="clear" w:pos="1588"/>
          <w:tab w:val="clear" w:pos="1985"/>
        </w:tabs>
        <w:spacing w:before="100"/>
        <w:ind w:left="1134" w:hanging="414"/>
        <w:rPr>
          <w:lang w:val="en-US" w:eastAsia="ko-KR"/>
        </w:rPr>
      </w:pPr>
      <w:r w:rsidRPr="0009739F">
        <w:rPr>
          <w:lang w:val="en-US"/>
        </w:rPr>
        <w:t xml:space="preserve">“Handbook on </w:t>
      </w:r>
      <w:r w:rsidRPr="00852926">
        <w:rPr>
          <w:szCs w:val="24"/>
          <w:lang w:val="en-US" w:eastAsia="ko-KR"/>
        </w:rPr>
        <w:t xml:space="preserve">network performance testing and monitoring for guarantee required </w:t>
      </w:r>
      <w:proofErr w:type="spellStart"/>
      <w:r w:rsidRPr="00852926">
        <w:rPr>
          <w:szCs w:val="24"/>
          <w:lang w:val="en-US" w:eastAsia="ko-KR"/>
        </w:rPr>
        <w:t>QoS</w:t>
      </w:r>
      <w:proofErr w:type="spellEnd"/>
      <w:r w:rsidRPr="00852926">
        <w:rPr>
          <w:szCs w:val="24"/>
          <w:lang w:val="en-US" w:eastAsia="ko-KR"/>
        </w:rPr>
        <w:t xml:space="preserve"> for NGN services</w:t>
      </w:r>
      <w:r w:rsidRPr="0009739F">
        <w:rPr>
          <w:lang w:val="en-US"/>
        </w:rPr>
        <w:t>”</w:t>
      </w:r>
    </w:p>
    <w:p w:rsidR="0009739F" w:rsidRDefault="0009739F" w:rsidP="000C4682">
      <w:pPr>
        <w:ind w:left="567" w:hanging="567"/>
        <w:rPr>
          <w:b/>
          <w:bCs/>
          <w:lang w:eastAsia="zh-CN"/>
        </w:rPr>
      </w:pPr>
      <w:r w:rsidRPr="00C34EDE">
        <w:rPr>
          <w:b/>
          <w:bCs/>
          <w:lang w:eastAsia="zh-CN"/>
        </w:rPr>
        <w:t>WP 4/11</w:t>
      </w:r>
    </w:p>
    <w:p w:rsidR="0009739F" w:rsidRDefault="0009739F" w:rsidP="000C4682">
      <w:pPr>
        <w:numPr>
          <w:ilvl w:val="0"/>
          <w:numId w:val="6"/>
        </w:numPr>
        <w:tabs>
          <w:tab w:val="clear" w:pos="794"/>
          <w:tab w:val="clear" w:pos="1191"/>
          <w:tab w:val="clear" w:pos="1588"/>
          <w:tab w:val="clear" w:pos="1985"/>
        </w:tabs>
        <w:spacing w:before="0"/>
        <w:ind w:left="1134" w:hanging="414"/>
        <w:rPr>
          <w:szCs w:val="24"/>
          <w:lang w:val="en-US" w:eastAsia="ja-JP"/>
        </w:rPr>
      </w:pPr>
      <w:proofErr w:type="spellStart"/>
      <w:r w:rsidRPr="0009739F">
        <w:rPr>
          <w:szCs w:val="24"/>
          <w:lang w:val="en-US"/>
        </w:rPr>
        <w:t>Q.MMtesting</w:t>
      </w:r>
      <w:proofErr w:type="spellEnd"/>
      <w:r w:rsidRPr="0009739F">
        <w:rPr>
          <w:szCs w:val="24"/>
          <w:lang w:val="en-US"/>
        </w:rPr>
        <w:t xml:space="preserve"> </w:t>
      </w:r>
      <w:r w:rsidRPr="0009739F">
        <w:rPr>
          <w:szCs w:val="22"/>
          <w:lang w:val="en-US"/>
        </w:rPr>
        <w:t>–</w:t>
      </w:r>
      <w:r w:rsidRPr="0009739F">
        <w:rPr>
          <w:szCs w:val="24"/>
          <w:lang w:val="en-US"/>
        </w:rPr>
        <w:t xml:space="preserve"> </w:t>
      </w:r>
      <w:r>
        <w:rPr>
          <w:szCs w:val="24"/>
          <w:lang w:val="en-US"/>
        </w:rPr>
        <w:t>“</w:t>
      </w:r>
      <w:r w:rsidRPr="006C5954">
        <w:rPr>
          <w:szCs w:val="24"/>
          <w:lang w:val="en-US" w:eastAsia="ja-JP"/>
        </w:rPr>
        <w:t>Real-time multimedia service testing framework at NGN UNI</w:t>
      </w:r>
      <w:r>
        <w:rPr>
          <w:szCs w:val="24"/>
          <w:lang w:val="en-US" w:eastAsia="ja-JP"/>
        </w:rPr>
        <w:t>”</w:t>
      </w:r>
    </w:p>
    <w:p w:rsidR="0009739F" w:rsidRPr="0009739F" w:rsidRDefault="0009739F" w:rsidP="000C4682">
      <w:pPr>
        <w:numPr>
          <w:ilvl w:val="0"/>
          <w:numId w:val="6"/>
        </w:numPr>
        <w:tabs>
          <w:tab w:val="clear" w:pos="794"/>
          <w:tab w:val="clear" w:pos="1191"/>
          <w:tab w:val="clear" w:pos="1588"/>
          <w:tab w:val="clear" w:pos="1985"/>
        </w:tabs>
        <w:spacing w:before="100"/>
        <w:ind w:left="1134" w:hanging="414"/>
        <w:rPr>
          <w:szCs w:val="22"/>
          <w:lang w:val="en-US"/>
        </w:rPr>
      </w:pPr>
      <w:proofErr w:type="spellStart"/>
      <w:r w:rsidRPr="0009739F">
        <w:rPr>
          <w:szCs w:val="22"/>
          <w:lang w:val="en-US"/>
        </w:rPr>
        <w:t>Q.monitor_ss</w:t>
      </w:r>
      <w:proofErr w:type="spellEnd"/>
      <w:r w:rsidRPr="0009739F">
        <w:rPr>
          <w:szCs w:val="22"/>
          <w:lang w:val="en-US"/>
        </w:rPr>
        <w:t xml:space="preserve"> (Q.3912) – "Monitoring parameters set for streaming services in NGN”</w:t>
      </w:r>
    </w:p>
    <w:p w:rsidR="0009739F" w:rsidRPr="0009739F" w:rsidRDefault="0009739F" w:rsidP="000C4682">
      <w:pPr>
        <w:numPr>
          <w:ilvl w:val="0"/>
          <w:numId w:val="6"/>
        </w:numPr>
        <w:tabs>
          <w:tab w:val="clear" w:pos="794"/>
          <w:tab w:val="clear" w:pos="1191"/>
          <w:tab w:val="clear" w:pos="1588"/>
          <w:tab w:val="clear" w:pos="1985"/>
        </w:tabs>
        <w:spacing w:before="100"/>
        <w:ind w:left="1134" w:hanging="414"/>
        <w:rPr>
          <w:szCs w:val="22"/>
          <w:lang w:val="en-US"/>
        </w:rPr>
      </w:pPr>
      <w:r w:rsidRPr="0009739F">
        <w:rPr>
          <w:szCs w:val="22"/>
          <w:lang w:val="en-US"/>
        </w:rPr>
        <w:t xml:space="preserve">Q.3925 – “The types of traffic flows which should be generated for voice, data and video on the Model network for testing </w:t>
      </w:r>
      <w:proofErr w:type="spellStart"/>
      <w:r w:rsidRPr="0009739F">
        <w:rPr>
          <w:szCs w:val="22"/>
          <w:lang w:val="en-US"/>
        </w:rPr>
        <w:t>QoS</w:t>
      </w:r>
      <w:proofErr w:type="spellEnd"/>
      <w:r w:rsidRPr="0009739F">
        <w:rPr>
          <w:szCs w:val="22"/>
          <w:lang w:val="en-US"/>
        </w:rPr>
        <w:t xml:space="preserve"> parameters”</w:t>
      </w:r>
    </w:p>
    <w:p w:rsidR="0009739F" w:rsidRPr="0009739F" w:rsidRDefault="0009739F" w:rsidP="000C4682">
      <w:pPr>
        <w:numPr>
          <w:ilvl w:val="0"/>
          <w:numId w:val="5"/>
        </w:numPr>
        <w:tabs>
          <w:tab w:val="clear" w:pos="794"/>
          <w:tab w:val="clear" w:pos="1191"/>
          <w:tab w:val="clear" w:pos="1588"/>
          <w:tab w:val="clear" w:pos="1985"/>
        </w:tabs>
        <w:overflowPunct/>
        <w:autoSpaceDE/>
        <w:autoSpaceDN/>
        <w:adjustRightInd/>
        <w:ind w:right="91"/>
        <w:textAlignment w:val="auto"/>
        <w:rPr>
          <w:lang w:val="en-US"/>
        </w:rPr>
      </w:pPr>
      <w:r w:rsidRPr="0009739F">
        <w:rPr>
          <w:lang w:val="en-US"/>
        </w:rPr>
        <w:t>Status on SG 11 restructuring discussions for WTSA-12</w:t>
      </w:r>
    </w:p>
    <w:p w:rsidR="0009739F" w:rsidRDefault="0009739F" w:rsidP="000C4682">
      <w:pPr>
        <w:numPr>
          <w:ilvl w:val="0"/>
          <w:numId w:val="5"/>
        </w:numPr>
        <w:tabs>
          <w:tab w:val="clear" w:pos="794"/>
          <w:tab w:val="clear" w:pos="1191"/>
          <w:tab w:val="clear" w:pos="1588"/>
          <w:tab w:val="clear" w:pos="1985"/>
        </w:tabs>
        <w:overflowPunct/>
        <w:autoSpaceDE/>
        <w:autoSpaceDN/>
        <w:adjustRightInd/>
        <w:ind w:right="91"/>
        <w:textAlignment w:val="auto"/>
      </w:pPr>
      <w:r>
        <w:t>AOB</w:t>
      </w:r>
    </w:p>
    <w:p w:rsidR="0009739F" w:rsidRPr="00653D95" w:rsidRDefault="0009739F" w:rsidP="000C4682">
      <w:pPr>
        <w:numPr>
          <w:ilvl w:val="0"/>
          <w:numId w:val="5"/>
        </w:numPr>
        <w:tabs>
          <w:tab w:val="clear" w:pos="794"/>
          <w:tab w:val="clear" w:pos="1191"/>
          <w:tab w:val="clear" w:pos="1588"/>
          <w:tab w:val="clear" w:pos="1985"/>
        </w:tabs>
        <w:overflowPunct/>
        <w:autoSpaceDE/>
        <w:autoSpaceDN/>
        <w:adjustRightInd/>
        <w:ind w:right="92"/>
        <w:textAlignment w:val="auto"/>
        <w:rPr>
          <w:lang w:val="fr-CH"/>
        </w:rPr>
      </w:pPr>
      <w:proofErr w:type="spellStart"/>
      <w:r>
        <w:t>Closure</w:t>
      </w:r>
      <w:proofErr w:type="spellEnd"/>
      <w:r>
        <w:t xml:space="preserve"> of the meeting</w:t>
      </w:r>
    </w:p>
    <w:p w:rsidR="0009739F" w:rsidRDefault="0009739F" w:rsidP="000C4682">
      <w:pPr>
        <w:pStyle w:val="LetterStart"/>
        <w:tabs>
          <w:tab w:val="clear" w:pos="1361"/>
          <w:tab w:val="clear" w:pos="1758"/>
          <w:tab w:val="clear" w:pos="2155"/>
          <w:tab w:val="clear" w:pos="2552"/>
          <w:tab w:val="center" w:pos="4962"/>
        </w:tabs>
        <w:spacing w:before="0"/>
        <w:rPr>
          <w:lang w:val="fr-CH"/>
        </w:rPr>
        <w:sectPr w:rsidR="0009739F" w:rsidSect="0009739F">
          <w:headerReference w:type="even" r:id="rId27"/>
          <w:headerReference w:type="default" r:id="rId28"/>
          <w:footerReference w:type="even" r:id="rId29"/>
          <w:footerReference w:type="default" r:id="rId30"/>
          <w:headerReference w:type="first" r:id="rId31"/>
          <w:footerReference w:type="first" r:id="rId32"/>
          <w:pgSz w:w="11907" w:h="16840" w:code="9"/>
          <w:pgMar w:top="1077" w:right="1089" w:bottom="1077" w:left="1089" w:header="567" w:footer="567" w:gutter="0"/>
          <w:paperSrc w:first="15" w:other="15"/>
          <w:cols w:space="720"/>
          <w:titlePg/>
          <w:docGrid w:linePitch="326"/>
        </w:sectPr>
      </w:pPr>
    </w:p>
    <w:p w:rsidR="0009739F" w:rsidRPr="004D2D59" w:rsidRDefault="0009739F" w:rsidP="000C4682">
      <w:pPr>
        <w:pStyle w:val="LetterStart"/>
        <w:tabs>
          <w:tab w:val="clear" w:pos="1361"/>
          <w:tab w:val="clear" w:pos="1758"/>
          <w:tab w:val="clear" w:pos="2155"/>
          <w:tab w:val="clear" w:pos="2552"/>
          <w:tab w:val="center" w:pos="4962"/>
        </w:tabs>
        <w:spacing w:before="120"/>
        <w:rPr>
          <w:lang w:val="en-US"/>
        </w:rPr>
      </w:pPr>
      <w:bookmarkStart w:id="2" w:name="Duties"/>
      <w:bookmarkEnd w:id="2"/>
      <w:r w:rsidRPr="004D2D59">
        <w:rPr>
          <w:lang w:val="en-US"/>
        </w:rPr>
        <w:lastRenderedPageBreak/>
        <w:tab/>
        <w:t xml:space="preserve">ANNEX </w:t>
      </w:r>
      <w:r>
        <w:rPr>
          <w:lang w:val="en-US"/>
        </w:rPr>
        <w:t>2</w:t>
      </w:r>
      <w:r w:rsidRPr="004D2D59">
        <w:rPr>
          <w:lang w:val="en-US"/>
        </w:rPr>
        <w:br/>
      </w:r>
      <w:r w:rsidRPr="004D2D59">
        <w:rPr>
          <w:lang w:val="en-US"/>
        </w:rPr>
        <w:tab/>
        <w:t xml:space="preserve">(to TSB Collective letter </w:t>
      </w:r>
      <w:r w:rsidRPr="0009739F">
        <w:rPr>
          <w:lang w:val="en-US"/>
        </w:rPr>
        <w:t>10/</w:t>
      </w:r>
      <w:r>
        <w:rPr>
          <w:lang w:val="en-US"/>
        </w:rPr>
        <w:t>11</w:t>
      </w:r>
      <w:r w:rsidRPr="004D2D59">
        <w:rPr>
          <w:lang w:val="en-US"/>
        </w:rPr>
        <w:t>)</w:t>
      </w:r>
    </w:p>
    <w:p w:rsidR="0009739F" w:rsidRPr="0009739F" w:rsidRDefault="0009739F" w:rsidP="000C4682">
      <w:pPr>
        <w:pStyle w:val="LetterStart"/>
        <w:tabs>
          <w:tab w:val="clear" w:pos="1361"/>
          <w:tab w:val="clear" w:pos="1758"/>
          <w:tab w:val="clear" w:pos="2155"/>
          <w:tab w:val="clear" w:pos="2552"/>
          <w:tab w:val="center" w:pos="4962"/>
        </w:tabs>
        <w:spacing w:before="120"/>
        <w:rPr>
          <w:sz w:val="16"/>
          <w:lang w:val="en-US"/>
        </w:rPr>
      </w:pPr>
      <w:r w:rsidRPr="004D2D59">
        <w:rPr>
          <w:lang w:val="en-US"/>
        </w:rPr>
        <w:tab/>
      </w:r>
    </w:p>
    <w:tbl>
      <w:tblPr>
        <w:tblW w:w="0" w:type="auto"/>
        <w:jc w:val="center"/>
        <w:tblLayout w:type="fixed"/>
        <w:tblLook w:val="0000" w:firstRow="0" w:lastRow="0" w:firstColumn="0" w:lastColumn="0" w:noHBand="0" w:noVBand="0"/>
      </w:tblPr>
      <w:tblGrid>
        <w:gridCol w:w="9360"/>
      </w:tblGrid>
      <w:tr w:rsidR="0009739F" w:rsidRPr="00CA5BD2" w:rsidTr="0009739F">
        <w:trPr>
          <w:cantSplit/>
          <w:jc w:val="center"/>
        </w:trPr>
        <w:tc>
          <w:tcPr>
            <w:tcW w:w="9360" w:type="dxa"/>
            <w:tcBorders>
              <w:top w:val="single" w:sz="6" w:space="0" w:color="auto"/>
              <w:left w:val="single" w:sz="6" w:space="0" w:color="auto"/>
              <w:bottom w:val="single" w:sz="6" w:space="0" w:color="auto"/>
              <w:right w:val="single" w:sz="6" w:space="0" w:color="auto"/>
            </w:tcBorders>
          </w:tcPr>
          <w:p w:rsidR="0009739F" w:rsidRPr="0009739F" w:rsidRDefault="0009739F" w:rsidP="000C4682">
            <w:pPr>
              <w:tabs>
                <w:tab w:val="left" w:pos="1440"/>
                <w:tab w:val="left" w:pos="8647"/>
              </w:tabs>
              <w:spacing w:before="0"/>
              <w:ind w:right="133"/>
              <w:jc w:val="center"/>
              <w:rPr>
                <w:i/>
                <w:sz w:val="20"/>
                <w:lang w:val="en-US"/>
              </w:rPr>
            </w:pPr>
          </w:p>
          <w:p w:rsidR="0009739F" w:rsidRPr="0009739F" w:rsidRDefault="0009739F" w:rsidP="000C4682">
            <w:pPr>
              <w:tabs>
                <w:tab w:val="left" w:pos="1440"/>
                <w:tab w:val="left" w:pos="8647"/>
              </w:tabs>
              <w:spacing w:before="0"/>
              <w:ind w:right="133"/>
              <w:jc w:val="center"/>
              <w:rPr>
                <w:i/>
                <w:szCs w:val="24"/>
                <w:lang w:val="en-US"/>
              </w:rPr>
            </w:pPr>
            <w:r w:rsidRPr="0009739F">
              <w:rPr>
                <w:i/>
                <w:szCs w:val="24"/>
                <w:lang w:val="en-US"/>
              </w:rPr>
              <w:t xml:space="preserve">This confirmation form </w:t>
            </w:r>
            <w:r w:rsidRPr="0009739F">
              <w:rPr>
                <w:b/>
                <w:bCs/>
                <w:i/>
                <w:szCs w:val="24"/>
                <w:lang w:val="en-US"/>
              </w:rPr>
              <w:t xml:space="preserve">should </w:t>
            </w:r>
            <w:r w:rsidRPr="0009739F">
              <w:rPr>
                <w:b/>
                <w:i/>
                <w:szCs w:val="24"/>
                <w:lang w:val="en-US"/>
              </w:rPr>
              <w:t xml:space="preserve">be sent direct </w:t>
            </w:r>
            <w:r w:rsidRPr="0009739F">
              <w:rPr>
                <w:i/>
                <w:szCs w:val="24"/>
                <w:lang w:val="en-US"/>
              </w:rPr>
              <w:t>to the hotel</w:t>
            </w:r>
            <w:r w:rsidRPr="0009739F">
              <w:rPr>
                <w:b/>
                <w:i/>
                <w:szCs w:val="24"/>
                <w:lang w:val="en-US"/>
              </w:rPr>
              <w:t xml:space="preserve"> </w:t>
            </w:r>
            <w:r w:rsidRPr="0009739F">
              <w:rPr>
                <w:i/>
                <w:szCs w:val="24"/>
                <w:lang w:val="en-US"/>
              </w:rPr>
              <w:t>of your choice</w:t>
            </w:r>
          </w:p>
          <w:p w:rsidR="0009739F" w:rsidRPr="00C67AB9" w:rsidRDefault="0009739F" w:rsidP="000C4682">
            <w:pPr>
              <w:spacing w:before="0" w:after="100"/>
              <w:ind w:right="130"/>
              <w:jc w:val="center"/>
              <w:rPr>
                <w:sz w:val="20"/>
                <w:lang w:val="en-US"/>
              </w:rPr>
            </w:pPr>
          </w:p>
        </w:tc>
      </w:tr>
    </w:tbl>
    <w:p w:rsidR="0009739F" w:rsidRPr="00C67AB9" w:rsidRDefault="0009739F" w:rsidP="000C4682">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9739F" w:rsidTr="0009739F">
        <w:trPr>
          <w:cantSplit/>
          <w:jc w:val="center"/>
        </w:trPr>
        <w:tc>
          <w:tcPr>
            <w:tcW w:w="1291" w:type="dxa"/>
          </w:tcPr>
          <w:p w:rsidR="0009739F" w:rsidRDefault="0009739F" w:rsidP="000C4682">
            <w:pPr>
              <w:tabs>
                <w:tab w:val="center" w:pos="9639"/>
              </w:tabs>
              <w:spacing w:before="57"/>
              <w:ind w:right="-176"/>
              <w:jc w:val="center"/>
              <w:rPr>
                <w:sz w:val="28"/>
              </w:rPr>
            </w:pPr>
            <w:r>
              <w:rPr>
                <w:noProof/>
                <w:lang w:val="en-US" w:eastAsia="zh-CN"/>
              </w:rPr>
              <w:drawing>
                <wp:inline distT="0" distB="0" distL="0" distR="0" wp14:anchorId="546DA344" wp14:editId="0D1D3ED9">
                  <wp:extent cx="631190" cy="66421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c>
          <w:tcPr>
            <w:tcW w:w="7264" w:type="dxa"/>
          </w:tcPr>
          <w:p w:rsidR="0009739F" w:rsidRPr="001F5A0A" w:rsidRDefault="0009739F" w:rsidP="000C4682">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739F" w:rsidRDefault="0009739F" w:rsidP="000C4682">
            <w:pPr>
              <w:tabs>
                <w:tab w:val="center" w:pos="9639"/>
              </w:tabs>
              <w:spacing w:before="57"/>
              <w:ind w:left="-142" w:right="-74"/>
              <w:jc w:val="center"/>
              <w:rPr>
                <w:sz w:val="28"/>
              </w:rPr>
            </w:pPr>
            <w:r>
              <w:rPr>
                <w:noProof/>
                <w:lang w:val="en-US" w:eastAsia="zh-CN"/>
              </w:rPr>
              <w:drawing>
                <wp:inline distT="0" distB="0" distL="0" distR="0" wp14:anchorId="3600C7D3" wp14:editId="56FEBDF2">
                  <wp:extent cx="63119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r>
    </w:tbl>
    <w:p w:rsidR="0009739F" w:rsidRDefault="0009739F" w:rsidP="000C4682">
      <w:pPr>
        <w:tabs>
          <w:tab w:val="left" w:pos="1440"/>
        </w:tabs>
        <w:spacing w:before="0"/>
        <w:ind w:left="284" w:right="-143"/>
        <w:jc w:val="center"/>
        <w:rPr>
          <w:b/>
        </w:rPr>
      </w:pPr>
    </w:p>
    <w:p w:rsidR="0009739F" w:rsidRPr="00403633" w:rsidRDefault="0009739F" w:rsidP="000C4682">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9739F" w:rsidRPr="00403633" w:rsidRDefault="0009739F" w:rsidP="000C4682">
      <w:pPr>
        <w:tabs>
          <w:tab w:val="left" w:pos="1440"/>
        </w:tabs>
        <w:spacing w:before="0"/>
        <w:ind w:left="284" w:right="-143"/>
        <w:rPr>
          <w:sz w:val="20"/>
          <w:lang w:val="en-US"/>
        </w:rPr>
      </w:pPr>
    </w:p>
    <w:p w:rsidR="0009739F" w:rsidRPr="00E20C97" w:rsidRDefault="0009739F" w:rsidP="000C4682">
      <w:pPr>
        <w:tabs>
          <w:tab w:val="left" w:pos="1440"/>
        </w:tabs>
        <w:spacing w:before="0"/>
        <w:ind w:left="284" w:right="515"/>
        <w:rPr>
          <w:sz w:val="20"/>
          <w:lang w:val="en-US"/>
        </w:rPr>
      </w:pPr>
      <w:r w:rsidRPr="0009739F">
        <w:rPr>
          <w:i/>
          <w:sz w:val="20"/>
          <w:lang w:val="en-US"/>
        </w:rPr>
        <w:t xml:space="preserve">SG/WP meeting -------------------------------------   from    </w:t>
      </w:r>
      <w:proofErr w:type="gramStart"/>
      <w:r w:rsidRPr="0009739F">
        <w:rPr>
          <w:i/>
          <w:sz w:val="20"/>
          <w:lang w:val="en-US"/>
        </w:rPr>
        <w:t>-------------------------  to</w:t>
      </w:r>
      <w:proofErr w:type="gramEnd"/>
      <w:r w:rsidRPr="0009739F">
        <w:rPr>
          <w:i/>
          <w:sz w:val="20"/>
          <w:lang w:val="en-US"/>
        </w:rPr>
        <w:t xml:space="preserve"> ----------------------- in Geneva</w:t>
      </w:r>
    </w:p>
    <w:p w:rsidR="0009739F" w:rsidRPr="00E20C97" w:rsidRDefault="0009739F" w:rsidP="000C4682">
      <w:pPr>
        <w:tabs>
          <w:tab w:val="left" w:pos="1440"/>
        </w:tabs>
        <w:spacing w:before="0"/>
        <w:ind w:left="284" w:right="515"/>
        <w:rPr>
          <w:sz w:val="20"/>
          <w:lang w:val="en-US"/>
        </w:rPr>
      </w:pPr>
    </w:p>
    <w:p w:rsidR="0009739F" w:rsidRPr="00E20C97" w:rsidRDefault="0009739F" w:rsidP="000C4682">
      <w:pPr>
        <w:tabs>
          <w:tab w:val="left" w:pos="1440"/>
        </w:tabs>
        <w:spacing w:before="0"/>
        <w:ind w:left="284" w:right="515"/>
        <w:rPr>
          <w:sz w:val="20"/>
          <w:lang w:val="en-US"/>
        </w:rPr>
      </w:pPr>
    </w:p>
    <w:p w:rsidR="0009739F" w:rsidRPr="00E20C97" w:rsidRDefault="0009739F" w:rsidP="000C4682">
      <w:pPr>
        <w:tabs>
          <w:tab w:val="left" w:pos="1440"/>
        </w:tabs>
        <w:spacing w:before="0"/>
        <w:ind w:left="284" w:right="515"/>
        <w:rPr>
          <w:sz w:val="20"/>
          <w:lang w:val="en-US"/>
        </w:rPr>
      </w:pPr>
      <w:r w:rsidRPr="0009739F">
        <w:rPr>
          <w:i/>
          <w:sz w:val="20"/>
          <w:lang w:val="en-US"/>
        </w:rPr>
        <w:t>Confirmation of the reservation made on (date) -------------------------   with (hotel)   --------------------------------</w:t>
      </w:r>
    </w:p>
    <w:p w:rsidR="0009739F" w:rsidRPr="00E20C97" w:rsidRDefault="0009739F" w:rsidP="000C4682">
      <w:pPr>
        <w:tabs>
          <w:tab w:val="left" w:pos="1440"/>
        </w:tabs>
        <w:spacing w:before="0"/>
        <w:ind w:left="284" w:right="515"/>
        <w:rPr>
          <w:sz w:val="20"/>
          <w:lang w:val="en-US"/>
        </w:rPr>
      </w:pPr>
    </w:p>
    <w:p w:rsidR="0009739F" w:rsidRPr="00E20C97" w:rsidRDefault="0009739F" w:rsidP="000C4682">
      <w:pPr>
        <w:tabs>
          <w:tab w:val="left" w:pos="1440"/>
        </w:tabs>
        <w:spacing w:before="0"/>
        <w:ind w:left="284" w:right="515"/>
        <w:rPr>
          <w:sz w:val="20"/>
          <w:lang w:val="en-US"/>
        </w:rPr>
      </w:pPr>
    </w:p>
    <w:p w:rsidR="0009739F" w:rsidRPr="008B1814" w:rsidRDefault="0009739F" w:rsidP="000C4682">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9739F" w:rsidRPr="008B1814" w:rsidRDefault="0009739F" w:rsidP="000C4682">
      <w:pPr>
        <w:tabs>
          <w:tab w:val="left" w:pos="1440"/>
        </w:tabs>
        <w:spacing w:before="0"/>
        <w:ind w:left="284" w:right="515"/>
        <w:rPr>
          <w:sz w:val="20"/>
          <w:lang w:val="en-US"/>
        </w:rPr>
      </w:pPr>
    </w:p>
    <w:p w:rsidR="0009739F" w:rsidRPr="008B1814" w:rsidRDefault="0009739F" w:rsidP="000C4682">
      <w:pPr>
        <w:tabs>
          <w:tab w:val="left" w:pos="1440"/>
        </w:tabs>
        <w:spacing w:before="0"/>
        <w:ind w:left="284" w:right="515"/>
        <w:rPr>
          <w:sz w:val="20"/>
          <w:lang w:val="en-US"/>
        </w:rPr>
      </w:pPr>
    </w:p>
    <w:p w:rsidR="0009739F" w:rsidRPr="0009739F" w:rsidRDefault="0009739F" w:rsidP="000C4682">
      <w:pPr>
        <w:tabs>
          <w:tab w:val="left" w:pos="1440"/>
        </w:tabs>
        <w:spacing w:before="0"/>
        <w:ind w:left="284" w:right="515"/>
        <w:rPr>
          <w:i/>
          <w:sz w:val="20"/>
          <w:lang w:val="en-US"/>
        </w:rPr>
      </w:pPr>
      <w:r w:rsidRPr="0009739F">
        <w:rPr>
          <w:i/>
          <w:sz w:val="20"/>
          <w:lang w:val="en-US"/>
        </w:rPr>
        <w:t>------------ single/double room(s)</w:t>
      </w:r>
    </w:p>
    <w:p w:rsidR="0009739F" w:rsidRPr="0009739F" w:rsidRDefault="0009739F" w:rsidP="000C4682">
      <w:pPr>
        <w:tabs>
          <w:tab w:val="left" w:pos="1440"/>
        </w:tabs>
        <w:spacing w:before="0"/>
        <w:ind w:left="284" w:right="515"/>
        <w:rPr>
          <w:i/>
          <w:sz w:val="20"/>
          <w:lang w:val="en-US"/>
        </w:rPr>
      </w:pPr>
    </w:p>
    <w:p w:rsidR="0009739F" w:rsidRPr="0009739F" w:rsidRDefault="0009739F" w:rsidP="000C4682">
      <w:pPr>
        <w:tabs>
          <w:tab w:val="left" w:pos="1440"/>
        </w:tabs>
        <w:spacing w:before="0"/>
        <w:ind w:left="284" w:right="515"/>
        <w:rPr>
          <w:i/>
          <w:sz w:val="20"/>
          <w:lang w:val="en-US"/>
        </w:rPr>
      </w:pPr>
      <w:proofErr w:type="gramStart"/>
      <w:r w:rsidRPr="0009739F">
        <w:rPr>
          <w:i/>
          <w:sz w:val="20"/>
          <w:lang w:val="en-US"/>
        </w:rPr>
        <w:t>arriving</w:t>
      </w:r>
      <w:proofErr w:type="gramEnd"/>
      <w:r w:rsidRPr="0009739F">
        <w:rPr>
          <w:i/>
          <w:sz w:val="20"/>
          <w:lang w:val="en-US"/>
        </w:rPr>
        <w:t xml:space="preserve"> on (date) ---------------------------  at (time)  -------------  departing on (date) -------------------------------</w:t>
      </w:r>
    </w:p>
    <w:p w:rsidR="0009739F" w:rsidRPr="0009739F" w:rsidRDefault="0009739F" w:rsidP="000C4682">
      <w:pPr>
        <w:tabs>
          <w:tab w:val="left" w:pos="1440"/>
        </w:tabs>
        <w:spacing w:before="0"/>
        <w:ind w:left="284" w:right="515"/>
        <w:rPr>
          <w:sz w:val="20"/>
          <w:lang w:val="en-US"/>
        </w:rPr>
      </w:pPr>
    </w:p>
    <w:p w:rsidR="0009739F" w:rsidRPr="0009739F" w:rsidRDefault="0009739F" w:rsidP="000C4682">
      <w:pPr>
        <w:tabs>
          <w:tab w:val="left" w:pos="1440"/>
        </w:tabs>
        <w:spacing w:before="0"/>
        <w:ind w:left="284" w:right="515"/>
        <w:rPr>
          <w:sz w:val="20"/>
          <w:lang w:val="en-US"/>
        </w:rPr>
      </w:pPr>
    </w:p>
    <w:p w:rsidR="0009739F" w:rsidRPr="00542259" w:rsidRDefault="0009739F" w:rsidP="000C4682">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9739F" w:rsidRPr="00E20C97"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9739F" w:rsidRPr="00C67AB9"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739F" w:rsidRPr="00C67AB9"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739F" w:rsidRPr="00C67AB9" w:rsidRDefault="0009739F" w:rsidP="000C4682">
      <w:pPr>
        <w:tabs>
          <w:tab w:val="left" w:pos="1440"/>
        </w:tabs>
        <w:spacing w:before="0"/>
        <w:ind w:left="284" w:right="515"/>
        <w:rPr>
          <w:i/>
          <w:iCs/>
          <w:sz w:val="20"/>
          <w:lang w:val="en-US"/>
        </w:rPr>
      </w:pPr>
    </w:p>
    <w:p w:rsidR="0009739F" w:rsidRPr="008B1814" w:rsidRDefault="0009739F" w:rsidP="000C4682">
      <w:pPr>
        <w:tabs>
          <w:tab w:val="left" w:pos="1440"/>
        </w:tabs>
        <w:spacing w:before="0"/>
        <w:ind w:left="284" w:right="515"/>
        <w:rPr>
          <w:i/>
          <w:iCs/>
          <w:sz w:val="20"/>
          <w:lang w:val="en-US"/>
        </w:rPr>
      </w:pPr>
      <w:r w:rsidRPr="008B1814">
        <w:rPr>
          <w:i/>
          <w:iCs/>
          <w:sz w:val="20"/>
          <w:lang w:val="en-US"/>
        </w:rPr>
        <w:t>-----------------------------------------------------------------------------------------         Fax: -------------------------------</w:t>
      </w:r>
    </w:p>
    <w:p w:rsidR="0009739F" w:rsidRPr="008B1814" w:rsidRDefault="0009739F" w:rsidP="000C4682">
      <w:pPr>
        <w:tabs>
          <w:tab w:val="left" w:pos="1440"/>
        </w:tabs>
        <w:spacing w:before="0"/>
        <w:ind w:left="284" w:right="515"/>
        <w:rPr>
          <w:i/>
          <w:iCs/>
          <w:sz w:val="20"/>
          <w:lang w:val="en-US"/>
        </w:rPr>
      </w:pPr>
    </w:p>
    <w:p w:rsidR="0009739F" w:rsidRPr="00403633" w:rsidRDefault="0009739F" w:rsidP="000C4682">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09739F" w:rsidRPr="00403633" w:rsidRDefault="0009739F" w:rsidP="000C4682">
      <w:pPr>
        <w:tabs>
          <w:tab w:val="left" w:pos="1440"/>
        </w:tabs>
        <w:spacing w:before="0"/>
        <w:ind w:left="284" w:right="515"/>
        <w:rPr>
          <w:sz w:val="20"/>
          <w:lang w:val="en-US"/>
        </w:rPr>
      </w:pPr>
    </w:p>
    <w:p w:rsidR="0009739F" w:rsidRPr="00403633"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sz w:val="20"/>
          <w:lang w:val="en-US"/>
        </w:rPr>
      </w:pPr>
      <w:r w:rsidRPr="0009739F">
        <w:rPr>
          <w:i/>
          <w:sz w:val="20"/>
          <w:lang w:val="en-US"/>
        </w:rPr>
        <w:t>Credit card to guarantee this reservation</w:t>
      </w:r>
      <w:r w:rsidRPr="0009739F">
        <w:rPr>
          <w:sz w:val="20"/>
          <w:lang w:val="en-US"/>
        </w:rPr>
        <w:t>:        AX/VISA/DINERS/EC  (</w:t>
      </w:r>
      <w:r w:rsidRPr="0009739F">
        <w:rPr>
          <w:i/>
          <w:iCs/>
          <w:sz w:val="20"/>
          <w:lang w:val="en-US"/>
        </w:rPr>
        <w:t>or</w:t>
      </w:r>
      <w:r w:rsidRPr="0009739F">
        <w:rPr>
          <w:sz w:val="20"/>
          <w:lang w:val="en-US"/>
        </w:rPr>
        <w:t xml:space="preserve"> </w:t>
      </w:r>
      <w:r w:rsidRPr="00C67AB9">
        <w:rPr>
          <w:i/>
          <w:sz w:val="20"/>
          <w:lang w:val="en-US"/>
        </w:rPr>
        <w:t>othe</w:t>
      </w:r>
      <w:r>
        <w:rPr>
          <w:i/>
          <w:sz w:val="20"/>
          <w:lang w:val="en-US"/>
        </w:rPr>
        <w:t>r) -----------------------------------</w:t>
      </w:r>
    </w:p>
    <w:p w:rsidR="0009739F" w:rsidRPr="00C67AB9"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09739F" w:rsidRPr="00C67AB9" w:rsidRDefault="0009739F" w:rsidP="000C4682">
      <w:pPr>
        <w:tabs>
          <w:tab w:val="left" w:pos="1440"/>
        </w:tabs>
        <w:spacing w:before="0"/>
        <w:ind w:left="284" w:right="515"/>
        <w:rPr>
          <w:sz w:val="20"/>
          <w:lang w:val="en-US"/>
        </w:rPr>
      </w:pPr>
    </w:p>
    <w:p w:rsidR="0009739F" w:rsidRPr="00C67AB9" w:rsidRDefault="0009739F" w:rsidP="000C4682">
      <w:pPr>
        <w:tabs>
          <w:tab w:val="left" w:pos="1440"/>
        </w:tabs>
        <w:spacing w:before="0"/>
        <w:ind w:left="284" w:right="515"/>
        <w:rPr>
          <w:sz w:val="20"/>
          <w:lang w:val="en-US"/>
        </w:rPr>
      </w:pPr>
    </w:p>
    <w:p w:rsidR="009D51FA" w:rsidRPr="000C4682" w:rsidRDefault="0009739F" w:rsidP="008E435F">
      <w:pPr>
        <w:pStyle w:val="LetterStart"/>
        <w:tabs>
          <w:tab w:val="clear" w:pos="1361"/>
          <w:tab w:val="clear" w:pos="1758"/>
          <w:tab w:val="clear" w:pos="2155"/>
          <w:tab w:val="clear" w:pos="2552"/>
          <w:tab w:val="center" w:pos="4962"/>
        </w:tabs>
        <w:spacing w:before="120"/>
        <w:ind w:left="284"/>
        <w:rPr>
          <w:sz w:val="4"/>
          <w:szCs w:val="4"/>
          <w:lang w:val="en-US"/>
        </w:rPr>
      </w:pPr>
      <w:r w:rsidRPr="000C4682">
        <w:rPr>
          <w:i/>
          <w:sz w:val="20"/>
          <w:lang w:val="en-US"/>
        </w:rPr>
        <w:t>Date</w:t>
      </w:r>
      <w:r w:rsidRPr="000C4682">
        <w:rPr>
          <w:sz w:val="20"/>
          <w:lang w:val="en-US"/>
        </w:rPr>
        <w:t xml:space="preserve"> ------------------------------------------------------      </w:t>
      </w:r>
      <w:r w:rsidRPr="000C4682">
        <w:rPr>
          <w:i/>
          <w:sz w:val="20"/>
          <w:lang w:val="en-US"/>
        </w:rPr>
        <w:t xml:space="preserve">Signature </w:t>
      </w:r>
      <w:r w:rsidRPr="000C4682">
        <w:rPr>
          <w:sz w:val="20"/>
          <w:lang w:val="en-US"/>
        </w:rPr>
        <w:t xml:space="preserve">       ---------------------------------</w:t>
      </w:r>
    </w:p>
    <w:sectPr w:rsidR="009D51FA" w:rsidRPr="000C4682" w:rsidSect="008E435F">
      <w:headerReference w:type="default" r:id="rId34"/>
      <w:footerReference w:type="default" r:id="rId35"/>
      <w:footerReference w:type="first" r:id="rId36"/>
      <w:pgSz w:w="11907" w:h="16727" w:code="9"/>
      <w:pgMar w:top="1134" w:right="1089" w:bottom="1134" w:left="1089" w:header="567" w:footer="567" w:gutter="0"/>
      <w:paperSrc w:first="15" w:other="15"/>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E6" w:rsidRDefault="00EA6AE6">
      <w:r>
        <w:separator/>
      </w:r>
    </w:p>
  </w:endnote>
  <w:endnote w:type="continuationSeparator" w:id="0">
    <w:p w:rsidR="00EA6AE6" w:rsidRDefault="00EA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D2" w:rsidRDefault="00CA5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D2" w:rsidRDefault="00CA5BD2" w:rsidP="00CA5BD2">
    <w:pPr>
      <w:pStyle w:val="Footer"/>
      <w:rPr>
        <w:sz w:val="16"/>
        <w:szCs w:val="16"/>
        <w:lang w:val="fr-CH"/>
      </w:rPr>
    </w:pPr>
    <w:r>
      <w:rPr>
        <w:sz w:val="16"/>
        <w:szCs w:val="16"/>
        <w:lang w:val="fr-CH"/>
      </w:rPr>
      <w:t>ITU-T\COM-T\COM11\COLL\010F.DOC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8E435F" w:rsidTr="00461728">
      <w:tc>
        <w:tcPr>
          <w:tcW w:w="10149" w:type="dxa"/>
        </w:tcPr>
        <w:p w:rsidR="008E435F" w:rsidRDefault="008E435F" w:rsidP="0046172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8E435F" w:rsidRDefault="008E435F" w:rsidP="00461728">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8E435F" w:rsidRDefault="008E435F" w:rsidP="0046172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r>
            <w:rPr>
              <w:sz w:val="18"/>
            </w:rPr>
            <w:t>Switzerland</w:t>
          </w:r>
          <w:proofErr w:type="spellEnd"/>
          <w:r>
            <w:rPr>
              <w:sz w:val="18"/>
            </w:rPr>
            <w:tab/>
          </w:r>
          <w:r>
            <w:rPr>
              <w:sz w:val="18"/>
            </w:rPr>
            <w:tab/>
            <w:t>Gr4:</w:t>
          </w:r>
          <w:r>
            <w:rPr>
              <w:sz w:val="18"/>
            </w:rPr>
            <w:tab/>
            <w:t>+41 22 730 65 00</w:t>
          </w:r>
          <w:r>
            <w:rPr>
              <w:sz w:val="18"/>
            </w:rPr>
            <w:tab/>
          </w:r>
        </w:p>
      </w:tc>
    </w:tr>
  </w:tbl>
  <w:p w:rsidR="00EA6AE6" w:rsidRPr="008E435F" w:rsidRDefault="00EA6AE6" w:rsidP="008E43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E6" w:rsidRPr="0016582D" w:rsidRDefault="00EA6AE6" w:rsidP="0009739F">
    <w:pPr>
      <w:pStyle w:val="Footer"/>
    </w:pPr>
    <w:r>
      <w:t>ITU-T\COM-T\COM11\COLL\010E.DOC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E6" w:rsidRPr="0016582D" w:rsidRDefault="00EA6AE6" w:rsidP="0009739F">
    <w:pPr>
      <w:pStyle w:val="Footer"/>
    </w:pPr>
    <w:r>
      <w:t>ITU-T\COM-T\COM11\COLL\010E.DOC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B4" w:rsidRDefault="000D15B4" w:rsidP="000D15B4">
    <w:pPr>
      <w:pStyle w:val="Footer"/>
      <w:rPr>
        <w:sz w:val="16"/>
        <w:szCs w:val="16"/>
        <w:lang w:val="fr-CH"/>
      </w:rPr>
    </w:pPr>
    <w:r>
      <w:rPr>
        <w:sz w:val="16"/>
        <w:szCs w:val="16"/>
        <w:lang w:val="fr-CH"/>
      </w:rPr>
      <w:t>ITU-T\COM-T\COM11\COLL\010F.DOC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D2" w:rsidRDefault="00CA5BD2" w:rsidP="00CA5BD2">
    <w:pPr>
      <w:pStyle w:val="Footer"/>
      <w:rPr>
        <w:sz w:val="16"/>
        <w:szCs w:val="16"/>
        <w:lang w:val="fr-CH"/>
      </w:rPr>
    </w:pPr>
    <w:r>
      <w:rPr>
        <w:sz w:val="16"/>
        <w:szCs w:val="16"/>
        <w:lang w:val="fr-CH"/>
      </w:rPr>
      <w:t>ITU-T\COM-T\COM11\COLL\010F.DOC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E6" w:rsidRPr="00A21246" w:rsidRDefault="00EA6AE6" w:rsidP="002E0CF4">
    <w:pPr>
      <w:pStyle w:val="Footer"/>
      <w:rPr>
        <w:sz w:val="16"/>
        <w:szCs w:val="16"/>
        <w:lang w:val="fr-CH"/>
      </w:rPr>
    </w:pPr>
    <w:r w:rsidRPr="00A21246">
      <w:rPr>
        <w:sz w:val="16"/>
        <w:szCs w:val="16"/>
        <w:lang w:val="fr-CH"/>
      </w:rPr>
      <w:t>itu-t\com-t\com</w:t>
    </w:r>
    <w:r>
      <w:rPr>
        <w:sz w:val="16"/>
        <w:szCs w:val="16"/>
        <w:lang w:val="fr-CH"/>
      </w:rPr>
      <w:t>…\coll\...f.doc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E6" w:rsidRDefault="00EA6AE6">
      <w:r>
        <w:t>____________________</w:t>
      </w:r>
    </w:p>
  </w:footnote>
  <w:footnote w:type="continuationSeparator" w:id="0">
    <w:p w:rsidR="00EA6AE6" w:rsidRDefault="00EA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D2" w:rsidRDefault="00CA5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54639"/>
      <w:docPartObj>
        <w:docPartGallery w:val="Page Numbers (Top of Page)"/>
        <w:docPartUnique/>
      </w:docPartObj>
    </w:sdtPr>
    <w:sdtEndPr/>
    <w:sdtContent>
      <w:p w:rsidR="008E435F" w:rsidRDefault="008E435F">
        <w:pPr>
          <w:pStyle w:val="Header"/>
        </w:pPr>
        <w:r>
          <w:fldChar w:fldCharType="begin"/>
        </w:r>
        <w:r>
          <w:instrText>PAGE   \* MERGEFORMAT</w:instrText>
        </w:r>
        <w:r>
          <w:fldChar w:fldCharType="separate"/>
        </w:r>
        <w:r w:rsidR="00F84BB4">
          <w:rPr>
            <w:noProof/>
          </w:rPr>
          <w:t>3</w:t>
        </w:r>
        <w:r>
          <w:fldChar w:fldCharType="end"/>
        </w:r>
      </w:p>
    </w:sdtContent>
  </w:sdt>
  <w:p w:rsidR="00EA6AE6" w:rsidRPr="00173738" w:rsidRDefault="00EA6AE6" w:rsidP="001737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5F" w:rsidRDefault="008E435F" w:rsidP="000A2C5E">
    <w:pPr>
      <w:pStyle w:val="Header"/>
    </w:pPr>
  </w:p>
  <w:p w:rsidR="006F1C79" w:rsidRDefault="006F1C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E6" w:rsidRDefault="00EA6AE6">
    <w:pPr>
      <w:pStyle w:val="Header"/>
    </w:pPr>
    <w:r>
      <w:t xml:space="preserve">- </w:t>
    </w:r>
    <w:r>
      <w:fldChar w:fldCharType="begin"/>
    </w:r>
    <w:r>
      <w:instrText>PAGE</w:instrText>
    </w:r>
    <w:r>
      <w:fldChar w:fldCharType="separate"/>
    </w:r>
    <w:r w:rsidR="00295ECB">
      <w:rPr>
        <w:noProof/>
      </w:rPr>
      <w:t>4</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E6" w:rsidRDefault="00EA6AE6">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295ECB">
      <w:rPr>
        <w:rStyle w:val="PageNumber"/>
        <w:noProof/>
      </w:rPr>
      <w:t>4</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44314"/>
      <w:docPartObj>
        <w:docPartGallery w:val="Page Numbers (Top of Page)"/>
        <w:docPartUnique/>
      </w:docPartObj>
    </w:sdtPr>
    <w:sdtEndPr/>
    <w:sdtContent>
      <w:p w:rsidR="00082085" w:rsidRDefault="00082085">
        <w:pPr>
          <w:pStyle w:val="Header"/>
        </w:pPr>
        <w:r>
          <w:fldChar w:fldCharType="begin"/>
        </w:r>
        <w:r>
          <w:instrText>PAGE   \* MERGEFORMAT</w:instrText>
        </w:r>
        <w:r>
          <w:fldChar w:fldCharType="separate"/>
        </w:r>
        <w:r w:rsidR="00F84BB4">
          <w:rPr>
            <w:noProof/>
          </w:rPr>
          <w:t>4</w:t>
        </w:r>
        <w:r>
          <w:fldChar w:fldCharType="end"/>
        </w:r>
      </w:p>
    </w:sdtContent>
  </w:sdt>
  <w:p w:rsidR="00082085" w:rsidRDefault="000820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490384"/>
      <w:docPartObj>
        <w:docPartGallery w:val="Page Numbers (Top of Page)"/>
        <w:docPartUnique/>
      </w:docPartObj>
    </w:sdtPr>
    <w:sdtEndPr/>
    <w:sdtContent>
      <w:p w:rsidR="008E435F" w:rsidRDefault="008E435F">
        <w:pPr>
          <w:pStyle w:val="Header"/>
        </w:pPr>
        <w:r>
          <w:fldChar w:fldCharType="begin"/>
        </w:r>
        <w:r>
          <w:instrText>PAGE   \* MERGEFORMAT</w:instrText>
        </w:r>
        <w:r>
          <w:fldChar w:fldCharType="separate"/>
        </w:r>
        <w:r w:rsidR="00F84BB4">
          <w:rPr>
            <w:noProof/>
          </w:rPr>
          <w:t>5</w:t>
        </w:r>
        <w:r>
          <w:fldChar w:fldCharType="end"/>
        </w:r>
      </w:p>
    </w:sdtContent>
  </w:sdt>
  <w:p w:rsidR="006F1C79" w:rsidRDefault="006F1C79">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4B930824"/>
    <w:multiLevelType w:val="hybridMultilevel"/>
    <w:tmpl w:val="AD0422DA"/>
    <w:lvl w:ilvl="0" w:tplc="79A07D6E">
      <w:start w:val="1"/>
      <w:numFmt w:val="bullet"/>
      <w:lvlText w:val=""/>
      <w:lvlJc w:val="left"/>
      <w:pPr>
        <w:ind w:left="1080" w:hanging="360"/>
      </w:pPr>
      <w:rPr>
        <w:rFonts w:ascii="Symbol" w:hAnsi="Symbo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5C"/>
    <w:rsid w:val="000039EE"/>
    <w:rsid w:val="00005622"/>
    <w:rsid w:val="0002519E"/>
    <w:rsid w:val="00035B43"/>
    <w:rsid w:val="000758B3"/>
    <w:rsid w:val="00082085"/>
    <w:rsid w:val="0009739F"/>
    <w:rsid w:val="000A2C5E"/>
    <w:rsid w:val="000B0D96"/>
    <w:rsid w:val="000B59D8"/>
    <w:rsid w:val="000C4682"/>
    <w:rsid w:val="000C56BE"/>
    <w:rsid w:val="000D15B4"/>
    <w:rsid w:val="000D1B7A"/>
    <w:rsid w:val="001026FD"/>
    <w:rsid w:val="00115DD7"/>
    <w:rsid w:val="00167472"/>
    <w:rsid w:val="00167F92"/>
    <w:rsid w:val="00173738"/>
    <w:rsid w:val="001B79A3"/>
    <w:rsid w:val="002152A3"/>
    <w:rsid w:val="00295ECB"/>
    <w:rsid w:val="002E0CF4"/>
    <w:rsid w:val="00317E19"/>
    <w:rsid w:val="00333A80"/>
    <w:rsid w:val="00364E95"/>
    <w:rsid w:val="00372875"/>
    <w:rsid w:val="003B1E80"/>
    <w:rsid w:val="003B66E8"/>
    <w:rsid w:val="003D1EFF"/>
    <w:rsid w:val="004033F1"/>
    <w:rsid w:val="00414B0C"/>
    <w:rsid w:val="004257AC"/>
    <w:rsid w:val="00426E2D"/>
    <w:rsid w:val="0043711B"/>
    <w:rsid w:val="00461F54"/>
    <w:rsid w:val="004A5A0C"/>
    <w:rsid w:val="004A6401"/>
    <w:rsid w:val="004B732E"/>
    <w:rsid w:val="004D51F4"/>
    <w:rsid w:val="004D64E0"/>
    <w:rsid w:val="0051210D"/>
    <w:rsid w:val="005136D2"/>
    <w:rsid w:val="00517A03"/>
    <w:rsid w:val="00591181"/>
    <w:rsid w:val="005A1072"/>
    <w:rsid w:val="005A3DD9"/>
    <w:rsid w:val="005B1DFC"/>
    <w:rsid w:val="00601682"/>
    <w:rsid w:val="006333F7"/>
    <w:rsid w:val="006407C0"/>
    <w:rsid w:val="00644741"/>
    <w:rsid w:val="006A6FFE"/>
    <w:rsid w:val="006C5A91"/>
    <w:rsid w:val="006F1C79"/>
    <w:rsid w:val="00716BBC"/>
    <w:rsid w:val="007321BC"/>
    <w:rsid w:val="00760063"/>
    <w:rsid w:val="007655B3"/>
    <w:rsid w:val="00775E4B"/>
    <w:rsid w:val="0079553B"/>
    <w:rsid w:val="007A40FE"/>
    <w:rsid w:val="007D6B18"/>
    <w:rsid w:val="007E3C5C"/>
    <w:rsid w:val="00801B19"/>
    <w:rsid w:val="00810105"/>
    <w:rsid w:val="008157E0"/>
    <w:rsid w:val="00816C40"/>
    <w:rsid w:val="00854E1D"/>
    <w:rsid w:val="00876226"/>
    <w:rsid w:val="00887919"/>
    <w:rsid w:val="00887FA6"/>
    <w:rsid w:val="008C4397"/>
    <w:rsid w:val="008C465A"/>
    <w:rsid w:val="008E435F"/>
    <w:rsid w:val="008F2C9B"/>
    <w:rsid w:val="0090711A"/>
    <w:rsid w:val="00914C4E"/>
    <w:rsid w:val="00923CD6"/>
    <w:rsid w:val="00935AA8"/>
    <w:rsid w:val="00941925"/>
    <w:rsid w:val="00966BA6"/>
    <w:rsid w:val="00971C9A"/>
    <w:rsid w:val="009D51FA"/>
    <w:rsid w:val="009F1E23"/>
    <w:rsid w:val="00A21246"/>
    <w:rsid w:val="00A22B2E"/>
    <w:rsid w:val="00A51537"/>
    <w:rsid w:val="00A5280F"/>
    <w:rsid w:val="00A60FC1"/>
    <w:rsid w:val="00A97C37"/>
    <w:rsid w:val="00AC3582"/>
    <w:rsid w:val="00AC37B5"/>
    <w:rsid w:val="00AD752F"/>
    <w:rsid w:val="00B27B41"/>
    <w:rsid w:val="00B6651A"/>
    <w:rsid w:val="00B70EFD"/>
    <w:rsid w:val="00B723E6"/>
    <w:rsid w:val="00B74F1E"/>
    <w:rsid w:val="00B8573E"/>
    <w:rsid w:val="00BB24C0"/>
    <w:rsid w:val="00C26F2E"/>
    <w:rsid w:val="00C45376"/>
    <w:rsid w:val="00C9028F"/>
    <w:rsid w:val="00CA0416"/>
    <w:rsid w:val="00CA5BD2"/>
    <w:rsid w:val="00CB1125"/>
    <w:rsid w:val="00CD042E"/>
    <w:rsid w:val="00CF2560"/>
    <w:rsid w:val="00CF5B46"/>
    <w:rsid w:val="00D46B68"/>
    <w:rsid w:val="00D50825"/>
    <w:rsid w:val="00D542A5"/>
    <w:rsid w:val="00DC3D47"/>
    <w:rsid w:val="00DD77DA"/>
    <w:rsid w:val="00DE09CC"/>
    <w:rsid w:val="00DF33F7"/>
    <w:rsid w:val="00DF427E"/>
    <w:rsid w:val="00E06C61"/>
    <w:rsid w:val="00E13DB3"/>
    <w:rsid w:val="00E2408B"/>
    <w:rsid w:val="00E47E65"/>
    <w:rsid w:val="00E72AE1"/>
    <w:rsid w:val="00E81AFF"/>
    <w:rsid w:val="00EA6AE6"/>
    <w:rsid w:val="00ED6A7A"/>
    <w:rsid w:val="00F346CE"/>
    <w:rsid w:val="00F34F98"/>
    <w:rsid w:val="00F40540"/>
    <w:rsid w:val="00F84BB4"/>
    <w:rsid w:val="00F9451D"/>
    <w:rsid w:val="00FB3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0C4682"/>
    <w:rPr>
      <w:color w:val="800080" w:themeColor="followedHyperlink"/>
      <w:u w:val="single"/>
    </w:rPr>
  </w:style>
  <w:style w:type="paragraph" w:styleId="ListParagraph">
    <w:name w:val="List Paragraph"/>
    <w:basedOn w:val="Normal"/>
    <w:uiPriority w:val="34"/>
    <w:qFormat/>
    <w:rsid w:val="00426E2D"/>
    <w:pPr>
      <w:ind w:left="720"/>
      <w:contextualSpacing/>
    </w:pPr>
  </w:style>
  <w:style w:type="character" w:styleId="CommentReference">
    <w:name w:val="annotation reference"/>
    <w:basedOn w:val="DefaultParagraphFont"/>
    <w:rsid w:val="004A6401"/>
    <w:rPr>
      <w:sz w:val="16"/>
      <w:szCs w:val="16"/>
    </w:rPr>
  </w:style>
  <w:style w:type="paragraph" w:styleId="CommentText">
    <w:name w:val="annotation text"/>
    <w:basedOn w:val="Normal"/>
    <w:link w:val="CommentTextChar"/>
    <w:rsid w:val="004A6401"/>
    <w:rPr>
      <w:sz w:val="20"/>
    </w:rPr>
  </w:style>
  <w:style w:type="character" w:customStyle="1" w:styleId="CommentTextChar">
    <w:name w:val="Comment Text Char"/>
    <w:basedOn w:val="DefaultParagraphFont"/>
    <w:link w:val="CommentText"/>
    <w:rsid w:val="004A6401"/>
    <w:rPr>
      <w:rFonts w:ascii="Times New Roman" w:hAnsi="Times New Roman"/>
      <w:lang w:val="fr-FR" w:eastAsia="en-US"/>
    </w:rPr>
  </w:style>
  <w:style w:type="paragraph" w:styleId="CommentSubject">
    <w:name w:val="annotation subject"/>
    <w:basedOn w:val="CommentText"/>
    <w:next w:val="CommentText"/>
    <w:link w:val="CommentSubjectChar"/>
    <w:rsid w:val="004A6401"/>
    <w:rPr>
      <w:b/>
      <w:bCs/>
    </w:rPr>
  </w:style>
  <w:style w:type="character" w:customStyle="1" w:styleId="CommentSubjectChar">
    <w:name w:val="Comment Subject Char"/>
    <w:basedOn w:val="CommentTextChar"/>
    <w:link w:val="CommentSubject"/>
    <w:rsid w:val="004A6401"/>
    <w:rPr>
      <w:rFonts w:ascii="Times New Roman" w:hAnsi="Times New Roman"/>
      <w:b/>
      <w:bCs/>
      <w:lang w:val="fr-FR" w:eastAsia="en-US"/>
    </w:rPr>
  </w:style>
  <w:style w:type="paragraph" w:styleId="Revision">
    <w:name w:val="Revision"/>
    <w:hidden/>
    <w:uiPriority w:val="99"/>
    <w:semiHidden/>
    <w:rsid w:val="004A6401"/>
    <w:rPr>
      <w:rFonts w:ascii="Times New Roman" w:hAnsi="Times New Roman"/>
      <w:sz w:val="24"/>
      <w:lang w:val="fr-FR" w:eastAsia="en-US"/>
    </w:rPr>
  </w:style>
  <w:style w:type="paragraph" w:styleId="BalloonText">
    <w:name w:val="Balloon Text"/>
    <w:basedOn w:val="Normal"/>
    <w:link w:val="BalloonTextChar"/>
    <w:rsid w:val="004A6401"/>
    <w:pPr>
      <w:spacing w:before="0"/>
    </w:pPr>
    <w:rPr>
      <w:rFonts w:ascii="Tahoma" w:hAnsi="Tahoma" w:cs="Tahoma"/>
      <w:sz w:val="16"/>
      <w:szCs w:val="16"/>
    </w:rPr>
  </w:style>
  <w:style w:type="character" w:customStyle="1" w:styleId="BalloonTextChar">
    <w:name w:val="Balloon Text Char"/>
    <w:basedOn w:val="DefaultParagraphFont"/>
    <w:link w:val="BalloonText"/>
    <w:rsid w:val="004A6401"/>
    <w:rPr>
      <w:rFonts w:ascii="Tahoma" w:hAnsi="Tahoma" w:cs="Tahoma"/>
      <w:sz w:val="16"/>
      <w:szCs w:val="16"/>
      <w:lang w:val="fr-FR" w:eastAsia="en-US"/>
    </w:rPr>
  </w:style>
  <w:style w:type="paragraph" w:customStyle="1" w:styleId="LetterEnd">
    <w:name w:val="Letter_End"/>
    <w:basedOn w:val="Normal"/>
    <w:rsid w:val="0009739F"/>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0C4682"/>
    <w:rPr>
      <w:color w:val="800080" w:themeColor="followedHyperlink"/>
      <w:u w:val="single"/>
    </w:rPr>
  </w:style>
  <w:style w:type="paragraph" w:styleId="ListParagraph">
    <w:name w:val="List Paragraph"/>
    <w:basedOn w:val="Normal"/>
    <w:uiPriority w:val="34"/>
    <w:qFormat/>
    <w:rsid w:val="00426E2D"/>
    <w:pPr>
      <w:ind w:left="720"/>
      <w:contextualSpacing/>
    </w:pPr>
  </w:style>
  <w:style w:type="character" w:styleId="CommentReference">
    <w:name w:val="annotation reference"/>
    <w:basedOn w:val="DefaultParagraphFont"/>
    <w:rsid w:val="004A6401"/>
    <w:rPr>
      <w:sz w:val="16"/>
      <w:szCs w:val="16"/>
    </w:rPr>
  </w:style>
  <w:style w:type="paragraph" w:styleId="CommentText">
    <w:name w:val="annotation text"/>
    <w:basedOn w:val="Normal"/>
    <w:link w:val="CommentTextChar"/>
    <w:rsid w:val="004A6401"/>
    <w:rPr>
      <w:sz w:val="20"/>
    </w:rPr>
  </w:style>
  <w:style w:type="character" w:customStyle="1" w:styleId="CommentTextChar">
    <w:name w:val="Comment Text Char"/>
    <w:basedOn w:val="DefaultParagraphFont"/>
    <w:link w:val="CommentText"/>
    <w:rsid w:val="004A6401"/>
    <w:rPr>
      <w:rFonts w:ascii="Times New Roman" w:hAnsi="Times New Roman"/>
      <w:lang w:val="fr-FR" w:eastAsia="en-US"/>
    </w:rPr>
  </w:style>
  <w:style w:type="paragraph" w:styleId="CommentSubject">
    <w:name w:val="annotation subject"/>
    <w:basedOn w:val="CommentText"/>
    <w:next w:val="CommentText"/>
    <w:link w:val="CommentSubjectChar"/>
    <w:rsid w:val="004A6401"/>
    <w:rPr>
      <w:b/>
      <w:bCs/>
    </w:rPr>
  </w:style>
  <w:style w:type="character" w:customStyle="1" w:styleId="CommentSubjectChar">
    <w:name w:val="Comment Subject Char"/>
    <w:basedOn w:val="CommentTextChar"/>
    <w:link w:val="CommentSubject"/>
    <w:rsid w:val="004A6401"/>
    <w:rPr>
      <w:rFonts w:ascii="Times New Roman" w:hAnsi="Times New Roman"/>
      <w:b/>
      <w:bCs/>
      <w:lang w:val="fr-FR" w:eastAsia="en-US"/>
    </w:rPr>
  </w:style>
  <w:style w:type="paragraph" w:styleId="Revision">
    <w:name w:val="Revision"/>
    <w:hidden/>
    <w:uiPriority w:val="99"/>
    <w:semiHidden/>
    <w:rsid w:val="004A6401"/>
    <w:rPr>
      <w:rFonts w:ascii="Times New Roman" w:hAnsi="Times New Roman"/>
      <w:sz w:val="24"/>
      <w:lang w:val="fr-FR" w:eastAsia="en-US"/>
    </w:rPr>
  </w:style>
  <w:style w:type="paragraph" w:styleId="BalloonText">
    <w:name w:val="Balloon Text"/>
    <w:basedOn w:val="Normal"/>
    <w:link w:val="BalloonTextChar"/>
    <w:rsid w:val="004A6401"/>
    <w:pPr>
      <w:spacing w:before="0"/>
    </w:pPr>
    <w:rPr>
      <w:rFonts w:ascii="Tahoma" w:hAnsi="Tahoma" w:cs="Tahoma"/>
      <w:sz w:val="16"/>
      <w:szCs w:val="16"/>
    </w:rPr>
  </w:style>
  <w:style w:type="character" w:customStyle="1" w:styleId="BalloonTextChar">
    <w:name w:val="Balloon Text Char"/>
    <w:basedOn w:val="DefaultParagraphFont"/>
    <w:link w:val="BalloonText"/>
    <w:rsid w:val="004A6401"/>
    <w:rPr>
      <w:rFonts w:ascii="Tahoma" w:hAnsi="Tahoma" w:cs="Tahoma"/>
      <w:sz w:val="16"/>
      <w:szCs w:val="16"/>
      <w:lang w:val="fr-FR" w:eastAsia="en-US"/>
    </w:rPr>
  </w:style>
  <w:style w:type="paragraph" w:customStyle="1" w:styleId="LetterEnd">
    <w:name w:val="Letter_End"/>
    <w:basedOn w:val="Normal"/>
    <w:rsid w:val="0009739F"/>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86110">
      <w:bodyDiv w:val="1"/>
      <w:marLeft w:val="0"/>
      <w:marRight w:val="0"/>
      <w:marTop w:val="0"/>
      <w:marBottom w:val="0"/>
      <w:divBdr>
        <w:top w:val="none" w:sz="0" w:space="0" w:color="auto"/>
        <w:left w:val="none" w:sz="0" w:space="0" w:color="auto"/>
        <w:bottom w:val="none" w:sz="0" w:space="0" w:color="auto"/>
        <w:right w:val="none" w:sz="0" w:space="0" w:color="auto"/>
      </w:divBdr>
    </w:div>
    <w:div w:id="1128159835">
      <w:bodyDiv w:val="1"/>
      <w:marLeft w:val="0"/>
      <w:marRight w:val="0"/>
      <w:marTop w:val="0"/>
      <w:marBottom w:val="0"/>
      <w:divBdr>
        <w:top w:val="none" w:sz="0" w:space="0" w:color="auto"/>
        <w:left w:val="none" w:sz="0" w:space="0" w:color="auto"/>
        <w:bottom w:val="none" w:sz="0" w:space="0" w:color="auto"/>
        <w:right w:val="none" w:sz="0" w:space="0" w:color="auto"/>
      </w:divBdr>
    </w:div>
    <w:div w:id="21338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Default.aspx?groupid=7279"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mailto:tsbsg11@itu.int"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33" Type="http://schemas.openxmlformats.org/officeDocument/2006/relationships/image" Target="media/image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studygroups/com11"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ngn/index.phtml" TargetMode="Externa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yperlink" Target="mailto:tsbsg11@itu.int" TargetMode="External"/><Relationship Id="rId19" Type="http://schemas.openxmlformats.org/officeDocument/2006/relationships/hyperlink" Target="http://www.itu.int/travel/"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1CEC-650B-4A47-8357-AC486DEF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5</Pages>
  <Words>1869</Words>
  <Characters>10659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12503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Bettini, Nadine</cp:lastModifiedBy>
  <cp:revision>2</cp:revision>
  <cp:lastPrinted>2011-12-14T14:14:00Z</cp:lastPrinted>
  <dcterms:created xsi:type="dcterms:W3CDTF">2011-12-15T13:24:00Z</dcterms:created>
  <dcterms:modified xsi:type="dcterms:W3CDTF">2011-12-15T13:24:00Z</dcterms:modified>
</cp:coreProperties>
</file>