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7"/>
        <w:gridCol w:w="2400"/>
        <w:gridCol w:w="840"/>
        <w:gridCol w:w="4740"/>
      </w:tblGrid>
      <w:tr w:rsidR="00D924FE" w:rsidRPr="00D924FE">
        <w:trPr>
          <w:cantSplit/>
        </w:trPr>
        <w:tc>
          <w:tcPr>
            <w:tcW w:w="5217" w:type="dxa"/>
            <w:gridSpan w:val="3"/>
          </w:tcPr>
          <w:p w:rsidR="00D924FE" w:rsidRPr="00D924FE" w:rsidRDefault="00D924FE" w:rsidP="00D924FE">
            <w:pPr>
              <w:rPr>
                <w:sz w:val="20"/>
                <w:lang w:val="fr-CH"/>
              </w:rPr>
            </w:pPr>
            <w:bookmarkStart w:id="0" w:name="dsg" w:colFirst="1" w:colLast="1"/>
            <w:bookmarkStart w:id="1" w:name="dtableau"/>
            <w:r w:rsidRPr="00D924FE">
              <w:rPr>
                <w:sz w:val="20"/>
                <w:lang w:val="fr-CH"/>
              </w:rPr>
              <w:t>UNIÓN INTERNACIONAL DE TELECOMUNICACIONES</w:t>
            </w:r>
          </w:p>
        </w:tc>
        <w:tc>
          <w:tcPr>
            <w:tcW w:w="4740" w:type="dxa"/>
          </w:tcPr>
          <w:p w:rsidR="00D924FE" w:rsidRPr="00D924FE" w:rsidRDefault="00D924FE" w:rsidP="00D924FE">
            <w:pPr>
              <w:jc w:val="right"/>
              <w:rPr>
                <w:b/>
                <w:bCs/>
                <w:smallCaps/>
                <w:sz w:val="32"/>
                <w:lang w:val="fr-CH"/>
              </w:rPr>
            </w:pPr>
            <w:r>
              <w:rPr>
                <w:b/>
                <w:bCs/>
                <w:smallCaps/>
                <w:sz w:val="32"/>
                <w:lang w:val="fr-CH"/>
              </w:rPr>
              <w:t xml:space="preserve">COMISIÓN </w:t>
            </w:r>
            <w:proofErr w:type="gramStart"/>
            <w:r>
              <w:rPr>
                <w:b/>
                <w:bCs/>
                <w:smallCaps/>
                <w:sz w:val="32"/>
                <w:lang w:val="fr-CH"/>
              </w:rPr>
              <w:t>DE ESTUDIO</w:t>
            </w:r>
            <w:proofErr w:type="gramEnd"/>
            <w:r>
              <w:rPr>
                <w:b/>
                <w:bCs/>
                <w:smallCaps/>
                <w:sz w:val="32"/>
                <w:lang w:val="fr-CH"/>
              </w:rPr>
              <w:t xml:space="preserve"> 3</w:t>
            </w:r>
          </w:p>
        </w:tc>
      </w:tr>
      <w:tr w:rsidR="00D924FE" w:rsidRPr="00D924FE">
        <w:trPr>
          <w:cantSplit/>
          <w:trHeight w:val="780"/>
        </w:trPr>
        <w:tc>
          <w:tcPr>
            <w:tcW w:w="4377" w:type="dxa"/>
            <w:gridSpan w:val="2"/>
            <w:vMerge w:val="restart"/>
            <w:tcBorders>
              <w:bottom w:val="nil"/>
            </w:tcBorders>
          </w:tcPr>
          <w:p w:rsidR="00D924FE" w:rsidRPr="00D924FE" w:rsidRDefault="00D924FE" w:rsidP="00D924FE">
            <w:pPr>
              <w:rPr>
                <w:b/>
                <w:bCs/>
                <w:sz w:val="26"/>
                <w:lang w:val="es-ES"/>
              </w:rPr>
            </w:pPr>
            <w:bookmarkStart w:id="2" w:name="dnum" w:colFirst="1" w:colLast="1"/>
            <w:bookmarkEnd w:id="0"/>
            <w:r w:rsidRPr="00D924FE">
              <w:rPr>
                <w:b/>
                <w:bCs/>
                <w:sz w:val="26"/>
                <w:lang w:val="es-ES"/>
              </w:rPr>
              <w:t>SECTOR DE NORMALIZACIÓN DE LAS TELECOMUNICACIONES</w:t>
            </w:r>
          </w:p>
          <w:p w:rsidR="00D924FE" w:rsidRPr="00D924FE" w:rsidRDefault="00D924FE" w:rsidP="00D924FE">
            <w:pPr>
              <w:rPr>
                <w:smallCaps/>
                <w:sz w:val="20"/>
              </w:rPr>
            </w:pPr>
            <w:r w:rsidRPr="00D924FE">
              <w:rPr>
                <w:sz w:val="20"/>
              </w:rPr>
              <w:t xml:space="preserve">PERIODO DE ESTUDIOS </w:t>
            </w:r>
            <w:r>
              <w:rPr>
                <w:sz w:val="20"/>
              </w:rPr>
              <w:t>2009-2012</w:t>
            </w:r>
          </w:p>
        </w:tc>
        <w:tc>
          <w:tcPr>
            <w:tcW w:w="5580" w:type="dxa"/>
            <w:gridSpan w:val="2"/>
            <w:tcBorders>
              <w:bottom w:val="nil"/>
            </w:tcBorders>
            <w:vAlign w:val="center"/>
          </w:tcPr>
          <w:p w:rsidR="00D924FE" w:rsidRPr="00D924FE" w:rsidRDefault="00D924FE" w:rsidP="009A40E4">
            <w:pPr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 xml:space="preserve">TD </w:t>
            </w:r>
            <w:r w:rsidR="009A40E4">
              <w:rPr>
                <w:b/>
                <w:bCs/>
                <w:sz w:val="40"/>
              </w:rPr>
              <w:t xml:space="preserve">27 </w:t>
            </w:r>
            <w:r>
              <w:rPr>
                <w:b/>
                <w:bCs/>
                <w:sz w:val="40"/>
              </w:rPr>
              <w:t>(GT 1/</w:t>
            </w:r>
            <w:r w:rsidR="009A40E4">
              <w:rPr>
                <w:b/>
                <w:bCs/>
                <w:sz w:val="40"/>
              </w:rPr>
              <w:t>3</w:t>
            </w:r>
            <w:r>
              <w:rPr>
                <w:b/>
                <w:bCs/>
                <w:sz w:val="40"/>
              </w:rPr>
              <w:t>)-S</w:t>
            </w:r>
          </w:p>
        </w:tc>
      </w:tr>
      <w:tr w:rsidR="00D924FE" w:rsidRPr="00D924FE">
        <w:trPr>
          <w:cantSplit/>
          <w:trHeight w:val="355"/>
        </w:trPr>
        <w:tc>
          <w:tcPr>
            <w:tcW w:w="4377" w:type="dxa"/>
            <w:gridSpan w:val="2"/>
            <w:vMerge/>
            <w:tcBorders>
              <w:bottom w:val="single" w:sz="12" w:space="0" w:color="auto"/>
            </w:tcBorders>
          </w:tcPr>
          <w:p w:rsidR="00D924FE" w:rsidRPr="00D924FE" w:rsidRDefault="00D924FE" w:rsidP="00D924FE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580" w:type="dxa"/>
            <w:gridSpan w:val="2"/>
            <w:tcBorders>
              <w:bottom w:val="single" w:sz="12" w:space="0" w:color="auto"/>
            </w:tcBorders>
            <w:vAlign w:val="center"/>
          </w:tcPr>
          <w:p w:rsidR="00D924FE" w:rsidRPr="00D924FE" w:rsidRDefault="00D924FE" w:rsidP="00D924F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inglés</w:t>
            </w:r>
          </w:p>
        </w:tc>
      </w:tr>
      <w:tr w:rsidR="00D924FE" w:rsidRPr="00D924FE">
        <w:trPr>
          <w:cantSplit/>
          <w:trHeight w:val="357"/>
        </w:trPr>
        <w:tc>
          <w:tcPr>
            <w:tcW w:w="1977" w:type="dxa"/>
          </w:tcPr>
          <w:p w:rsidR="00D924FE" w:rsidRPr="00D924FE" w:rsidRDefault="00D924FE" w:rsidP="00D924F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3"/>
            <w:r w:rsidRPr="00D924FE">
              <w:rPr>
                <w:b/>
                <w:bCs/>
              </w:rPr>
              <w:t>Cuestión:</w:t>
            </w:r>
          </w:p>
        </w:tc>
        <w:tc>
          <w:tcPr>
            <w:tcW w:w="3240" w:type="dxa"/>
            <w:gridSpan w:val="2"/>
          </w:tcPr>
          <w:p w:rsidR="00D924FE" w:rsidRPr="00D924FE" w:rsidRDefault="00D924FE" w:rsidP="00ED1E86">
            <w:r>
              <w:t>1/</w:t>
            </w:r>
            <w:r w:rsidR="00ED1E86">
              <w:t>3</w:t>
            </w:r>
          </w:p>
        </w:tc>
        <w:tc>
          <w:tcPr>
            <w:tcW w:w="4740" w:type="dxa"/>
          </w:tcPr>
          <w:p w:rsidR="00D924FE" w:rsidRPr="00D924FE" w:rsidRDefault="00D924FE" w:rsidP="00D924FE">
            <w:pPr>
              <w:jc w:val="right"/>
            </w:pPr>
          </w:p>
        </w:tc>
      </w:tr>
      <w:tr w:rsidR="00D924FE" w:rsidRPr="00D924FE">
        <w:trPr>
          <w:cantSplit/>
          <w:trHeight w:val="357"/>
        </w:trPr>
        <w:tc>
          <w:tcPr>
            <w:tcW w:w="9957" w:type="dxa"/>
            <w:gridSpan w:val="4"/>
          </w:tcPr>
          <w:p w:rsidR="00D924FE" w:rsidRPr="00D924FE" w:rsidRDefault="009A40E4" w:rsidP="00D924FE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>Documento Temporal</w:t>
            </w:r>
          </w:p>
        </w:tc>
      </w:tr>
      <w:tr w:rsidR="00D924FE" w:rsidRPr="00D924FE">
        <w:trPr>
          <w:cantSplit/>
          <w:trHeight w:val="357"/>
        </w:trPr>
        <w:tc>
          <w:tcPr>
            <w:tcW w:w="1977" w:type="dxa"/>
          </w:tcPr>
          <w:p w:rsidR="00D924FE" w:rsidRPr="00D924FE" w:rsidRDefault="00D924FE" w:rsidP="00D924FE">
            <w:pPr>
              <w:rPr>
                <w:b/>
                <w:bCs/>
                <w:lang w:val="en-GB"/>
              </w:rPr>
            </w:pPr>
            <w:bookmarkStart w:id="7" w:name="dsource" w:colFirst="1" w:colLast="1"/>
            <w:bookmarkEnd w:id="6"/>
            <w:r w:rsidRPr="00D924FE">
              <w:rPr>
                <w:b/>
                <w:bCs/>
                <w:lang w:val="en-GB"/>
              </w:rPr>
              <w:t>Origen:</w:t>
            </w:r>
          </w:p>
        </w:tc>
        <w:tc>
          <w:tcPr>
            <w:tcW w:w="7980" w:type="dxa"/>
            <w:gridSpan w:val="3"/>
          </w:tcPr>
          <w:p w:rsidR="00D924FE" w:rsidRPr="00D924FE" w:rsidRDefault="009A40E4" w:rsidP="00D924FE">
            <w:pPr>
              <w:rPr>
                <w:lang w:val="fr-CH"/>
              </w:rPr>
            </w:pPr>
            <w:r>
              <w:rPr>
                <w:lang w:val="fr-CH"/>
              </w:rPr>
              <w:t>TSB</w:t>
            </w:r>
          </w:p>
        </w:tc>
      </w:tr>
      <w:tr w:rsidR="00D924FE" w:rsidRPr="00D924FE">
        <w:trPr>
          <w:cantSplit/>
          <w:trHeight w:val="357"/>
        </w:trPr>
        <w:tc>
          <w:tcPr>
            <w:tcW w:w="1977" w:type="dxa"/>
            <w:tcBorders>
              <w:bottom w:val="single" w:sz="12" w:space="0" w:color="auto"/>
            </w:tcBorders>
          </w:tcPr>
          <w:p w:rsidR="00D924FE" w:rsidRPr="00D924FE" w:rsidRDefault="00D924FE" w:rsidP="00D924FE">
            <w:pPr>
              <w:spacing w:after="120"/>
              <w:rPr>
                <w:b/>
                <w:bCs/>
                <w:lang w:val="fr-CH"/>
              </w:rPr>
            </w:pPr>
            <w:bookmarkStart w:id="8" w:name="dtitle1" w:colFirst="1" w:colLast="1"/>
            <w:bookmarkEnd w:id="7"/>
            <w:r w:rsidRPr="00D924FE">
              <w:rPr>
                <w:b/>
                <w:bCs/>
                <w:lang w:val="fr-CH"/>
              </w:rPr>
              <w:t>Título:</w:t>
            </w:r>
          </w:p>
        </w:tc>
        <w:tc>
          <w:tcPr>
            <w:tcW w:w="7980" w:type="dxa"/>
            <w:gridSpan w:val="3"/>
            <w:tcBorders>
              <w:bottom w:val="single" w:sz="12" w:space="0" w:color="auto"/>
            </w:tcBorders>
          </w:tcPr>
          <w:p w:rsidR="00D924FE" w:rsidRPr="009A40E4" w:rsidRDefault="009A40E4" w:rsidP="00D924FE">
            <w:pPr>
              <w:spacing w:after="120"/>
            </w:pPr>
            <w:r w:rsidRPr="00F67EFE">
              <w:rPr>
                <w:szCs w:val="24"/>
              </w:rPr>
              <w:t xml:space="preserve">Informe de ISOC, OCDE y UNESCO: La relación entre el contenido local, la evolución de Internet y </w:t>
            </w:r>
            <w:r>
              <w:rPr>
                <w:szCs w:val="24"/>
              </w:rPr>
              <w:t xml:space="preserve">el </w:t>
            </w:r>
            <w:r w:rsidRPr="00F67EFE">
              <w:rPr>
                <w:szCs w:val="24"/>
              </w:rPr>
              <w:t>precios de</w:t>
            </w:r>
            <w:r>
              <w:rPr>
                <w:szCs w:val="24"/>
              </w:rPr>
              <w:t>l</w:t>
            </w:r>
            <w:r w:rsidRPr="00F67EFE">
              <w:rPr>
                <w:szCs w:val="24"/>
              </w:rPr>
              <w:t xml:space="preserve"> acceso</w:t>
            </w:r>
          </w:p>
        </w:tc>
      </w:tr>
      <w:bookmarkEnd w:id="1"/>
      <w:bookmarkEnd w:id="8"/>
    </w:tbl>
    <w:p w:rsidR="003865B1" w:rsidRDefault="003865B1" w:rsidP="00103412"/>
    <w:p w:rsidR="009A40E4" w:rsidRPr="008A0457" w:rsidRDefault="009A40E4" w:rsidP="008A0457">
      <w:pPr>
        <w:pStyle w:val="Headingb"/>
      </w:pPr>
      <w:r w:rsidRPr="008A0457">
        <w:t>La relación entre el contenido local, la evolución de Internet y el precio del acceso</w:t>
      </w:r>
    </w:p>
    <w:p w:rsidR="009A40E4" w:rsidRPr="008A0457" w:rsidRDefault="009A40E4" w:rsidP="008A0457">
      <w:pPr>
        <w:pStyle w:val="Headingb"/>
      </w:pPr>
      <w:r w:rsidRPr="008A0457">
        <w:t xml:space="preserve">Informe de: The Internet Society, OCDE, Organización de las Naciones Unidas para la Educación, la Ciencia y la Cultura </w:t>
      </w:r>
    </w:p>
    <w:p w:rsidR="009A40E4" w:rsidRPr="009A40E4" w:rsidRDefault="009A40E4" w:rsidP="008A0457">
      <w:pPr>
        <w:pStyle w:val="Headingb"/>
      </w:pPr>
      <w:r w:rsidRPr="009A40E4">
        <w:t>CONCLUSIONES MÁS IMPORTANTES</w:t>
      </w:r>
    </w:p>
    <w:p w:rsidR="009A40E4" w:rsidRPr="009A40E4" w:rsidRDefault="009A40E4" w:rsidP="009A40E4">
      <w:pPr>
        <w:rPr>
          <w:rFonts w:asciiTheme="majorBidi" w:hAnsiTheme="majorBidi" w:cstheme="majorBidi"/>
          <w:szCs w:val="24"/>
        </w:rPr>
      </w:pPr>
      <w:r w:rsidRPr="00F67EFE">
        <w:rPr>
          <w:rFonts w:asciiTheme="majorBidi" w:hAnsiTheme="majorBidi" w:cstheme="majorBidi"/>
          <w:szCs w:val="24"/>
        </w:rPr>
        <w:t>1.</w:t>
      </w:r>
      <w:r w:rsidRPr="00F67EFE">
        <w:rPr>
          <w:rFonts w:asciiTheme="majorBidi" w:hAnsiTheme="majorBidi" w:cstheme="majorBidi"/>
          <w:b/>
          <w:bCs/>
          <w:szCs w:val="24"/>
        </w:rPr>
        <w:t xml:space="preserve"> Las sociedades tienen una rica herencia y una base de conocimientos dignas de ser reconocidas, conservadas y compartidas en beneficio de todos los pueblos del mundo</w:t>
      </w:r>
      <w:r w:rsidRPr="00F67EFE">
        <w:rPr>
          <w:rFonts w:asciiTheme="majorBidi" w:hAnsiTheme="majorBidi" w:cstheme="majorBidi"/>
          <w:szCs w:val="24"/>
        </w:rPr>
        <w:t>. Gran parte de los contenidos mundiales permanecen inaccesibles incluso para las poblaciones locales, huelga decir a nivele</w:t>
      </w:r>
      <w:r>
        <w:rPr>
          <w:rFonts w:asciiTheme="majorBidi" w:hAnsiTheme="majorBidi" w:cstheme="majorBidi"/>
          <w:szCs w:val="24"/>
        </w:rPr>
        <w:t xml:space="preserve">s más amplios. </w:t>
      </w:r>
      <w:r w:rsidRPr="00F67EFE">
        <w:rPr>
          <w:rFonts w:asciiTheme="majorBidi" w:hAnsiTheme="majorBidi" w:cstheme="majorBidi"/>
          <w:szCs w:val="24"/>
        </w:rPr>
        <w:t xml:space="preserve">Esta </w:t>
      </w:r>
      <w:r w:rsidR="00ED1E86">
        <w:rPr>
          <w:rFonts w:asciiTheme="majorBidi" w:hAnsiTheme="majorBidi" w:cstheme="majorBidi"/>
          <w:szCs w:val="24"/>
        </w:rPr>
        <w:t>"</w:t>
      </w:r>
      <w:r w:rsidRPr="00F67EFE">
        <w:rPr>
          <w:rFonts w:asciiTheme="majorBidi" w:hAnsiTheme="majorBidi" w:cstheme="majorBidi"/>
          <w:szCs w:val="24"/>
        </w:rPr>
        <w:t>brecha de contenido</w:t>
      </w:r>
      <w:r w:rsidR="00ED1E86">
        <w:rPr>
          <w:rFonts w:asciiTheme="majorBidi" w:hAnsiTheme="majorBidi" w:cstheme="majorBidi"/>
          <w:szCs w:val="24"/>
        </w:rPr>
        <w:t>"</w:t>
      </w:r>
      <w:r w:rsidRPr="00F67EFE">
        <w:rPr>
          <w:rFonts w:asciiTheme="majorBidi" w:hAnsiTheme="majorBidi" w:cstheme="majorBidi"/>
          <w:szCs w:val="24"/>
        </w:rPr>
        <w:t xml:space="preserve"> existe por muy diversas razones</w:t>
      </w:r>
      <w:r w:rsidRPr="009A40E4">
        <w:rPr>
          <w:rFonts w:asciiTheme="majorBidi" w:hAnsiTheme="majorBidi" w:cstheme="majorBidi"/>
          <w:szCs w:val="24"/>
        </w:rPr>
        <w:t>.</w:t>
      </w:r>
    </w:p>
    <w:p w:rsidR="009A40E4" w:rsidRPr="00D17817" w:rsidRDefault="009A40E4" w:rsidP="009A40E4">
      <w:pPr>
        <w:rPr>
          <w:rFonts w:asciiTheme="majorBidi" w:hAnsiTheme="majorBidi" w:cstheme="majorBidi"/>
          <w:szCs w:val="24"/>
        </w:rPr>
      </w:pPr>
      <w:r w:rsidRPr="00F67EFE">
        <w:rPr>
          <w:rFonts w:asciiTheme="majorBidi" w:hAnsiTheme="majorBidi" w:cstheme="majorBidi"/>
          <w:szCs w:val="24"/>
        </w:rPr>
        <w:t xml:space="preserve">2. </w:t>
      </w:r>
      <w:r w:rsidRPr="00F67EFE">
        <w:rPr>
          <w:rFonts w:asciiTheme="majorBidi" w:hAnsiTheme="majorBidi" w:cstheme="majorBidi"/>
          <w:b/>
          <w:bCs/>
          <w:szCs w:val="24"/>
        </w:rPr>
        <w:t>El contenido más importante para las personas suele ser el que existe en su propio idioma y atañe a las comunidades en que viven y trabajan</w:t>
      </w:r>
      <w:r w:rsidRPr="00F67EFE">
        <w:rPr>
          <w:rFonts w:asciiTheme="majorBidi" w:hAnsiTheme="majorBidi" w:cstheme="majorBidi"/>
          <w:szCs w:val="24"/>
        </w:rPr>
        <w:t xml:space="preserve">. Esas comunidades pueden definirse por su ubicación, cultura, idioma, religión, etnia o esfera de interés y las personas pueden pertenecer a muchas comunidades al mismo tiempo. Además, las comunidades evolucionan por lo que los elementos de importancia variarán con el tiempo. El contenido pertinente suele denominarse </w:t>
      </w:r>
      <w:r w:rsidR="00ED1E86">
        <w:rPr>
          <w:rFonts w:asciiTheme="majorBidi" w:hAnsiTheme="majorBidi" w:cstheme="majorBidi"/>
          <w:szCs w:val="24"/>
        </w:rPr>
        <w:t>"</w:t>
      </w:r>
      <w:r w:rsidRPr="00F67EFE">
        <w:rPr>
          <w:rFonts w:asciiTheme="majorBidi" w:hAnsiTheme="majorBidi" w:cstheme="majorBidi"/>
          <w:szCs w:val="24"/>
        </w:rPr>
        <w:t>contenido local</w:t>
      </w:r>
      <w:r w:rsidR="00ED1E86">
        <w:rPr>
          <w:rFonts w:asciiTheme="majorBidi" w:hAnsiTheme="majorBidi" w:cstheme="majorBidi"/>
          <w:szCs w:val="24"/>
        </w:rPr>
        <w:t>"</w:t>
      </w:r>
      <w:r w:rsidRPr="00F67EFE">
        <w:rPr>
          <w:rFonts w:asciiTheme="majorBidi" w:hAnsiTheme="majorBidi" w:cstheme="majorBidi"/>
          <w:szCs w:val="24"/>
        </w:rPr>
        <w:t>. El término comunidad se usa en su sentido más amplio para incluir no sólo a las comunidades profesionales locales (públicas o privadas), sino también a los creadores y usuarios de contenido no profesional</w:t>
      </w:r>
      <w:r w:rsidRPr="00D17817">
        <w:rPr>
          <w:rFonts w:asciiTheme="majorBidi" w:hAnsiTheme="majorBidi" w:cstheme="majorBidi"/>
          <w:szCs w:val="24"/>
        </w:rPr>
        <w:t>.</w:t>
      </w:r>
    </w:p>
    <w:p w:rsidR="009A40E4" w:rsidRPr="00D17817" w:rsidRDefault="009A40E4" w:rsidP="009A40E4">
      <w:pPr>
        <w:rPr>
          <w:rFonts w:asciiTheme="majorBidi" w:hAnsiTheme="majorBidi" w:cstheme="majorBidi"/>
          <w:szCs w:val="24"/>
        </w:rPr>
      </w:pPr>
      <w:r w:rsidRPr="00D17817">
        <w:rPr>
          <w:rFonts w:asciiTheme="majorBidi" w:hAnsiTheme="majorBidi" w:cstheme="majorBidi"/>
          <w:szCs w:val="24"/>
        </w:rPr>
        <w:t>3.</w:t>
      </w:r>
      <w:r w:rsidRPr="00D17817">
        <w:rPr>
          <w:rFonts w:asciiTheme="majorBidi" w:hAnsiTheme="majorBidi" w:cstheme="majorBidi"/>
          <w:b/>
          <w:bCs/>
          <w:szCs w:val="24"/>
        </w:rPr>
        <w:t xml:space="preserve"> La tecnología puede contribuir al reconocimiento, la creación, la preservación, la divulgación y la utilizaci</w:t>
      </w:r>
      <w:r>
        <w:rPr>
          <w:rFonts w:asciiTheme="majorBidi" w:hAnsiTheme="majorBidi" w:cstheme="majorBidi"/>
          <w:b/>
          <w:bCs/>
          <w:szCs w:val="24"/>
        </w:rPr>
        <w:t>ón de contenido local, y en los últimos años se han vivido importantes adelantos tecnológicos</w:t>
      </w:r>
      <w:r w:rsidRPr="00ED1E86">
        <w:rPr>
          <w:rFonts w:asciiTheme="majorBidi" w:hAnsiTheme="majorBidi" w:cstheme="majorBidi"/>
          <w:szCs w:val="24"/>
        </w:rPr>
        <w:t>.</w:t>
      </w:r>
      <w:r w:rsidRPr="00D17817">
        <w:rPr>
          <w:rFonts w:asciiTheme="majorBidi" w:hAnsiTheme="majorBidi" w:cstheme="majorBidi"/>
          <w:szCs w:val="24"/>
        </w:rPr>
        <w:t xml:space="preserve"> Los adelantos tecnológicos, como la imprenta, el fonograma, la telefonía, la radio, la televisión, las fotocopiadoras, los medios de grabaci</w:t>
      </w:r>
      <w:r>
        <w:rPr>
          <w:rFonts w:asciiTheme="majorBidi" w:hAnsiTheme="majorBidi" w:cstheme="majorBidi"/>
          <w:szCs w:val="24"/>
        </w:rPr>
        <w:t>ón, los teléfonos móviles y los ordenadores personales, entre otras cosas, han aumentado drásticamente nuestra capacidad para crear y divulgar contenido</w:t>
      </w:r>
      <w:r w:rsidRPr="00D17817">
        <w:rPr>
          <w:rFonts w:asciiTheme="majorBidi" w:hAnsiTheme="majorBidi" w:cstheme="majorBidi"/>
          <w:szCs w:val="24"/>
        </w:rPr>
        <w:t>.</w:t>
      </w:r>
    </w:p>
    <w:p w:rsidR="008A0457" w:rsidRDefault="008A045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:rsidR="009A40E4" w:rsidRPr="00D17817" w:rsidRDefault="009A40E4" w:rsidP="009A40E4">
      <w:pPr>
        <w:rPr>
          <w:rFonts w:asciiTheme="majorBidi" w:hAnsiTheme="majorBidi" w:cstheme="majorBidi"/>
          <w:szCs w:val="24"/>
        </w:rPr>
      </w:pPr>
      <w:r w:rsidRPr="00D17817">
        <w:rPr>
          <w:rFonts w:asciiTheme="majorBidi" w:hAnsiTheme="majorBidi" w:cstheme="majorBidi"/>
          <w:szCs w:val="24"/>
        </w:rPr>
        <w:lastRenderedPageBreak/>
        <w:t>4.</w:t>
      </w:r>
      <w:r w:rsidRPr="00D17817">
        <w:rPr>
          <w:rFonts w:asciiTheme="majorBidi" w:hAnsiTheme="majorBidi" w:cstheme="majorBidi"/>
          <w:b/>
          <w:bCs/>
          <w:szCs w:val="24"/>
        </w:rPr>
        <w:t xml:space="preserve"> Internet es otro hito histórico para la creación y divulgación de contenido. En primer y más importante lugar, ha convertido a los usuarios en creadores de contenido</w:t>
      </w:r>
      <w:r w:rsidRPr="00ED1E86">
        <w:rPr>
          <w:rFonts w:asciiTheme="majorBidi" w:hAnsiTheme="majorBidi" w:cstheme="majorBidi"/>
          <w:szCs w:val="24"/>
        </w:rPr>
        <w:t>.</w:t>
      </w:r>
      <w:r w:rsidRPr="00D17817">
        <w:rPr>
          <w:rFonts w:asciiTheme="majorBidi" w:hAnsiTheme="majorBidi" w:cstheme="majorBidi"/>
          <w:szCs w:val="24"/>
        </w:rPr>
        <w:t xml:space="preserve"> Internet ha servido de plataforma para la creación de contenido por la masa y a la creaci</w:t>
      </w:r>
      <w:r>
        <w:rPr>
          <w:rFonts w:asciiTheme="majorBidi" w:hAnsiTheme="majorBidi" w:cstheme="majorBidi"/>
          <w:szCs w:val="24"/>
        </w:rPr>
        <w:t>ón de bases de conocimientos creadas y verificadas por la comunidad, como</w:t>
      </w:r>
      <w:r w:rsidRPr="00D17817">
        <w:rPr>
          <w:rFonts w:asciiTheme="majorBidi" w:hAnsiTheme="majorBidi" w:cstheme="majorBidi"/>
          <w:szCs w:val="24"/>
        </w:rPr>
        <w:t xml:space="preserve"> Wikipedia. Además, ha dado a los particulares una mayor capacidad de elección y control sobre el contenido que consumen, contrariamente a los limitados canal</w:t>
      </w:r>
      <w:r>
        <w:rPr>
          <w:rFonts w:asciiTheme="majorBidi" w:hAnsiTheme="majorBidi" w:cstheme="majorBidi"/>
          <w:szCs w:val="24"/>
        </w:rPr>
        <w:t>e</w:t>
      </w:r>
      <w:r w:rsidRPr="00D17817">
        <w:rPr>
          <w:rFonts w:asciiTheme="majorBidi" w:hAnsiTheme="majorBidi" w:cstheme="majorBidi"/>
          <w:szCs w:val="24"/>
        </w:rPr>
        <w:t>s de radiodifusi</w:t>
      </w:r>
      <w:r>
        <w:rPr>
          <w:rFonts w:asciiTheme="majorBidi" w:hAnsiTheme="majorBidi" w:cstheme="majorBidi"/>
          <w:szCs w:val="24"/>
        </w:rPr>
        <w:t xml:space="preserve">ón tradicionales. </w:t>
      </w:r>
      <w:r w:rsidRPr="00D17817">
        <w:rPr>
          <w:rFonts w:asciiTheme="majorBidi" w:hAnsiTheme="majorBidi" w:cstheme="majorBidi"/>
          <w:szCs w:val="24"/>
        </w:rPr>
        <w:t>Internet desempeña un papel fundamental en todas las fases, desde la creación del contenido a su distribución, pero quiz</w:t>
      </w:r>
      <w:r>
        <w:rPr>
          <w:rFonts w:asciiTheme="majorBidi" w:hAnsiTheme="majorBidi" w:cstheme="majorBidi"/>
          <w:szCs w:val="24"/>
        </w:rPr>
        <w:t>á su contribución más importante sea la capacidad que da a los creadores para divulgar amplia y casi instantáneamente ese contenido a un costo muy bajo</w:t>
      </w:r>
      <w:r w:rsidRPr="00D17817">
        <w:rPr>
          <w:rFonts w:asciiTheme="majorBidi" w:hAnsiTheme="majorBidi" w:cstheme="majorBidi"/>
          <w:szCs w:val="24"/>
        </w:rPr>
        <w:t>.</w:t>
      </w:r>
    </w:p>
    <w:p w:rsidR="009A40E4" w:rsidRPr="005C7B48" w:rsidRDefault="009A40E4" w:rsidP="009A40E4">
      <w:pPr>
        <w:rPr>
          <w:rFonts w:asciiTheme="majorBidi" w:hAnsiTheme="majorBidi" w:cstheme="majorBidi"/>
          <w:szCs w:val="24"/>
        </w:rPr>
      </w:pPr>
      <w:r w:rsidRPr="005C7B48">
        <w:rPr>
          <w:rFonts w:asciiTheme="majorBidi" w:hAnsiTheme="majorBidi" w:cstheme="majorBidi"/>
          <w:szCs w:val="24"/>
        </w:rPr>
        <w:t xml:space="preserve">5. </w:t>
      </w:r>
      <w:r w:rsidRPr="005C7B48">
        <w:rPr>
          <w:rFonts w:asciiTheme="majorBidi" w:hAnsiTheme="majorBidi" w:cstheme="majorBidi"/>
          <w:b/>
          <w:bCs/>
          <w:szCs w:val="24"/>
        </w:rPr>
        <w:t>Quienes definen las políticas en los ministerios de cultura de todo el mundo buscan la manera de fomentar la creaci</w:t>
      </w:r>
      <w:r>
        <w:rPr>
          <w:rFonts w:asciiTheme="majorBidi" w:hAnsiTheme="majorBidi" w:cstheme="majorBidi"/>
          <w:b/>
          <w:bCs/>
          <w:szCs w:val="24"/>
        </w:rPr>
        <w:t>ón y la conservación del patrimonio cultural tangible, intangible y oral</w:t>
      </w:r>
      <w:r w:rsidRPr="005C7B48">
        <w:rPr>
          <w:rFonts w:asciiTheme="majorBidi" w:hAnsiTheme="majorBidi" w:cstheme="majorBidi"/>
          <w:szCs w:val="24"/>
        </w:rPr>
        <w:t>. Al mismo tiempo, quienes definen las políticas en los ministerios de información buscan la manera de garantizar que los servicios y tecnolog</w:t>
      </w:r>
      <w:r>
        <w:rPr>
          <w:rFonts w:asciiTheme="majorBidi" w:hAnsiTheme="majorBidi" w:cstheme="majorBidi"/>
          <w:szCs w:val="24"/>
        </w:rPr>
        <w:t xml:space="preserve">ías de la información y la comunicación, como el acceso a Internet, son accesibles para toda la población y están a su disposición. </w:t>
      </w:r>
      <w:r w:rsidRPr="005C7B48">
        <w:rPr>
          <w:rFonts w:asciiTheme="majorBidi" w:hAnsiTheme="majorBidi" w:cstheme="majorBidi"/>
          <w:szCs w:val="24"/>
        </w:rPr>
        <w:t>Este estudio confirma que los objetivos de esas dos importantes entidades estatales están ligados.</w:t>
      </w:r>
    </w:p>
    <w:p w:rsidR="009A40E4" w:rsidRPr="00ED1E86" w:rsidRDefault="009A40E4" w:rsidP="000D3539">
      <w:pPr>
        <w:rPr>
          <w:rFonts w:asciiTheme="majorBidi" w:hAnsiTheme="majorBidi" w:cstheme="majorBidi"/>
          <w:szCs w:val="24"/>
        </w:rPr>
      </w:pPr>
      <w:r w:rsidRPr="005C7B48">
        <w:rPr>
          <w:rFonts w:asciiTheme="majorBidi" w:hAnsiTheme="majorBidi" w:cstheme="majorBidi"/>
          <w:szCs w:val="24"/>
        </w:rPr>
        <w:t xml:space="preserve">6. </w:t>
      </w:r>
      <w:r w:rsidRPr="005C7B48">
        <w:rPr>
          <w:rFonts w:asciiTheme="majorBidi" w:hAnsiTheme="majorBidi" w:cstheme="majorBidi"/>
          <w:b/>
          <w:bCs/>
          <w:szCs w:val="24"/>
        </w:rPr>
        <w:t>Este estudio empírico demuestra la fuerte correlación que existe entre el desarrollo de la infraestructura de red y el crecimiento del contenido local, incluso cuando los factores econ</w:t>
      </w:r>
      <w:r>
        <w:rPr>
          <w:rFonts w:asciiTheme="majorBidi" w:hAnsiTheme="majorBidi" w:cstheme="majorBidi"/>
          <w:b/>
          <w:bCs/>
          <w:szCs w:val="24"/>
        </w:rPr>
        <w:t>ómicos y demográficos están controlados</w:t>
      </w:r>
      <w:r w:rsidRPr="00ED1E86">
        <w:rPr>
          <w:rFonts w:asciiTheme="majorBidi" w:hAnsiTheme="majorBidi" w:cstheme="majorBidi"/>
          <w:szCs w:val="24"/>
        </w:rPr>
        <w:t>.</w:t>
      </w:r>
      <w:r w:rsidRPr="005C7B48">
        <w:rPr>
          <w:rFonts w:asciiTheme="majorBidi" w:hAnsiTheme="majorBidi" w:cstheme="majorBidi"/>
          <w:szCs w:val="24"/>
        </w:rPr>
        <w:t xml:space="preserve"> </w:t>
      </w:r>
      <w:r w:rsidRPr="00ED1E86">
        <w:rPr>
          <w:rFonts w:asciiTheme="majorBidi" w:hAnsiTheme="majorBidi" w:cstheme="majorBidi"/>
          <w:szCs w:val="24"/>
        </w:rPr>
        <w:t xml:space="preserve">Esta relación estadísticamente importante es evidente cuando se utilizan diversas mediciones del contenido local (número de dominios de alto nivel visibles utilizados, por indicativo de país, per </w:t>
      </w:r>
      <w:r w:rsidR="000D3539" w:rsidRPr="00ED1E86">
        <w:rPr>
          <w:rFonts w:asciiTheme="majorBidi" w:hAnsiTheme="majorBidi" w:cstheme="majorBidi"/>
          <w:szCs w:val="24"/>
        </w:rPr>
        <w:t>cápita</w:t>
      </w:r>
      <w:r w:rsidRPr="00ED1E86">
        <w:rPr>
          <w:rFonts w:asciiTheme="majorBidi" w:hAnsiTheme="majorBidi" w:cstheme="majorBidi"/>
          <w:szCs w:val="24"/>
        </w:rPr>
        <w:t>; artículos en Wikipedia, por idioma, per</w:t>
      </w:r>
      <w:r w:rsidR="000D3539" w:rsidRPr="00ED1E86">
        <w:rPr>
          <w:rFonts w:asciiTheme="majorBidi" w:hAnsiTheme="majorBidi" w:cstheme="majorBidi"/>
          <w:szCs w:val="24"/>
        </w:rPr>
        <w:t> cápita</w:t>
      </w:r>
      <w:r w:rsidRPr="00ED1E86">
        <w:rPr>
          <w:rFonts w:asciiTheme="majorBidi" w:hAnsiTheme="majorBidi" w:cstheme="majorBidi"/>
          <w:szCs w:val="24"/>
        </w:rPr>
        <w:t xml:space="preserve">, y blogs per </w:t>
      </w:r>
      <w:r w:rsidR="000D3539" w:rsidRPr="00ED1E86">
        <w:rPr>
          <w:rFonts w:asciiTheme="majorBidi" w:hAnsiTheme="majorBidi" w:cstheme="majorBidi"/>
          <w:szCs w:val="24"/>
        </w:rPr>
        <w:t>cápita</w:t>
      </w:r>
      <w:r w:rsidRPr="00ED1E86">
        <w:rPr>
          <w:rFonts w:asciiTheme="majorBidi" w:hAnsiTheme="majorBidi" w:cstheme="majorBidi"/>
          <w:szCs w:val="24"/>
        </w:rPr>
        <w:t xml:space="preserve">) y diversas mediciones del desarrollo de Internet (tasa de penetración de banda ancha, sistemas autónomos per </w:t>
      </w:r>
      <w:r w:rsidR="000D3539" w:rsidRPr="00ED1E86">
        <w:rPr>
          <w:rFonts w:asciiTheme="majorBidi" w:hAnsiTheme="majorBidi" w:cstheme="majorBidi"/>
          <w:szCs w:val="24"/>
        </w:rPr>
        <w:t>cápita</w:t>
      </w:r>
      <w:r w:rsidRPr="00ED1E86">
        <w:rPr>
          <w:rFonts w:asciiTheme="majorBidi" w:hAnsiTheme="majorBidi" w:cstheme="majorBidi"/>
          <w:szCs w:val="24"/>
        </w:rPr>
        <w:t xml:space="preserve">, ancho de banda internacional per </w:t>
      </w:r>
      <w:r w:rsidR="000D3539" w:rsidRPr="00ED1E86">
        <w:rPr>
          <w:rFonts w:asciiTheme="majorBidi" w:hAnsiTheme="majorBidi" w:cstheme="majorBidi"/>
          <w:szCs w:val="24"/>
        </w:rPr>
        <w:t>cápita</w:t>
      </w:r>
      <w:r w:rsidRPr="00ED1E86">
        <w:rPr>
          <w:rFonts w:asciiTheme="majorBidi" w:hAnsiTheme="majorBidi" w:cstheme="majorBidi"/>
          <w:szCs w:val="24"/>
        </w:rPr>
        <w:t xml:space="preserve"> y direcciones IPv4 encaminadas per </w:t>
      </w:r>
      <w:r w:rsidR="000D3539" w:rsidRPr="00ED1E86">
        <w:rPr>
          <w:rFonts w:asciiTheme="majorBidi" w:hAnsiTheme="majorBidi" w:cstheme="majorBidi"/>
          <w:szCs w:val="24"/>
        </w:rPr>
        <w:t>cápita</w:t>
      </w:r>
      <w:r w:rsidRPr="00ED1E86">
        <w:rPr>
          <w:rFonts w:asciiTheme="majorBidi" w:hAnsiTheme="majorBidi" w:cstheme="majorBidi"/>
          <w:szCs w:val="24"/>
        </w:rPr>
        <w:t>).</w:t>
      </w:r>
    </w:p>
    <w:p w:rsidR="009A40E4" w:rsidRPr="00EA2010" w:rsidRDefault="009A40E4" w:rsidP="009A40E4">
      <w:pPr>
        <w:rPr>
          <w:rFonts w:asciiTheme="majorBidi" w:hAnsiTheme="majorBidi" w:cstheme="majorBidi"/>
          <w:szCs w:val="24"/>
        </w:rPr>
      </w:pPr>
      <w:r w:rsidRPr="005C7B48">
        <w:rPr>
          <w:rFonts w:asciiTheme="majorBidi" w:hAnsiTheme="majorBidi" w:cstheme="majorBidi"/>
          <w:szCs w:val="24"/>
        </w:rPr>
        <w:t xml:space="preserve">7. </w:t>
      </w:r>
      <w:r w:rsidRPr="005C7B48">
        <w:rPr>
          <w:rFonts w:asciiTheme="majorBidi" w:hAnsiTheme="majorBidi" w:cstheme="majorBidi"/>
          <w:b/>
          <w:bCs/>
          <w:szCs w:val="24"/>
        </w:rPr>
        <w:t>Además, en este estudio se ha encontrado una importante relación entre el desarrollo del ancho de banda internacional y el precio del acceso a Internet local</w:t>
      </w:r>
      <w:r w:rsidRPr="005C7B48">
        <w:rPr>
          <w:rFonts w:asciiTheme="majorBidi" w:hAnsiTheme="majorBidi" w:cstheme="majorBidi"/>
          <w:szCs w:val="24"/>
        </w:rPr>
        <w:t>. Los resultados indican que los mercados donde Internet local está más desarrollado, los precios del ancho de banda internacional suelen ser m</w:t>
      </w:r>
      <w:r>
        <w:rPr>
          <w:rFonts w:asciiTheme="majorBidi" w:hAnsiTheme="majorBidi" w:cstheme="majorBidi"/>
          <w:szCs w:val="24"/>
        </w:rPr>
        <w:t xml:space="preserve">ás bajos, y viceversa: los mercados donde el tráfico de Internet internacional es más intenso tienen precios más bajos para el acceso local a Internet. </w:t>
      </w:r>
      <w:r w:rsidRPr="005C7B48">
        <w:rPr>
          <w:rFonts w:asciiTheme="majorBidi" w:hAnsiTheme="majorBidi" w:cstheme="majorBidi"/>
          <w:szCs w:val="24"/>
        </w:rPr>
        <w:t>Se ha constatado una relación semejante entre el grado de desarrollo de las redes locales de Internet y el nivel de los precios internacionales en los pa</w:t>
      </w:r>
      <w:r>
        <w:rPr>
          <w:rFonts w:asciiTheme="majorBidi" w:hAnsiTheme="majorBidi" w:cstheme="majorBidi"/>
          <w:szCs w:val="24"/>
        </w:rPr>
        <w:t xml:space="preserve">íses en desarrollo. </w:t>
      </w:r>
      <w:r w:rsidRPr="00EA2010">
        <w:rPr>
          <w:rFonts w:asciiTheme="majorBidi" w:hAnsiTheme="majorBidi" w:cstheme="majorBidi"/>
          <w:szCs w:val="24"/>
        </w:rPr>
        <w:t>En concreto, los países con un mercado local más desarrollado suelen ser lo aquéllos donde la conexi</w:t>
      </w:r>
      <w:r>
        <w:rPr>
          <w:rFonts w:asciiTheme="majorBidi" w:hAnsiTheme="majorBidi" w:cstheme="majorBidi"/>
          <w:szCs w:val="24"/>
        </w:rPr>
        <w:t xml:space="preserve">ón internacional a Internet es más barata. </w:t>
      </w:r>
      <w:r w:rsidRPr="00EA2010">
        <w:rPr>
          <w:rFonts w:asciiTheme="majorBidi" w:hAnsiTheme="majorBidi" w:cstheme="majorBidi"/>
          <w:szCs w:val="24"/>
        </w:rPr>
        <w:t>Esta relación no es visible en los países desarrollados, donde la infraestructura de Internet suele estar mucho más desarrollada.</w:t>
      </w:r>
    </w:p>
    <w:p w:rsidR="009A40E4" w:rsidRPr="00093A06" w:rsidRDefault="009A40E4" w:rsidP="000D3539">
      <w:r w:rsidRPr="00093A06">
        <w:t>Adjunto: Informe completo (en inglés únicamente).</w:t>
      </w:r>
    </w:p>
    <w:p w:rsidR="008A0457" w:rsidRDefault="008A0457" w:rsidP="008A0457"/>
    <w:p w:rsidR="008A0457" w:rsidRDefault="008A0457">
      <w:pPr>
        <w:jc w:val="center"/>
      </w:pPr>
      <w:r>
        <w:t>______________</w:t>
      </w:r>
    </w:p>
    <w:p w:rsidR="008A0457" w:rsidRPr="009A40E4" w:rsidRDefault="008A0457" w:rsidP="00103412"/>
    <w:sectPr w:rsidR="008A0457" w:rsidRPr="009A40E4" w:rsidSect="00D924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4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45A" w:rsidRDefault="0091545A">
      <w:r>
        <w:separator/>
      </w:r>
    </w:p>
  </w:endnote>
  <w:endnote w:type="continuationSeparator" w:id="0">
    <w:p w:rsidR="0091545A" w:rsidRDefault="0091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90" w:rsidRDefault="00C936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45A" w:rsidRPr="00C93690" w:rsidRDefault="0091545A" w:rsidP="00C93690">
    <w:pPr>
      <w:pStyle w:val="Footer"/>
    </w:pPr>
    <w:bookmarkStart w:id="9" w:name="_GoBack"/>
    <w:bookmarkEnd w:id="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1616"/>
      <w:gridCol w:w="4394"/>
      <w:gridCol w:w="3913"/>
    </w:tblGrid>
    <w:tr w:rsidR="0091545A">
      <w:trPr>
        <w:cantSplit/>
        <w:jc w:val="center"/>
      </w:trPr>
      <w:tc>
        <w:tcPr>
          <w:tcW w:w="1616" w:type="dxa"/>
          <w:tcBorders>
            <w:top w:val="single" w:sz="12" w:space="0" w:color="auto"/>
          </w:tcBorders>
        </w:tcPr>
        <w:p w:rsidR="0091545A" w:rsidRDefault="0091545A">
          <w:pPr>
            <w:rPr>
              <w:sz w:val="22"/>
              <w:lang w:val="fr-CH"/>
            </w:rPr>
          </w:pPr>
          <w:r>
            <w:rPr>
              <w:b/>
              <w:sz w:val="22"/>
              <w:lang w:val="fr-CH"/>
            </w:rPr>
            <w:t>Dirimasse a</w:t>
          </w:r>
          <w:r>
            <w:rPr>
              <w:sz w:val="22"/>
              <w:lang w:val="fr-CH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1545A" w:rsidRPr="00D97406" w:rsidRDefault="0091545A">
          <w:pPr>
            <w:rPr>
              <w:sz w:val="22"/>
              <w:szCs w:val="22"/>
            </w:rPr>
          </w:pPr>
          <w:r w:rsidRPr="00D97406">
            <w:rPr>
              <w:sz w:val="22"/>
              <w:szCs w:val="22"/>
            </w:rPr>
            <w:t>TSB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1545A" w:rsidRPr="00D97406" w:rsidRDefault="0091545A" w:rsidP="00D97406">
          <w:pPr>
            <w:tabs>
              <w:tab w:val="left" w:pos="973"/>
            </w:tabs>
            <w:rPr>
              <w:sz w:val="22"/>
              <w:szCs w:val="22"/>
            </w:rPr>
          </w:pPr>
          <w:r w:rsidRPr="00D97406">
            <w:rPr>
              <w:sz w:val="22"/>
              <w:szCs w:val="22"/>
            </w:rPr>
            <w:t>Tel</w:t>
          </w:r>
          <w:r>
            <w:rPr>
              <w:sz w:val="22"/>
              <w:szCs w:val="22"/>
            </w:rPr>
            <w:t>.</w:t>
          </w:r>
          <w:r w:rsidRPr="00D97406">
            <w:rPr>
              <w:sz w:val="22"/>
              <w:szCs w:val="22"/>
            </w:rPr>
            <w:t>:</w:t>
          </w:r>
          <w:r w:rsidRPr="00D97406">
            <w:rPr>
              <w:sz w:val="22"/>
              <w:szCs w:val="22"/>
            </w:rPr>
            <w:tab/>
          </w:r>
          <w:r>
            <w:rPr>
              <w:sz w:val="22"/>
              <w:szCs w:val="22"/>
            </w:rPr>
            <w:tab/>
          </w:r>
          <w:r w:rsidRPr="00D97406">
            <w:rPr>
              <w:sz w:val="22"/>
              <w:szCs w:val="22"/>
            </w:rPr>
            <w:t>+41 22 730 5887</w:t>
          </w:r>
          <w:r>
            <w:rPr>
              <w:sz w:val="22"/>
              <w:szCs w:val="22"/>
            </w:rPr>
            <w:br/>
          </w:r>
          <w:r w:rsidRPr="00D97406">
            <w:rPr>
              <w:sz w:val="22"/>
              <w:szCs w:val="22"/>
            </w:rPr>
            <w:t>Fax:</w:t>
          </w:r>
          <w:r w:rsidRPr="00D97406">
            <w:rPr>
              <w:sz w:val="22"/>
              <w:szCs w:val="22"/>
            </w:rPr>
            <w:tab/>
          </w:r>
          <w:r>
            <w:rPr>
              <w:sz w:val="22"/>
              <w:szCs w:val="22"/>
            </w:rPr>
            <w:tab/>
          </w:r>
          <w:r w:rsidRPr="00D97406">
            <w:rPr>
              <w:sz w:val="22"/>
              <w:szCs w:val="22"/>
            </w:rPr>
            <w:t>+41 22 730 5853</w:t>
          </w:r>
          <w:r>
            <w:rPr>
              <w:sz w:val="22"/>
              <w:szCs w:val="22"/>
            </w:rPr>
            <w:br/>
            <w:t>Correo-e</w:t>
          </w:r>
          <w:r>
            <w:rPr>
              <w:sz w:val="22"/>
              <w:szCs w:val="22"/>
            </w:rPr>
            <w:tab/>
          </w:r>
          <w:r w:rsidRPr="00D97406">
            <w:rPr>
              <w:sz w:val="22"/>
              <w:szCs w:val="22"/>
            </w:rPr>
            <w:tab/>
          </w:r>
          <w:hyperlink r:id="rId1" w:history="1">
            <w:r w:rsidRPr="00D97406">
              <w:rPr>
                <w:rStyle w:val="Hyperlink"/>
                <w:sz w:val="22"/>
                <w:szCs w:val="22"/>
              </w:rPr>
              <w:t>richard.hill@itu.int</w:t>
            </w:r>
          </w:hyperlink>
        </w:p>
      </w:tc>
    </w:tr>
    <w:tr w:rsidR="0091545A">
      <w:trPr>
        <w:cantSplit/>
        <w:trHeight w:hRule="exact" w:val="113"/>
        <w:jc w:val="center"/>
      </w:trPr>
      <w:tc>
        <w:tcPr>
          <w:tcW w:w="9923" w:type="dxa"/>
          <w:gridSpan w:val="3"/>
        </w:tcPr>
        <w:p w:rsidR="0091545A" w:rsidRDefault="0091545A">
          <w:pPr>
            <w:rPr>
              <w:sz w:val="22"/>
            </w:rPr>
          </w:pPr>
        </w:p>
      </w:tc>
    </w:tr>
  </w:tbl>
  <w:p w:rsidR="0091545A" w:rsidRPr="00D97406" w:rsidRDefault="0091545A" w:rsidP="00D97406">
    <w:pPr>
      <w:spacing w:before="0"/>
      <w:rPr>
        <w:sz w:val="16"/>
        <w:szCs w:val="16"/>
      </w:rPr>
    </w:pPr>
  </w:p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91545A" w:rsidRPr="00D924FE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91545A" w:rsidRPr="00D924FE" w:rsidRDefault="0091545A" w:rsidP="00D924FE">
          <w:pPr>
            <w:spacing w:before="0"/>
            <w:rPr>
              <w:rFonts w:eastAsia="SimSun"/>
              <w:sz w:val="18"/>
              <w:szCs w:val="18"/>
              <w:lang w:val="es-ES" w:eastAsia="zh-CN"/>
            </w:rPr>
          </w:pPr>
          <w:r w:rsidRPr="00D924FE">
            <w:rPr>
              <w:b/>
              <w:bCs/>
              <w:sz w:val="18"/>
              <w:szCs w:val="18"/>
              <w:lang w:val="es-ES" w:eastAsia="zh-CN"/>
            </w:rPr>
            <w:t>Atención</w:t>
          </w:r>
          <w:r w:rsidRPr="00D924FE">
            <w:rPr>
              <w:sz w:val="18"/>
              <w:szCs w:val="18"/>
              <w:lang w:val="es-ES" w:eastAsia="zh-CN"/>
            </w:rPr>
            <w:t>: La presente publicación no está destinada al público, se trata de </w:t>
          </w:r>
          <w:r w:rsidRPr="00D924FE">
            <w:rPr>
              <w:b/>
              <w:bCs/>
              <w:sz w:val="18"/>
              <w:szCs w:val="18"/>
              <w:lang w:val="es-ES" w:eastAsia="zh-CN"/>
            </w:rPr>
            <w:t xml:space="preserve">un documento interno del UIT-T </w:t>
          </w:r>
          <w:r w:rsidRPr="00D924FE">
            <w:rPr>
              <w:sz w:val="18"/>
              <w:szCs w:val="18"/>
              <w:lang w:val="es-ES" w:eastAsia="zh-CN"/>
            </w:rPr>
            <w:t>destinado únicamente a los Estados Miembros de la UIT, los Miembros de Sector del UIT-T y los Asociados, así como a sus respectivos empleados y colaboradores en los trabajos relacionados con la UIT. Ninguna otra persona o entidad podrá disponer o hacer uso de ella sin previo consentimiento por escrito del UIT-T.</w:t>
          </w:r>
        </w:p>
      </w:tc>
    </w:tr>
  </w:tbl>
  <w:p w:rsidR="0091545A" w:rsidRPr="00D924FE" w:rsidRDefault="0091545A" w:rsidP="00D924FE">
    <w:pPr>
      <w:spacing w:before="0"/>
      <w:rPr>
        <w:sz w:val="18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45A" w:rsidRDefault="0091545A">
      <w:r>
        <w:t>____________________</w:t>
      </w:r>
    </w:p>
  </w:footnote>
  <w:footnote w:type="continuationSeparator" w:id="0">
    <w:p w:rsidR="0091545A" w:rsidRDefault="00915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90" w:rsidRDefault="00C936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45A" w:rsidRPr="00D924FE" w:rsidRDefault="0091545A" w:rsidP="00D924FE">
    <w:pPr>
      <w:pStyle w:val="Header"/>
    </w:pPr>
    <w:r w:rsidRPr="00D924FE">
      <w:t xml:space="preserve">- </w:t>
    </w:r>
    <w:r w:rsidRPr="00D924FE">
      <w:fldChar w:fldCharType="begin"/>
    </w:r>
    <w:r w:rsidRPr="00D924FE">
      <w:instrText xml:space="preserve"> PAGE  \* MERGEFORMAT </w:instrText>
    </w:r>
    <w:r w:rsidRPr="00D924FE">
      <w:fldChar w:fldCharType="separate"/>
    </w:r>
    <w:r w:rsidR="00C93690">
      <w:rPr>
        <w:noProof/>
      </w:rPr>
      <w:t>2</w:t>
    </w:r>
    <w:r w:rsidRPr="00D924FE">
      <w:fldChar w:fldCharType="end"/>
    </w:r>
    <w:r w:rsidRPr="00D924FE">
      <w:t xml:space="preserve"> -</w:t>
    </w:r>
  </w:p>
  <w:p w:rsidR="0091545A" w:rsidRPr="00D924FE" w:rsidRDefault="0091545A" w:rsidP="00D97406">
    <w:pPr>
      <w:pStyle w:val="Header"/>
      <w:spacing w:after="240"/>
    </w:pPr>
    <w:r w:rsidRPr="00D924FE">
      <w:t xml:space="preserve">TD </w:t>
    </w:r>
    <w:r>
      <w:t>27</w:t>
    </w:r>
    <w:r w:rsidRPr="00D924FE">
      <w:t xml:space="preserve"> (GT 1/</w:t>
    </w:r>
    <w:r>
      <w:t>3</w:t>
    </w:r>
    <w:r w:rsidRPr="00D924FE">
      <w:t>)-S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90" w:rsidRDefault="00C936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FE"/>
    <w:rsid w:val="00094992"/>
    <w:rsid w:val="000D200E"/>
    <w:rsid w:val="000D3539"/>
    <w:rsid w:val="000E0A99"/>
    <w:rsid w:val="00103412"/>
    <w:rsid w:val="003865B1"/>
    <w:rsid w:val="008A0457"/>
    <w:rsid w:val="0091545A"/>
    <w:rsid w:val="009A40E4"/>
    <w:rsid w:val="009F18B5"/>
    <w:rsid w:val="00C93690"/>
    <w:rsid w:val="00D924FE"/>
    <w:rsid w:val="00D97406"/>
    <w:rsid w:val="00ED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s-ES_tradnl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s-ES_tradnl" w:eastAsia="en-US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Pr>
      <w:position w:val="6"/>
      <w:sz w:val="18"/>
    </w:rPr>
  </w:style>
  <w:style w:type="paragraph" w:styleId="FootnoteText">
    <w:name w:val="footnote text"/>
    <w:basedOn w:val="Note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</w:style>
  <w:style w:type="paragraph" w:styleId="Index2">
    <w:name w:val="index 2"/>
    <w:basedOn w:val="Normal"/>
    <w:next w:val="Normal"/>
    <w:pPr>
      <w:ind w:left="283"/>
    </w:pPr>
  </w:style>
  <w:style w:type="paragraph" w:styleId="Index3">
    <w:name w:val="index 3"/>
    <w:basedOn w:val="Normal"/>
    <w:next w:val="Normal"/>
    <w:pPr>
      <w:ind w:lef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character" w:styleId="EndnoteReference">
    <w:name w:val="endnote reference"/>
    <w:basedOn w:val="DefaultParagraphFont"/>
    <w:rPr>
      <w:vertAlign w:val="superscript"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</w:pPr>
  </w:style>
  <w:style w:type="paragraph" w:styleId="TOC2">
    <w:name w:val="toc 2"/>
    <w:basedOn w:val="TOC1"/>
    <w:pPr>
      <w:spacing w:before="80"/>
      <w:ind w:left="1531" w:hanging="851"/>
    </w:pPr>
  </w:style>
  <w:style w:type="paragraph" w:styleId="TOC3">
    <w:name w:val="toc 3"/>
    <w:basedOn w:val="TOC2"/>
  </w:style>
  <w:style w:type="paragraph" w:styleId="TOC4">
    <w:name w:val="toc 4"/>
    <w:basedOn w:val="TOC3"/>
  </w:style>
  <w:style w:type="paragraph" w:styleId="TOC5">
    <w:name w:val="toc 5"/>
    <w:basedOn w:val="TOC4"/>
  </w:style>
  <w:style w:type="paragraph" w:styleId="TOC6">
    <w:name w:val="toc 6"/>
    <w:basedOn w:val="TOC4"/>
  </w:style>
  <w:style w:type="paragraph" w:styleId="TOC7">
    <w:name w:val="toc 7"/>
    <w:basedOn w:val="TOC4"/>
  </w:style>
  <w:style w:type="paragraph" w:styleId="TOC8">
    <w:name w:val="toc 8"/>
    <w:basedOn w:val="TOC4"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character" w:customStyle="1" w:styleId="Recdef">
    <w:name w:val="Rec_def"/>
    <w:basedOn w:val="DefaultParagraphFont"/>
    <w:rPr>
      <w:b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character" w:styleId="Hyperlink">
    <w:name w:val="Hyperlink"/>
    <w:basedOn w:val="DefaultParagraphFont"/>
    <w:uiPriority w:val="99"/>
    <w:unhideWhenUsed/>
    <w:rsid w:val="00D97406"/>
    <w:rPr>
      <w:color w:val="0000FF" w:themeColor="hyperlink"/>
      <w:u w:val="single"/>
    </w:rPr>
  </w:style>
  <w:style w:type="paragraph" w:customStyle="1" w:styleId="Reasons">
    <w:name w:val="Reasons"/>
    <w:basedOn w:val="Normal"/>
    <w:qFormat/>
    <w:rsid w:val="008A045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s-ES_tradnl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s-ES_tradnl" w:eastAsia="en-US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Pr>
      <w:position w:val="6"/>
      <w:sz w:val="18"/>
    </w:rPr>
  </w:style>
  <w:style w:type="paragraph" w:styleId="FootnoteText">
    <w:name w:val="footnote text"/>
    <w:basedOn w:val="Note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</w:style>
  <w:style w:type="paragraph" w:styleId="Index2">
    <w:name w:val="index 2"/>
    <w:basedOn w:val="Normal"/>
    <w:next w:val="Normal"/>
    <w:pPr>
      <w:ind w:left="283"/>
    </w:pPr>
  </w:style>
  <w:style w:type="paragraph" w:styleId="Index3">
    <w:name w:val="index 3"/>
    <w:basedOn w:val="Normal"/>
    <w:next w:val="Normal"/>
    <w:pPr>
      <w:ind w:lef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character" w:styleId="EndnoteReference">
    <w:name w:val="endnote reference"/>
    <w:basedOn w:val="DefaultParagraphFont"/>
    <w:rPr>
      <w:vertAlign w:val="superscript"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</w:pPr>
  </w:style>
  <w:style w:type="paragraph" w:styleId="TOC2">
    <w:name w:val="toc 2"/>
    <w:basedOn w:val="TOC1"/>
    <w:pPr>
      <w:spacing w:before="80"/>
      <w:ind w:left="1531" w:hanging="851"/>
    </w:pPr>
  </w:style>
  <w:style w:type="paragraph" w:styleId="TOC3">
    <w:name w:val="toc 3"/>
    <w:basedOn w:val="TOC2"/>
  </w:style>
  <w:style w:type="paragraph" w:styleId="TOC4">
    <w:name w:val="toc 4"/>
    <w:basedOn w:val="TOC3"/>
  </w:style>
  <w:style w:type="paragraph" w:styleId="TOC5">
    <w:name w:val="toc 5"/>
    <w:basedOn w:val="TOC4"/>
  </w:style>
  <w:style w:type="paragraph" w:styleId="TOC6">
    <w:name w:val="toc 6"/>
    <w:basedOn w:val="TOC4"/>
  </w:style>
  <w:style w:type="paragraph" w:styleId="TOC7">
    <w:name w:val="toc 7"/>
    <w:basedOn w:val="TOC4"/>
  </w:style>
  <w:style w:type="paragraph" w:styleId="TOC8">
    <w:name w:val="toc 8"/>
    <w:basedOn w:val="TOC4"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character" w:customStyle="1" w:styleId="Recdef">
    <w:name w:val="Rec_def"/>
    <w:basedOn w:val="DefaultParagraphFont"/>
    <w:rPr>
      <w:b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character" w:styleId="Hyperlink">
    <w:name w:val="Hyperlink"/>
    <w:basedOn w:val="DefaultParagraphFont"/>
    <w:uiPriority w:val="99"/>
    <w:unhideWhenUsed/>
    <w:rsid w:val="00D97406"/>
    <w:rPr>
      <w:color w:val="0000FF" w:themeColor="hyperlink"/>
      <w:u w:val="single"/>
    </w:rPr>
  </w:style>
  <w:style w:type="paragraph" w:customStyle="1" w:styleId="Reasons">
    <w:name w:val="Reasons"/>
    <w:basedOn w:val="Normal"/>
    <w:qFormat/>
    <w:rsid w:val="008A045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richard.hill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ello\Application%20Data\Microsoft\Templates\POOL%20S%20-%20ITU\PS_TSB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PS_TSB.dotm</Template>
  <TotalTime>29</TotalTime>
  <Pages>2</Pages>
  <Words>790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</vt:lpstr>
    </vt:vector>
  </TitlesOfParts>
  <Manager>ITU-T</Manager>
  <Company>International Telecommunication Union (ITU)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</dc:title>
  <dc:subject/>
  <dc:creator>tello</dc:creator>
  <cp:keywords/>
  <dc:description>TD (GT 1/2)-S  For: _x000d_Document date: _x000d_Saved by ITU51007810 at 14:26:31 on 24.07.2012</dc:description>
  <cp:lastModifiedBy>Van Den Heuvel, Patricia</cp:lastModifiedBy>
  <cp:revision>9</cp:revision>
  <cp:lastPrinted>2012-07-24T12:58:00Z</cp:lastPrinted>
  <dcterms:created xsi:type="dcterms:W3CDTF">2012-07-24T12:26:00Z</dcterms:created>
  <dcterms:modified xsi:type="dcterms:W3CDTF">2012-07-25T08:12:00Z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(GT 1/2)-S</vt:lpwstr>
  </property>
  <property fmtid="{D5CDD505-2E9C-101B-9397-08002B2CF9AE}" pid="3" name="Docdate">
    <vt:lpwstr/>
  </property>
  <property fmtid="{D5CDD505-2E9C-101B-9397-08002B2CF9AE}" pid="4" name="Docorlang">
    <vt:lpwstr>Original: inglés</vt:lpwstr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