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0E2" w:rsidRDefault="00D630E2" w:rsidP="00D630E2">
      <w:pPr>
        <w:rPr>
          <w:lang w:val="en-US" w:eastAsia="zh-CN"/>
        </w:rPr>
      </w:pPr>
      <w:bookmarkStart w:id="0" w:name="_Toc164569681"/>
    </w:p>
    <w:p w:rsidR="00D630E2" w:rsidRDefault="00D630E2" w:rsidP="00D630E2">
      <w:pPr>
        <w:rPr>
          <w:lang w:val="en-US" w:eastAsia="zh-CN"/>
        </w:rPr>
      </w:pPr>
    </w:p>
    <w:p w:rsidR="00D630E2" w:rsidRDefault="00D630E2" w:rsidP="00D630E2">
      <w:pPr>
        <w:rPr>
          <w:lang w:val="en-US" w:eastAsia="zh-CN"/>
        </w:rPr>
      </w:pPr>
    </w:p>
    <w:p w:rsidR="00D630E2" w:rsidRPr="00D630E2" w:rsidRDefault="00D630E2" w:rsidP="00D630E2">
      <w:pPr>
        <w:rPr>
          <w:lang w:val="en-US" w:eastAsia="zh-CN"/>
        </w:rPr>
      </w:pPr>
    </w:p>
    <w:p w:rsidR="006D1CEB" w:rsidRPr="001846AE" w:rsidRDefault="006D1CEB" w:rsidP="00CA34FD">
      <w:pPr>
        <w:pStyle w:val="VolumeTitle"/>
        <w:rPr>
          <w:lang w:val="es-ES_tradnl"/>
        </w:rPr>
      </w:pPr>
      <w:r w:rsidRPr="001846AE">
        <w:rPr>
          <w:lang w:val="es-ES_tradnl"/>
        </w:rPr>
        <w:t>DECISION</w:t>
      </w:r>
      <w:r w:rsidR="00CA34FD" w:rsidRPr="001846AE">
        <w:rPr>
          <w:lang w:val="es-ES_tradnl"/>
        </w:rPr>
        <w:t>E</w:t>
      </w:r>
      <w:r w:rsidRPr="001846AE">
        <w:rPr>
          <w:lang w:val="es-ES_tradnl"/>
        </w:rPr>
        <w:t>S</w:t>
      </w:r>
    </w:p>
    <w:p w:rsidR="00CA34FD" w:rsidRPr="001846AE" w:rsidRDefault="00CA34FD" w:rsidP="00CA34FD">
      <w:pPr>
        <w:rPr>
          <w:lang w:val="es-ES_tradnl" w:eastAsia="zh-CN"/>
        </w:rPr>
      </w:pPr>
    </w:p>
    <w:p w:rsidR="00CA34FD" w:rsidRPr="001846AE" w:rsidRDefault="00CA34FD" w:rsidP="00CA34FD">
      <w:pPr>
        <w:rPr>
          <w:lang w:val="es-ES_tradnl" w:eastAsia="zh-CN"/>
        </w:rPr>
      </w:pPr>
    </w:p>
    <w:p w:rsidR="00CA34FD" w:rsidRPr="001846AE" w:rsidRDefault="00CA34FD" w:rsidP="00CA34FD">
      <w:pPr>
        <w:pStyle w:val="VolumeTitle"/>
        <w:rPr>
          <w:lang w:val="es-ES_tradnl"/>
        </w:rPr>
      </w:pPr>
      <w:r w:rsidRPr="001846AE">
        <w:rPr>
          <w:lang w:val="es-ES_tradnl"/>
        </w:rPr>
        <w:t>RESOLUCIONES</w:t>
      </w:r>
    </w:p>
    <w:p w:rsidR="00CA34FD" w:rsidRPr="001846AE" w:rsidRDefault="00CA34FD" w:rsidP="00CA34FD">
      <w:pPr>
        <w:rPr>
          <w:lang w:val="es-ES_tradnl" w:eastAsia="zh-CN"/>
        </w:rPr>
      </w:pPr>
    </w:p>
    <w:p w:rsidR="00CA34FD" w:rsidRPr="001846AE" w:rsidRDefault="00CA34FD" w:rsidP="00CA34FD">
      <w:pPr>
        <w:rPr>
          <w:lang w:val="es-ES_tradnl" w:eastAsia="zh-CN"/>
        </w:rPr>
      </w:pPr>
    </w:p>
    <w:p w:rsidR="00CA34FD" w:rsidRPr="00CA34FD" w:rsidRDefault="00CA34FD" w:rsidP="00CA34FD">
      <w:pPr>
        <w:pStyle w:val="VolumeTitle"/>
        <w:rPr>
          <w:lang w:val="es-ES_tradnl"/>
        </w:rPr>
      </w:pPr>
      <w:r w:rsidRPr="00CA34FD">
        <w:rPr>
          <w:lang w:val="es-ES_tradnl"/>
        </w:rPr>
        <w:t>RECOMENDACIONES</w:t>
      </w:r>
    </w:p>
    <w:p w:rsidR="00CA34FD" w:rsidRPr="00CA34FD" w:rsidRDefault="00CA34FD" w:rsidP="00CA34FD">
      <w:pPr>
        <w:rPr>
          <w:lang w:val="es-ES_tradnl" w:eastAsia="zh-CN"/>
        </w:rPr>
      </w:pPr>
    </w:p>
    <w:p w:rsidR="002B73F8" w:rsidRPr="00CA34FD" w:rsidRDefault="002B73F8" w:rsidP="008434EA">
      <w:pPr>
        <w:pStyle w:val="DecNo"/>
        <w:rPr>
          <w:lang w:val="es-ES_tradnl"/>
        </w:rPr>
      </w:pPr>
    </w:p>
    <w:p w:rsidR="002B73F8" w:rsidRPr="00CA34FD" w:rsidRDefault="002B73F8" w:rsidP="002B73F8">
      <w:pPr>
        <w:pStyle w:val="Dectitle"/>
        <w:rPr>
          <w:lang w:val="es-ES_tradnl"/>
        </w:rPr>
        <w:sectPr w:rsidR="002B73F8" w:rsidRPr="00CA34FD" w:rsidSect="009247FE">
          <w:headerReference w:type="even" r:id="rId8"/>
          <w:headerReference w:type="default" r:id="rId9"/>
          <w:type w:val="continuous"/>
          <w:pgSz w:w="11913" w:h="16834"/>
          <w:pgMar w:top="1418" w:right="1134" w:bottom="1134" w:left="1418" w:header="720" w:footer="720" w:gutter="0"/>
          <w:paperSrc w:first="15" w:other="15"/>
          <w:pgNumType w:start="205"/>
          <w:cols w:space="720"/>
          <w:titlePg/>
        </w:sectPr>
      </w:pPr>
    </w:p>
    <w:p w:rsidR="006D1CEB" w:rsidRPr="00CA34FD" w:rsidRDefault="006D1CEB" w:rsidP="00CA34FD">
      <w:pPr>
        <w:pStyle w:val="DecNo"/>
        <w:rPr>
          <w:lang w:val="es-ES_tradnl"/>
        </w:rPr>
      </w:pPr>
      <w:r w:rsidRPr="00CA34FD">
        <w:rPr>
          <w:lang w:val="es-ES_tradnl"/>
        </w:rPr>
        <w:lastRenderedPageBreak/>
        <w:t>DECISI</w:t>
      </w:r>
      <w:r w:rsidR="00CA34FD" w:rsidRPr="00CA34FD">
        <w:rPr>
          <w:lang w:val="es-ES_tradnl"/>
        </w:rPr>
        <w:t>Ó</w:t>
      </w:r>
      <w:r w:rsidRPr="00CA34FD">
        <w:rPr>
          <w:lang w:val="es-ES_tradnl"/>
        </w:rPr>
        <w:t xml:space="preserve">N </w:t>
      </w:r>
      <w:r w:rsidRPr="00CA34FD">
        <w:rPr>
          <w:rStyle w:val="href"/>
          <w:lang w:val="es-ES_tradnl"/>
        </w:rPr>
        <w:t>3</w:t>
      </w:r>
      <w:r w:rsidR="00CA34FD" w:rsidRPr="00CA34FD">
        <w:rPr>
          <w:lang w:val="es-ES_tradnl"/>
        </w:rPr>
        <w:t xml:space="preserve"> (Minneá</w:t>
      </w:r>
      <w:r w:rsidRPr="00CA34FD">
        <w:rPr>
          <w:lang w:val="es-ES_tradnl"/>
        </w:rPr>
        <w:t>polis, 1998)</w:t>
      </w:r>
      <w:bookmarkEnd w:id="0"/>
    </w:p>
    <w:p w:rsidR="006D1CEB" w:rsidRPr="00CA34FD" w:rsidRDefault="00CA34FD" w:rsidP="002B73F8">
      <w:pPr>
        <w:pStyle w:val="Dectitle"/>
        <w:rPr>
          <w:lang w:val="es-ES_tradnl"/>
        </w:rPr>
      </w:pPr>
      <w:bookmarkStart w:id="1" w:name="_Toc37487448"/>
      <w:r w:rsidRPr="00901268">
        <w:rPr>
          <w:lang w:val="es-ES"/>
        </w:rPr>
        <w:t xml:space="preserve">Tratamiento de las Decisiones, Resoluciones y Recomendaciones </w:t>
      </w:r>
      <w:r w:rsidRPr="00901268">
        <w:rPr>
          <w:lang w:val="es-ES"/>
        </w:rPr>
        <w:br/>
        <w:t xml:space="preserve">de las </w:t>
      </w:r>
      <w:r w:rsidRPr="00CA34FD">
        <w:rPr>
          <w:lang w:val="es-ES_tradnl"/>
        </w:rPr>
        <w:t>Conferencias</w:t>
      </w:r>
      <w:r w:rsidRPr="00901268">
        <w:rPr>
          <w:lang w:val="es-ES"/>
        </w:rPr>
        <w:t xml:space="preserve"> de Plenipotenciarios</w:t>
      </w:r>
      <w:bookmarkEnd w:id="1"/>
    </w:p>
    <w:p w:rsidR="00CA34FD" w:rsidRPr="00901268" w:rsidRDefault="00CA34FD" w:rsidP="00CA34FD">
      <w:pPr>
        <w:pStyle w:val="Normalaftertitle"/>
        <w:rPr>
          <w:lang w:val="es-ES"/>
        </w:rPr>
      </w:pPr>
      <w:r w:rsidRPr="00901268">
        <w:rPr>
          <w:lang w:val="es-ES"/>
        </w:rPr>
        <w:t>La Conferencia de Plenipotenciarios de la Unión Internacional de Telecomunicaciones (</w:t>
      </w:r>
      <w:proofErr w:type="spellStart"/>
      <w:r w:rsidRPr="00901268">
        <w:rPr>
          <w:lang w:val="es-ES"/>
        </w:rPr>
        <w:t>Minneápolis</w:t>
      </w:r>
      <w:proofErr w:type="spellEnd"/>
      <w:r w:rsidRPr="00901268">
        <w:rPr>
          <w:lang w:val="es-ES"/>
        </w:rPr>
        <w:t>, 1998),</w:t>
      </w:r>
    </w:p>
    <w:p w:rsidR="00CA34FD" w:rsidRPr="00901268" w:rsidRDefault="00CA34FD" w:rsidP="00CA34FD">
      <w:pPr>
        <w:pStyle w:val="Call"/>
        <w:rPr>
          <w:lang w:val="es-ES"/>
        </w:rPr>
      </w:pPr>
      <w:r w:rsidRPr="00901268">
        <w:rPr>
          <w:lang w:val="es-ES"/>
        </w:rPr>
        <w:t>considerando</w:t>
      </w:r>
    </w:p>
    <w:p w:rsidR="00CA34FD" w:rsidRPr="00901268" w:rsidRDefault="00CA34FD" w:rsidP="00CA34FD">
      <w:pPr>
        <w:rPr>
          <w:lang w:val="es-ES"/>
        </w:rPr>
      </w:pPr>
      <w:r w:rsidRPr="00CA34FD">
        <w:rPr>
          <w:i/>
          <w:iCs/>
          <w:lang w:val="es-ES_tradnl"/>
        </w:rPr>
        <w:t>a)</w:t>
      </w:r>
      <w:r w:rsidRPr="00901268">
        <w:rPr>
          <w:lang w:val="es-ES"/>
        </w:rPr>
        <w:tab/>
        <w:t>que la adopción de una Constitución y un Convenio permanentes de la UIT por la Conferencia de Plenipotenciarios Adicional (Ginebra, 1992) ha contribuido a la eficacia de las Conferencias de Plenipotenciarios;</w:t>
      </w:r>
    </w:p>
    <w:p w:rsidR="00CA34FD" w:rsidRPr="00901268" w:rsidRDefault="00CA34FD" w:rsidP="00CA34FD">
      <w:pPr>
        <w:rPr>
          <w:lang w:val="es-ES"/>
        </w:rPr>
      </w:pPr>
      <w:r w:rsidRPr="00CA34FD">
        <w:rPr>
          <w:i/>
          <w:iCs/>
          <w:lang w:val="es-ES_tradnl"/>
        </w:rPr>
        <w:t>b)</w:t>
      </w:r>
      <w:r w:rsidRPr="00901268">
        <w:rPr>
          <w:lang w:val="es-ES"/>
        </w:rPr>
        <w:tab/>
        <w:t>que cada Conferencia de Plenipotenciarios ha examinado todas las Decisiones, Resoluciones y Recomendaciones de la Conferencia precedente y ha adoptado otras nuevas, aunque en ellas se repitieran parcial o totalmente algunas de las conclusiones anteriores;</w:t>
      </w:r>
    </w:p>
    <w:p w:rsidR="00CA34FD" w:rsidRPr="00901268" w:rsidRDefault="00CA34FD" w:rsidP="00CA34FD">
      <w:pPr>
        <w:rPr>
          <w:lang w:val="es-ES"/>
        </w:rPr>
      </w:pPr>
      <w:r w:rsidRPr="00CA34FD">
        <w:rPr>
          <w:i/>
          <w:iCs/>
          <w:lang w:val="es-ES_tradnl"/>
        </w:rPr>
        <w:t>c)</w:t>
      </w:r>
      <w:r w:rsidRPr="00901268">
        <w:rPr>
          <w:lang w:val="es-ES"/>
        </w:rPr>
        <w:tab/>
        <w:t>que la Conferencia de Plenipotenciarios (</w:t>
      </w:r>
      <w:proofErr w:type="spellStart"/>
      <w:r w:rsidRPr="00901268">
        <w:rPr>
          <w:lang w:val="es-ES"/>
        </w:rPr>
        <w:t>Kyoto</w:t>
      </w:r>
      <w:proofErr w:type="spellEnd"/>
      <w:r w:rsidRPr="00901268">
        <w:rPr>
          <w:lang w:val="es-ES"/>
        </w:rPr>
        <w:t xml:space="preserve">, 1994) estableció un nuevo sistema de numeración de las Decisiones, Resoluciones y </w:t>
      </w:r>
      <w:r>
        <w:rPr>
          <w:lang w:val="es-ES"/>
        </w:rPr>
        <w:t>Recomendaciones</w:t>
      </w:r>
      <w:r w:rsidRPr="00901268">
        <w:rPr>
          <w:lang w:val="es-ES"/>
        </w:rPr>
        <w:t xml:space="preserve"> independiente del utilizado en las anteriores Conferencias de Plenipotenciarios;</w:t>
      </w:r>
    </w:p>
    <w:p w:rsidR="00CA34FD" w:rsidRPr="00901268" w:rsidRDefault="00CA34FD" w:rsidP="00CA34FD">
      <w:pPr>
        <w:rPr>
          <w:lang w:val="es-ES"/>
        </w:rPr>
      </w:pPr>
      <w:r w:rsidRPr="00CA34FD">
        <w:rPr>
          <w:i/>
          <w:iCs/>
          <w:lang w:val="es-ES_tradnl"/>
        </w:rPr>
        <w:t>d)</w:t>
      </w:r>
      <w:r w:rsidRPr="00901268">
        <w:rPr>
          <w:lang w:val="es-ES"/>
        </w:rPr>
        <w:tab/>
        <w:t>que estas prácticas en materia de Decisiones, Resoluciones y Recomendaciones no son las ideales ya que han redundado en cierto grado de ineficacia y se han prestado a confusión;</w:t>
      </w:r>
    </w:p>
    <w:p w:rsidR="00CA34FD" w:rsidRPr="00901268" w:rsidRDefault="00CA34FD" w:rsidP="00CA34FD">
      <w:pPr>
        <w:rPr>
          <w:lang w:val="es-ES"/>
        </w:rPr>
      </w:pPr>
      <w:r w:rsidRPr="00CA34FD">
        <w:rPr>
          <w:i/>
          <w:iCs/>
          <w:lang w:val="es-ES_tradnl"/>
        </w:rPr>
        <w:t>e)</w:t>
      </w:r>
      <w:r w:rsidRPr="00901268">
        <w:rPr>
          <w:lang w:val="es-ES"/>
        </w:rPr>
        <w:tab/>
        <w:t>que se requiere un nuevo sistema de numeración de las Decisiones, Resoluciones y Recomendaciones con el fin de evitar confusiones,</w:t>
      </w:r>
    </w:p>
    <w:p w:rsidR="00CA34FD" w:rsidRPr="00901268" w:rsidRDefault="00CA34FD" w:rsidP="00CA34FD">
      <w:pPr>
        <w:pStyle w:val="Call"/>
        <w:rPr>
          <w:lang w:val="es-ES"/>
        </w:rPr>
      </w:pPr>
      <w:r w:rsidRPr="00901268">
        <w:rPr>
          <w:lang w:val="es-ES"/>
        </w:rPr>
        <w:t>decide</w:t>
      </w:r>
    </w:p>
    <w:p w:rsidR="00CA34FD" w:rsidRPr="00901268" w:rsidRDefault="00CA34FD" w:rsidP="00CA34FD">
      <w:pPr>
        <w:rPr>
          <w:lang w:val="es-ES"/>
        </w:rPr>
      </w:pPr>
      <w:r w:rsidRPr="00901268">
        <w:rPr>
          <w:lang w:val="es-ES"/>
        </w:rPr>
        <w:t>1</w:t>
      </w:r>
      <w:r w:rsidRPr="00901268">
        <w:rPr>
          <w:lang w:val="es-ES"/>
        </w:rPr>
        <w:tab/>
        <w:t>que se mantengan en vigor las Resoluciones de una Conferencia de Plenipotenciarios de la UIT a menos de que sean revisadas o abrogadas por una Conferencia de Plenipotenciarios ulterior;</w:t>
      </w:r>
    </w:p>
    <w:p w:rsidR="00CA34FD" w:rsidRPr="00901268" w:rsidRDefault="00CA34FD" w:rsidP="00D119BC">
      <w:pPr>
        <w:keepNext/>
        <w:keepLines/>
        <w:rPr>
          <w:lang w:val="es-ES"/>
        </w:rPr>
      </w:pPr>
      <w:r w:rsidRPr="00901268">
        <w:rPr>
          <w:lang w:val="es-ES"/>
        </w:rPr>
        <w:t>2</w:t>
      </w:r>
      <w:r w:rsidRPr="00901268">
        <w:rPr>
          <w:lang w:val="es-ES"/>
        </w:rPr>
        <w:tab/>
        <w:t>que las Actas Finales de una Conferencia de Plenipotenciarios incluyan también:</w:t>
      </w:r>
    </w:p>
    <w:p w:rsidR="00CA34FD" w:rsidRPr="00901268" w:rsidRDefault="00CA34FD" w:rsidP="00D119BC">
      <w:pPr>
        <w:pStyle w:val="enumlev1"/>
        <w:keepNext/>
        <w:keepLines/>
        <w:rPr>
          <w:lang w:val="es-ES"/>
        </w:rPr>
      </w:pPr>
      <w:r w:rsidRPr="00901268">
        <w:rPr>
          <w:lang w:val="es-ES"/>
        </w:rPr>
        <w:t>–</w:t>
      </w:r>
      <w:r w:rsidRPr="00901268">
        <w:rPr>
          <w:lang w:val="es-ES"/>
        </w:rPr>
        <w:tab/>
        <w:t>el texto íntegro de las Resoluciones nuevas y revisadas junto con una lista de sus títulos y sus números;</w:t>
      </w:r>
    </w:p>
    <w:p w:rsidR="00CA34FD" w:rsidRPr="00901268" w:rsidRDefault="00CA34FD" w:rsidP="00CA34FD">
      <w:pPr>
        <w:pStyle w:val="enumlev1"/>
        <w:rPr>
          <w:lang w:val="es-ES"/>
        </w:rPr>
      </w:pPr>
      <w:r w:rsidRPr="00901268">
        <w:rPr>
          <w:lang w:val="es-ES"/>
        </w:rPr>
        <w:t>–</w:t>
      </w:r>
      <w:r w:rsidRPr="00901268">
        <w:rPr>
          <w:lang w:val="es-ES"/>
        </w:rPr>
        <w:tab/>
        <w:t>una lista de las Resoluciones abrogadas con sus títulos y sus números, pero sin su texto;</w:t>
      </w:r>
    </w:p>
    <w:p w:rsidR="00CA34FD" w:rsidRPr="00901268" w:rsidRDefault="00CA34FD" w:rsidP="00CA34FD">
      <w:pPr>
        <w:rPr>
          <w:lang w:val="es-ES"/>
        </w:rPr>
      </w:pPr>
      <w:r w:rsidRPr="00901268">
        <w:rPr>
          <w:lang w:val="es-ES"/>
        </w:rPr>
        <w:lastRenderedPageBreak/>
        <w:t>3</w:t>
      </w:r>
      <w:r w:rsidRPr="00901268">
        <w:rPr>
          <w:lang w:val="es-ES"/>
        </w:rPr>
        <w:tab/>
        <w:t>que se designen las Resoluciones como sigue:</w:t>
      </w:r>
    </w:p>
    <w:p w:rsidR="00CA34FD" w:rsidRPr="00901268" w:rsidRDefault="00CA34FD" w:rsidP="00CA34FD">
      <w:pPr>
        <w:rPr>
          <w:lang w:val="es-ES"/>
        </w:rPr>
      </w:pPr>
      <w:r w:rsidRPr="00901268">
        <w:rPr>
          <w:lang w:val="es-ES"/>
        </w:rPr>
        <w:t>3.1</w:t>
      </w:r>
      <w:r w:rsidRPr="00901268">
        <w:rPr>
          <w:lang w:val="es-ES"/>
        </w:rPr>
        <w:tab/>
        <w:t>las Resoluciones no enmendadas:</w:t>
      </w:r>
    </w:p>
    <w:p w:rsidR="00CA34FD" w:rsidRPr="00901268" w:rsidRDefault="00CA34FD" w:rsidP="00CA34FD">
      <w:pPr>
        <w:pStyle w:val="enumlev1"/>
        <w:rPr>
          <w:lang w:val="es-ES"/>
        </w:rPr>
      </w:pPr>
      <w:r w:rsidRPr="00901268">
        <w:rPr>
          <w:lang w:val="es-ES"/>
        </w:rPr>
        <w:t>i)</w:t>
      </w:r>
      <w:r w:rsidRPr="00901268">
        <w:rPr>
          <w:lang w:val="es-ES"/>
        </w:rPr>
        <w:tab/>
        <w:t>una Resolución de la Conferencia de Plenipotenciarios (</w:t>
      </w:r>
      <w:proofErr w:type="spellStart"/>
      <w:r w:rsidRPr="00901268">
        <w:rPr>
          <w:lang w:val="es-ES"/>
        </w:rPr>
        <w:t>Kyoto</w:t>
      </w:r>
      <w:proofErr w:type="spellEnd"/>
      <w:r w:rsidRPr="00901268">
        <w:rPr>
          <w:lang w:val="es-ES"/>
        </w:rPr>
        <w:t>, 1994) cuyo texto no haya sido enmendado por la Conferencia de Plenipotenciarios (</w:t>
      </w:r>
      <w:proofErr w:type="spellStart"/>
      <w:r w:rsidRPr="00901268">
        <w:rPr>
          <w:lang w:val="es-ES"/>
        </w:rPr>
        <w:t>Minneápolis</w:t>
      </w:r>
      <w:proofErr w:type="spellEnd"/>
      <w:r w:rsidRPr="00901268">
        <w:rPr>
          <w:lang w:val="es-ES"/>
        </w:rPr>
        <w:t xml:space="preserve">, 1998) deberá seguir siendo designada con el número que le corresponda junto con la mención </w:t>
      </w:r>
      <w:r>
        <w:rPr>
          <w:lang w:val="es-ES"/>
        </w:rPr>
        <w:t>"</w:t>
      </w:r>
      <w:r w:rsidRPr="00901268">
        <w:rPr>
          <w:lang w:val="es-ES"/>
        </w:rPr>
        <w:t>(</w:t>
      </w:r>
      <w:proofErr w:type="spellStart"/>
      <w:r w:rsidRPr="00901268">
        <w:rPr>
          <w:lang w:val="es-ES"/>
        </w:rPr>
        <w:t>Kyoto</w:t>
      </w:r>
      <w:proofErr w:type="spellEnd"/>
      <w:r w:rsidRPr="00901268">
        <w:rPr>
          <w:lang w:val="es-ES"/>
        </w:rPr>
        <w:t>, 1994)</w:t>
      </w:r>
      <w:r>
        <w:rPr>
          <w:lang w:val="es-ES"/>
        </w:rPr>
        <w:t>"</w:t>
      </w:r>
      <w:r w:rsidRPr="00901268">
        <w:rPr>
          <w:lang w:val="es-ES"/>
        </w:rPr>
        <w:t xml:space="preserve"> después de dicho número, por ejemplo, Resolución AAA (</w:t>
      </w:r>
      <w:proofErr w:type="spellStart"/>
      <w:r w:rsidRPr="00901268">
        <w:rPr>
          <w:lang w:val="es-ES"/>
        </w:rPr>
        <w:t>Kyoto</w:t>
      </w:r>
      <w:proofErr w:type="spellEnd"/>
      <w:r w:rsidRPr="00901268">
        <w:rPr>
          <w:lang w:val="es-ES"/>
        </w:rPr>
        <w:t>, 1994);</w:t>
      </w:r>
    </w:p>
    <w:p w:rsidR="00CA34FD" w:rsidRPr="00901268" w:rsidRDefault="00CA34FD" w:rsidP="00CA34FD">
      <w:pPr>
        <w:pStyle w:val="enumlev1"/>
        <w:rPr>
          <w:lang w:val="es-ES"/>
        </w:rPr>
      </w:pPr>
      <w:r w:rsidRPr="00901268">
        <w:rPr>
          <w:lang w:val="es-ES"/>
        </w:rPr>
        <w:t>ii)</w:t>
      </w:r>
      <w:r w:rsidRPr="00901268">
        <w:rPr>
          <w:lang w:val="es-ES"/>
        </w:rPr>
        <w:tab/>
        <w:t>las Resoluciones que no se enmienden en una Conferencia de Plenipotenciario</w:t>
      </w:r>
      <w:r>
        <w:rPr>
          <w:lang w:val="es-ES"/>
        </w:rPr>
        <w:t>s</w:t>
      </w:r>
      <w:r w:rsidRPr="00901268">
        <w:rPr>
          <w:lang w:val="es-ES"/>
        </w:rPr>
        <w:t xml:space="preserve"> posterior a la Conferencia de Plenipotenciarios (</w:t>
      </w:r>
      <w:proofErr w:type="spellStart"/>
      <w:r w:rsidRPr="00901268">
        <w:rPr>
          <w:lang w:val="es-ES"/>
        </w:rPr>
        <w:t>Minneápolis</w:t>
      </w:r>
      <w:proofErr w:type="spellEnd"/>
      <w:r w:rsidRPr="00901268">
        <w:rPr>
          <w:lang w:val="es-ES"/>
        </w:rPr>
        <w:t>, 1998) conservarán su designación;</w:t>
      </w:r>
    </w:p>
    <w:p w:rsidR="00CA34FD" w:rsidRPr="00901268" w:rsidRDefault="00CA34FD" w:rsidP="00CA34FD">
      <w:pPr>
        <w:keepNext/>
        <w:rPr>
          <w:lang w:val="es-ES"/>
        </w:rPr>
      </w:pPr>
      <w:r w:rsidRPr="00901268">
        <w:rPr>
          <w:lang w:val="es-ES"/>
        </w:rPr>
        <w:t>3.2</w:t>
      </w:r>
      <w:r w:rsidRPr="00901268">
        <w:rPr>
          <w:lang w:val="es-ES"/>
        </w:rPr>
        <w:tab/>
        <w:t>Resoluciones nuevas:</w:t>
      </w:r>
    </w:p>
    <w:p w:rsidR="00CA34FD" w:rsidRPr="00901268" w:rsidRDefault="00CA34FD" w:rsidP="00CA34FD">
      <w:pPr>
        <w:rPr>
          <w:lang w:val="es-ES"/>
        </w:rPr>
      </w:pPr>
      <w:r w:rsidRPr="00901268">
        <w:rPr>
          <w:lang w:val="es-ES"/>
        </w:rPr>
        <w:t>las nuevas Resoluciones que se adopten en la Conferencia de Plenipotenciarios (</w:t>
      </w:r>
      <w:proofErr w:type="spellStart"/>
      <w:r w:rsidRPr="00901268">
        <w:rPr>
          <w:lang w:val="es-ES"/>
        </w:rPr>
        <w:t>Minneápolis</w:t>
      </w:r>
      <w:proofErr w:type="spellEnd"/>
      <w:r w:rsidRPr="00901268">
        <w:rPr>
          <w:lang w:val="es-ES"/>
        </w:rPr>
        <w:t>, 1998) y Conferencias de Plenipotenciarios subsiguientes se numerarán en orden consecutivo comenzando por el número siguiente al último adoptado en la Conferencia de Plenipotenciarios precedente, junto con la mención, entre paréntesis, de la ciudad y año que correspondan, por ejemplo, Resolución BBB (</w:t>
      </w:r>
      <w:proofErr w:type="spellStart"/>
      <w:r w:rsidRPr="00901268">
        <w:rPr>
          <w:lang w:val="es-ES"/>
        </w:rPr>
        <w:t>Minneápolis</w:t>
      </w:r>
      <w:proofErr w:type="spellEnd"/>
      <w:r w:rsidRPr="00901268">
        <w:rPr>
          <w:lang w:val="es-ES"/>
        </w:rPr>
        <w:t>, 1998);</w:t>
      </w:r>
    </w:p>
    <w:p w:rsidR="00CA34FD" w:rsidRPr="00901268" w:rsidRDefault="00CA34FD" w:rsidP="00CA34FD">
      <w:pPr>
        <w:rPr>
          <w:lang w:val="es-ES"/>
        </w:rPr>
      </w:pPr>
      <w:r w:rsidRPr="00901268">
        <w:rPr>
          <w:lang w:val="es-ES"/>
        </w:rPr>
        <w:t>3.3</w:t>
      </w:r>
      <w:r w:rsidRPr="00901268">
        <w:rPr>
          <w:lang w:val="es-ES"/>
        </w:rPr>
        <w:tab/>
        <w:t>Resoluciones revisadas:</w:t>
      </w:r>
    </w:p>
    <w:p w:rsidR="00CA34FD" w:rsidRPr="00901268" w:rsidRDefault="00CA34FD" w:rsidP="00440E21">
      <w:pPr>
        <w:rPr>
          <w:lang w:val="es-ES"/>
        </w:rPr>
      </w:pPr>
      <w:r w:rsidRPr="00901268">
        <w:rPr>
          <w:lang w:val="es-ES"/>
        </w:rPr>
        <w:t>las Resoluciones que se revisen en la Conferencia de Plenipotenciarios (</w:t>
      </w:r>
      <w:proofErr w:type="spellStart"/>
      <w:r w:rsidRPr="00901268">
        <w:rPr>
          <w:lang w:val="es-ES"/>
        </w:rPr>
        <w:t>Minneápolis</w:t>
      </w:r>
      <w:proofErr w:type="spellEnd"/>
      <w:r w:rsidRPr="00901268">
        <w:rPr>
          <w:lang w:val="es-ES"/>
        </w:rPr>
        <w:t xml:space="preserve">, 1998) y Conferencias de Plenipotenciarios subsiguientes conservarán sus números, a los que se añadirá, entre paréntesis, la abreviatura </w:t>
      </w:r>
      <w:r>
        <w:rPr>
          <w:lang w:val="es-ES"/>
        </w:rPr>
        <w:t>"</w:t>
      </w:r>
      <w:r w:rsidRPr="00901268">
        <w:rPr>
          <w:lang w:val="es-ES"/>
        </w:rPr>
        <w:t>Rev.</w:t>
      </w:r>
      <w:r>
        <w:rPr>
          <w:lang w:val="es-ES"/>
        </w:rPr>
        <w:t>"</w:t>
      </w:r>
      <w:r w:rsidRPr="00901268">
        <w:rPr>
          <w:lang w:val="es-ES"/>
        </w:rPr>
        <w:t>, y la ciudad y el año que corresponda, por ejemplo, Resolución</w:t>
      </w:r>
      <w:r w:rsidR="00440E21">
        <w:rPr>
          <w:lang w:val="es-ES"/>
        </w:rPr>
        <w:t> </w:t>
      </w:r>
      <w:r w:rsidRPr="00901268">
        <w:rPr>
          <w:lang w:val="es-ES"/>
        </w:rPr>
        <w:t xml:space="preserve">CCC (Rev. </w:t>
      </w:r>
      <w:proofErr w:type="spellStart"/>
      <w:r w:rsidRPr="00901268">
        <w:rPr>
          <w:lang w:val="es-ES"/>
        </w:rPr>
        <w:t>Minneápolis</w:t>
      </w:r>
      <w:proofErr w:type="spellEnd"/>
      <w:r w:rsidRPr="00901268">
        <w:rPr>
          <w:lang w:val="es-ES"/>
        </w:rPr>
        <w:t xml:space="preserve"> 1998);</w:t>
      </w:r>
    </w:p>
    <w:p w:rsidR="00CA34FD" w:rsidRDefault="00CA34FD" w:rsidP="00A00C73">
      <w:pPr>
        <w:rPr>
          <w:lang w:val="es-ES"/>
        </w:rPr>
      </w:pPr>
      <w:r w:rsidRPr="00901268">
        <w:rPr>
          <w:lang w:val="es-ES"/>
        </w:rPr>
        <w:t>4</w:t>
      </w:r>
      <w:r w:rsidRPr="00901268">
        <w:rPr>
          <w:lang w:val="es-ES"/>
        </w:rPr>
        <w:tab/>
        <w:t xml:space="preserve">que se aplique también a las Decisiones y Recomendaciones de las Conferencias de Plenipotenciarios el tratamiento prescrito en los </w:t>
      </w:r>
      <w:r w:rsidRPr="00CA34FD">
        <w:rPr>
          <w:i/>
          <w:iCs/>
          <w:lang w:val="es-ES_tradnl"/>
        </w:rPr>
        <w:t>decide</w:t>
      </w:r>
      <w:r w:rsidRPr="00CA34FD">
        <w:rPr>
          <w:lang w:val="es-ES_tradnl"/>
        </w:rPr>
        <w:t xml:space="preserve"> </w:t>
      </w:r>
      <w:r w:rsidRPr="00901268">
        <w:rPr>
          <w:lang w:val="es-ES"/>
        </w:rPr>
        <w:t>1 a</w:t>
      </w:r>
      <w:r w:rsidR="00A00C73">
        <w:rPr>
          <w:lang w:val="es-ES"/>
        </w:rPr>
        <w:t> </w:t>
      </w:r>
      <w:r w:rsidRPr="00901268">
        <w:rPr>
          <w:lang w:val="es-ES"/>
        </w:rPr>
        <w:t>3.3 anteriores.</w:t>
      </w:r>
    </w:p>
    <w:p w:rsidR="00440E21" w:rsidRDefault="00440E21" w:rsidP="00CA34FD">
      <w:pPr>
        <w:rPr>
          <w:lang w:val="es-ES"/>
        </w:rPr>
      </w:pPr>
    </w:p>
    <w:p w:rsidR="004614F0" w:rsidRPr="000C15AB" w:rsidRDefault="004614F0" w:rsidP="004614F0">
      <w:pPr>
        <w:pStyle w:val="refbasdepage"/>
        <w:rPr>
          <w:lang w:val="es-ES_tradnl"/>
        </w:rPr>
      </w:pPr>
      <w:r w:rsidRPr="000C15AB">
        <w:rPr>
          <w:lang w:val="es-ES_tradnl"/>
        </w:rPr>
        <w:t>(</w:t>
      </w:r>
      <w:proofErr w:type="spellStart"/>
      <w:r w:rsidRPr="000C15AB">
        <w:rPr>
          <w:lang w:val="es-ES_tradnl"/>
        </w:rPr>
        <w:t>Minneápolis</w:t>
      </w:r>
      <w:proofErr w:type="spellEnd"/>
      <w:r w:rsidRPr="000C15AB">
        <w:rPr>
          <w:lang w:val="es-ES_tradnl"/>
        </w:rPr>
        <w:t>, 1998)</w:t>
      </w:r>
    </w:p>
    <w:p w:rsidR="00440E21" w:rsidRDefault="00440E21">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Pr>
          <w:lang w:val="es-ES_tradnl"/>
        </w:rPr>
        <w:br w:type="page"/>
      </w:r>
    </w:p>
    <w:p w:rsidR="006D1CEB" w:rsidRPr="00BD69C4" w:rsidRDefault="00BD69C4" w:rsidP="000A3FBC">
      <w:pPr>
        <w:pStyle w:val="DecNo"/>
        <w:rPr>
          <w:lang w:val="es-ES_tradnl"/>
        </w:rPr>
      </w:pPr>
      <w:r w:rsidRPr="00BD69C4">
        <w:rPr>
          <w:lang w:val="es-ES_tradnl"/>
        </w:rPr>
        <w:lastRenderedPageBreak/>
        <w:t xml:space="preserve">DECISIÓN </w:t>
      </w:r>
      <w:r w:rsidRPr="00BD69C4">
        <w:rPr>
          <w:rStyle w:val="href"/>
          <w:bCs/>
          <w:lang w:val="es-ES_tradnl"/>
        </w:rPr>
        <w:t>5</w:t>
      </w:r>
      <w:r w:rsidRPr="00BD69C4">
        <w:rPr>
          <w:lang w:val="es-ES_tradnl"/>
        </w:rPr>
        <w:t xml:space="preserve"> (Rev. Busán, 2014)</w:t>
      </w:r>
    </w:p>
    <w:p w:rsidR="006D1CEB" w:rsidRPr="00CA34FD" w:rsidRDefault="00CA34FD" w:rsidP="00BD69C4">
      <w:pPr>
        <w:pStyle w:val="Dectitle"/>
        <w:rPr>
          <w:lang w:val="es-ES_tradnl"/>
        </w:rPr>
      </w:pPr>
      <w:r w:rsidRPr="00901268">
        <w:rPr>
          <w:lang w:val="es-ES"/>
        </w:rPr>
        <w:t>Ingresos y gastos de la Unión para el periodo 201</w:t>
      </w:r>
      <w:r w:rsidR="00BD69C4">
        <w:rPr>
          <w:lang w:val="es-ES"/>
        </w:rPr>
        <w:t>6</w:t>
      </w:r>
      <w:r w:rsidRPr="00901268">
        <w:rPr>
          <w:lang w:val="es-ES"/>
        </w:rPr>
        <w:t>-201</w:t>
      </w:r>
      <w:r w:rsidR="00BD69C4">
        <w:rPr>
          <w:lang w:val="es-ES"/>
        </w:rPr>
        <w:t>9</w:t>
      </w:r>
    </w:p>
    <w:p w:rsidR="00BD69C4" w:rsidRPr="00BD69C4" w:rsidRDefault="00BD69C4" w:rsidP="00BD69C4">
      <w:pPr>
        <w:pStyle w:val="Normalaftertitle"/>
        <w:rPr>
          <w:lang w:val="es-ES_tradnl"/>
        </w:rPr>
      </w:pPr>
      <w:r w:rsidRPr="00BD69C4">
        <w:rPr>
          <w:lang w:val="es-ES_tradnl" w:eastAsia="zh-CN"/>
        </w:rPr>
        <w:t>La Conferencia de Plenipotenciarios de la Unión Internacional de Telecomunicaciones (</w:t>
      </w:r>
      <w:proofErr w:type="spellStart"/>
      <w:r w:rsidRPr="00BD69C4">
        <w:rPr>
          <w:lang w:val="es-ES_tradnl" w:eastAsia="zh-CN"/>
        </w:rPr>
        <w:t>Busán</w:t>
      </w:r>
      <w:proofErr w:type="spellEnd"/>
      <w:r w:rsidRPr="00BD69C4">
        <w:rPr>
          <w:lang w:val="es-ES_tradnl" w:eastAsia="zh-CN"/>
        </w:rPr>
        <w:t>, 2014),</w:t>
      </w:r>
    </w:p>
    <w:p w:rsidR="00BD69C4" w:rsidRPr="00BD69C4" w:rsidRDefault="00BD69C4" w:rsidP="00BD69C4">
      <w:pPr>
        <w:pStyle w:val="Call"/>
        <w:rPr>
          <w:lang w:val="es-ES_tradnl" w:eastAsia="zh-CN"/>
        </w:rPr>
      </w:pPr>
      <w:r w:rsidRPr="00BD69C4">
        <w:rPr>
          <w:lang w:val="es-ES_tradnl" w:eastAsia="zh-CN"/>
        </w:rPr>
        <w:t>considerando</w:t>
      </w:r>
    </w:p>
    <w:p w:rsidR="00BD69C4" w:rsidRPr="00BD69C4" w:rsidRDefault="00BD69C4" w:rsidP="00BD69C4">
      <w:pPr>
        <w:rPr>
          <w:lang w:val="es-ES_tradnl"/>
        </w:rPr>
      </w:pPr>
      <w:r w:rsidRPr="00BD69C4">
        <w:rPr>
          <w:lang w:val="es-ES_tradnl"/>
        </w:rPr>
        <w:t>los planes y objetivos estratégicos establecidos para la Unión y sus Sectores durante el periodo 2016 a 2019, y las prioridades consignadas en los mismos,</w:t>
      </w:r>
    </w:p>
    <w:p w:rsidR="00BD69C4" w:rsidRPr="00BD69C4" w:rsidRDefault="00BD69C4" w:rsidP="00BD69C4">
      <w:pPr>
        <w:pStyle w:val="Call"/>
        <w:rPr>
          <w:lang w:val="es-ES_tradnl" w:eastAsia="zh-CN"/>
        </w:rPr>
      </w:pPr>
      <w:r w:rsidRPr="00BD69C4">
        <w:rPr>
          <w:lang w:val="es-ES_tradnl" w:eastAsia="zh-CN"/>
        </w:rPr>
        <w:t>considerando además</w:t>
      </w:r>
    </w:p>
    <w:p w:rsidR="00BD69C4" w:rsidRPr="00BD69C4" w:rsidRDefault="00BD69C4" w:rsidP="00BD69C4">
      <w:pPr>
        <w:rPr>
          <w:lang w:val="es-ES_tradnl"/>
        </w:rPr>
      </w:pPr>
      <w:r w:rsidRPr="00BD69C4">
        <w:rPr>
          <w:i/>
          <w:iCs/>
          <w:lang w:val="es-ES_tradnl"/>
        </w:rPr>
        <w:t>a)</w:t>
      </w:r>
      <w:r w:rsidRPr="00BD69C4">
        <w:rPr>
          <w:lang w:val="es-ES_tradnl"/>
        </w:rPr>
        <w:tab/>
        <w:t>la Resolución 91 (Rev. Guadalajara, 2010) de la Conferencia de Plenipotenciarios, sobre los principios generales de la recuperación de costes;</w:t>
      </w:r>
    </w:p>
    <w:p w:rsidR="00BD69C4" w:rsidRPr="00BD69C4" w:rsidRDefault="00BD69C4" w:rsidP="00BD69C4">
      <w:pPr>
        <w:rPr>
          <w:lang w:val="es-ES_tradnl"/>
        </w:rPr>
      </w:pPr>
      <w:r w:rsidRPr="00BD69C4">
        <w:rPr>
          <w:i/>
          <w:iCs/>
          <w:lang w:val="es-ES_tradnl"/>
        </w:rPr>
        <w:t>b)</w:t>
      </w:r>
      <w:r w:rsidRPr="00BD69C4">
        <w:rPr>
          <w:lang w:val="es-ES_tradnl"/>
        </w:rPr>
        <w:tab/>
        <w:t>que el proyecto de Plan Financiero d</w:t>
      </w:r>
      <w:r w:rsidR="00E00F66">
        <w:rPr>
          <w:lang w:val="es-ES_tradnl"/>
        </w:rPr>
        <w:t>e la Unión para el periodo 2016</w:t>
      </w:r>
      <w:r w:rsidR="00E00F66">
        <w:rPr>
          <w:lang w:val="es-ES_tradnl"/>
        </w:rPr>
        <w:noBreakHyphen/>
      </w:r>
      <w:r w:rsidRPr="00BD69C4">
        <w:rPr>
          <w:lang w:val="es-ES_tradnl"/>
        </w:rPr>
        <w:t>2019 presenta el reto de aumentar los ingresos para cubrir la creciente demanda de los programas,</w:t>
      </w:r>
    </w:p>
    <w:p w:rsidR="00BD69C4" w:rsidRPr="00BD69C4" w:rsidRDefault="00BD69C4" w:rsidP="00BD69C4">
      <w:pPr>
        <w:pStyle w:val="Call"/>
        <w:rPr>
          <w:lang w:val="es-ES_tradnl" w:eastAsia="zh-CN"/>
        </w:rPr>
      </w:pPr>
      <w:r w:rsidRPr="00BD69C4">
        <w:rPr>
          <w:lang w:val="es-ES_tradnl" w:eastAsia="zh-CN"/>
        </w:rPr>
        <w:t>observando</w:t>
      </w:r>
    </w:p>
    <w:p w:rsidR="00BD69C4" w:rsidRPr="00BD69C4" w:rsidRDefault="00BD69C4" w:rsidP="00BD69C4">
      <w:pPr>
        <w:rPr>
          <w:lang w:val="es-ES_tradnl"/>
        </w:rPr>
      </w:pPr>
      <w:r w:rsidRPr="00BD69C4">
        <w:rPr>
          <w:lang w:val="es-ES_tradnl"/>
        </w:rPr>
        <w:t xml:space="preserve">que la presente Conferencia ha adoptado la Resolución 151 (Rev. </w:t>
      </w:r>
      <w:proofErr w:type="spellStart"/>
      <w:r w:rsidRPr="00BD69C4">
        <w:rPr>
          <w:lang w:val="es-ES_tradnl"/>
        </w:rPr>
        <w:t>Busán</w:t>
      </w:r>
      <w:proofErr w:type="spellEnd"/>
      <w:r w:rsidRPr="00BD69C4">
        <w:rPr>
          <w:lang w:val="es-ES_tradnl"/>
        </w:rPr>
        <w:t>, 2014) sobre la aplicación de la gestión basada en los resultados en la UIT, uno de cuyos componente importante se refiere a la planificación, la programación, la elaboración del presupuesto, la supervisión y la evaluación, y que debe conducir, entre otras cosas, a un mayor fortalecimiento del sistema de gestión financiera de la Unión,</w:t>
      </w:r>
    </w:p>
    <w:p w:rsidR="00BD69C4" w:rsidRPr="00BD69C4" w:rsidRDefault="00BD69C4" w:rsidP="00BD69C4">
      <w:pPr>
        <w:pStyle w:val="Call"/>
        <w:rPr>
          <w:lang w:val="es-ES_tradnl" w:eastAsia="zh-CN"/>
        </w:rPr>
      </w:pPr>
      <w:r w:rsidRPr="00BD69C4">
        <w:rPr>
          <w:lang w:val="es-ES_tradnl" w:eastAsia="zh-CN"/>
        </w:rPr>
        <w:t>observando además</w:t>
      </w:r>
    </w:p>
    <w:p w:rsidR="00BD69C4" w:rsidRPr="00BD69C4" w:rsidRDefault="00BD69C4" w:rsidP="00BD69C4">
      <w:pPr>
        <w:rPr>
          <w:lang w:val="es-ES_tradnl"/>
        </w:rPr>
      </w:pPr>
      <w:r w:rsidRPr="00BD69C4">
        <w:rPr>
          <w:lang w:val="es-ES_tradnl"/>
        </w:rPr>
        <w:t>que en la Resolución 48 (Rev. </w:t>
      </w:r>
      <w:proofErr w:type="spellStart"/>
      <w:r w:rsidRPr="00BD69C4">
        <w:rPr>
          <w:lang w:val="es-ES_tradnl"/>
        </w:rPr>
        <w:t>Busán</w:t>
      </w:r>
      <w:proofErr w:type="spellEnd"/>
      <w:r w:rsidRPr="00BD69C4">
        <w:rPr>
          <w:lang w:val="es-ES_tradnl"/>
        </w:rPr>
        <w:t>, 2014) de la presente Conferencia se subraya la importancia de los recursos humanos de la Unión para el cumplimiento de sus metas y objetivos,</w:t>
      </w:r>
    </w:p>
    <w:p w:rsidR="00BD69C4" w:rsidRPr="00BD69C4" w:rsidRDefault="00BD69C4" w:rsidP="00BD69C4">
      <w:pPr>
        <w:pStyle w:val="Call"/>
        <w:rPr>
          <w:lang w:val="es-ES_tradnl" w:eastAsia="zh-CN"/>
        </w:rPr>
      </w:pPr>
      <w:r w:rsidRPr="00BD69C4">
        <w:rPr>
          <w:lang w:val="es-ES_tradnl" w:eastAsia="zh-CN"/>
        </w:rPr>
        <w:t>decide</w:t>
      </w:r>
    </w:p>
    <w:p w:rsidR="00BD69C4" w:rsidRPr="00BD69C4" w:rsidRDefault="00BD69C4" w:rsidP="00BD69C4">
      <w:pPr>
        <w:rPr>
          <w:lang w:val="es-ES_tradnl"/>
        </w:rPr>
      </w:pPr>
      <w:r w:rsidRPr="00BD69C4">
        <w:rPr>
          <w:lang w:val="es-ES_tradnl"/>
        </w:rPr>
        <w:t>1</w:t>
      </w:r>
      <w:r w:rsidRPr="00BD69C4">
        <w:rPr>
          <w:lang w:val="es-ES_tradnl"/>
        </w:rPr>
        <w:tab/>
        <w:t>autorizar al Consejo de la UIT a establecer los dos presupuestos bienales de la Unión de tal manera que los gastos totales de la Secretaría General y de los tres Sectores de la Unión se ajusten a los ingresos previstos, sobre la base del Anexo 1 a la presente Decisión, teniendo en cuenta lo siguiente:</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rPr>
          <w:lang w:val="es-ES_tradnl"/>
        </w:rPr>
      </w:pPr>
      <w:r w:rsidRPr="00BD69C4">
        <w:rPr>
          <w:lang w:val="es-ES_tradnl"/>
        </w:rPr>
        <w:lastRenderedPageBreak/>
        <w:t>1.1</w:t>
      </w:r>
      <w:r w:rsidRPr="00BD69C4">
        <w:rPr>
          <w:lang w:val="es-ES_tradnl"/>
        </w:rPr>
        <w:tab/>
        <w:t>que el importe de la unidad contributiva de los Estados Miembros para el periodo 2016-2019 será de 318 000 CHF;</w:t>
      </w:r>
    </w:p>
    <w:p w:rsidR="00BD69C4" w:rsidRPr="00BD69C4" w:rsidRDefault="00BD69C4" w:rsidP="00F249C7">
      <w:pPr>
        <w:rPr>
          <w:lang w:val="es-ES_tradnl"/>
        </w:rPr>
      </w:pPr>
      <w:r w:rsidRPr="00BD69C4">
        <w:rPr>
          <w:lang w:val="es-ES_tradnl"/>
        </w:rPr>
        <w:t>1.2</w:t>
      </w:r>
      <w:r w:rsidRPr="00BD69C4">
        <w:rPr>
          <w:lang w:val="es-ES_tradnl"/>
        </w:rPr>
        <w:tab/>
        <w:t>que los gastos de interpretación, traducción y tratamiento de textos en los idiomas oficiales de la Unión no superarán 85 millones CHF en los años</w:t>
      </w:r>
      <w:r w:rsidR="00F249C7">
        <w:rPr>
          <w:lang w:val="es-ES_tradnl"/>
        </w:rPr>
        <w:t> </w:t>
      </w:r>
      <w:r w:rsidRPr="00BD69C4">
        <w:rPr>
          <w:lang w:val="es-ES_tradnl"/>
        </w:rPr>
        <w:t>2016 a 2019;</w:t>
      </w:r>
    </w:p>
    <w:p w:rsidR="00BD69C4" w:rsidRPr="00BD69C4" w:rsidRDefault="00BD69C4" w:rsidP="00BD69C4">
      <w:pPr>
        <w:rPr>
          <w:lang w:val="es-ES_tradnl"/>
        </w:rPr>
      </w:pPr>
      <w:r w:rsidRPr="00BD69C4">
        <w:rPr>
          <w:lang w:val="es-ES_tradnl"/>
        </w:rPr>
        <w:t>1.3</w:t>
      </w:r>
      <w:r w:rsidRPr="00BD69C4">
        <w:rPr>
          <w:lang w:val="es-ES_tradnl"/>
        </w:rPr>
        <w:tab/>
        <w:t>que, al adoptar los presupuestos bienales de la Unión, el Consejo podrá facultar al Secretario General para, a fin de satisfacer la demanda imprevista, aumentar el presupuesto correspondiente a los productos o servicios sujetos a la recuperación de costes, dentro del límite de los ingresos obtenidos por la recuperación de costes para esa actividad;</w:t>
      </w:r>
    </w:p>
    <w:p w:rsidR="00BD69C4" w:rsidRPr="00BD69C4" w:rsidRDefault="00BD69C4" w:rsidP="00BD69C4">
      <w:pPr>
        <w:rPr>
          <w:lang w:val="es-ES_tradnl"/>
        </w:rPr>
      </w:pPr>
      <w:r w:rsidRPr="00BD69C4">
        <w:rPr>
          <w:lang w:val="es-ES_tradnl"/>
        </w:rPr>
        <w:t>1.4</w:t>
      </w:r>
      <w:r w:rsidRPr="00BD69C4">
        <w:rPr>
          <w:lang w:val="es-ES_tradnl"/>
        </w:rPr>
        <w:tab/>
        <w:t>que el Consejo examine cada año los ingresos y gastos del presupuesto, así como las diferentes actividades y los gastos asociados;</w:t>
      </w:r>
    </w:p>
    <w:p w:rsidR="00BD69C4" w:rsidRPr="00BD69C4" w:rsidRDefault="00BD69C4" w:rsidP="00BD69C4">
      <w:pPr>
        <w:rPr>
          <w:lang w:val="es-ES_tradnl"/>
        </w:rPr>
      </w:pPr>
      <w:r w:rsidRPr="00BD69C4">
        <w:rPr>
          <w:lang w:val="es-ES_tradnl"/>
        </w:rPr>
        <w:t>2</w:t>
      </w:r>
      <w:r w:rsidRPr="00BD69C4">
        <w:rPr>
          <w:lang w:val="es-ES_tradnl"/>
        </w:rPr>
        <w:tab/>
        <w:t>que, en caso de que la Conferencia de Plenipotenciarios no se reuniese en 2018, el Consejo establecerá los presupuestos bienales de la Unión para los periodos 2020-2021 y 2022-2023 y subsiguientes, tras obtener la aprobación por la mayoría de los Estados Miembros de la Unión de los valores anuales presupuestados de la unidad contributiva;</w:t>
      </w:r>
    </w:p>
    <w:p w:rsidR="00BD69C4" w:rsidRPr="00BD69C4" w:rsidRDefault="00BD69C4" w:rsidP="00BD69C4">
      <w:pPr>
        <w:rPr>
          <w:lang w:val="es-ES_tradnl"/>
        </w:rPr>
      </w:pPr>
      <w:r w:rsidRPr="00BD69C4">
        <w:rPr>
          <w:lang w:val="es-ES_tradnl"/>
        </w:rPr>
        <w:t>3</w:t>
      </w:r>
      <w:r w:rsidRPr="00BD69C4">
        <w:rPr>
          <w:lang w:val="es-ES_tradnl"/>
        </w:rPr>
        <w:tab/>
        <w:t>que el Consejo puede autorizar que se rebasen los límites de gastos fijados para las conferencias, las reuniones y seminarios, si el exceso puede compensarse con cantidades que, manteniéndose por debajo del tope de gastos, hayan quedado disponibles los años anteriores o se imputen al año siguiente;</w:t>
      </w:r>
    </w:p>
    <w:p w:rsidR="00BD69C4" w:rsidRPr="00BD69C4" w:rsidRDefault="00BD69C4" w:rsidP="00BD69C4">
      <w:pPr>
        <w:rPr>
          <w:lang w:val="es-ES_tradnl"/>
        </w:rPr>
      </w:pPr>
      <w:r w:rsidRPr="00BD69C4">
        <w:rPr>
          <w:lang w:val="es-ES_tradnl"/>
        </w:rPr>
        <w:t>4</w:t>
      </w:r>
      <w:r w:rsidRPr="00BD69C4">
        <w:rPr>
          <w:lang w:val="es-ES_tradnl"/>
        </w:rPr>
        <w:tab/>
        <w:t>que, durante cada periodo presupuestario, el Consejo evaluará los cambios producidos y los que puedan producirse durante el periodo en curso y periodos ulteriores en los siguientes elementos:</w:t>
      </w:r>
    </w:p>
    <w:p w:rsidR="00BD69C4" w:rsidRPr="00BD69C4" w:rsidRDefault="00BD69C4" w:rsidP="00BD69C4">
      <w:pPr>
        <w:tabs>
          <w:tab w:val="left" w:pos="1871"/>
        </w:tabs>
        <w:rPr>
          <w:lang w:val="es-ES_tradnl"/>
        </w:rPr>
      </w:pPr>
      <w:r w:rsidRPr="00BD69C4">
        <w:rPr>
          <w:lang w:val="es-ES_tradnl"/>
        </w:rPr>
        <w:t>4.1</w:t>
      </w:r>
      <w:r w:rsidRPr="00BD69C4">
        <w:rPr>
          <w:lang w:val="es-ES_tradnl"/>
        </w:rPr>
        <w:tab/>
        <w:t>las escalas de sueldos, las contribuciones para pensiones y los subsidios, incluidos los ajustes por lugar de destino, establecidos por el régimen común de las Naciones Unidas y aplicables al personal empleado por la Unión;</w:t>
      </w:r>
    </w:p>
    <w:p w:rsidR="00BD69C4" w:rsidRPr="00BD69C4" w:rsidRDefault="00BD69C4" w:rsidP="00BD69C4">
      <w:pPr>
        <w:rPr>
          <w:lang w:val="es-ES_tradnl"/>
        </w:rPr>
      </w:pPr>
      <w:r w:rsidRPr="00BD69C4">
        <w:rPr>
          <w:lang w:val="es-ES_tradnl"/>
        </w:rPr>
        <w:t>4.2</w:t>
      </w:r>
      <w:r w:rsidRPr="00BD69C4">
        <w:rPr>
          <w:lang w:val="es-ES_tradnl"/>
        </w:rPr>
        <w:tab/>
        <w:t>el tipo de cambio entre el franco suizo y el dólar de los Estados Unidos, en la medida en que dicho tipo afecte a los costes de aquel personal al que se aplican las escalas de las Naciones Unidas;</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rPr>
          <w:lang w:val="es-ES_tradnl"/>
        </w:rPr>
      </w:pPr>
      <w:r w:rsidRPr="00BD69C4">
        <w:rPr>
          <w:lang w:val="es-ES_tradnl"/>
        </w:rPr>
        <w:lastRenderedPageBreak/>
        <w:t>4.3</w:t>
      </w:r>
      <w:r w:rsidRPr="00BD69C4">
        <w:rPr>
          <w:lang w:val="es-ES_tradnl"/>
        </w:rPr>
        <w:tab/>
        <w:t>el poder adquisitivo del franco suizo con respecto a las partidas de gastos distintas de las de personal;</w:t>
      </w:r>
    </w:p>
    <w:p w:rsidR="00BD69C4" w:rsidRPr="00BD69C4" w:rsidRDefault="00BD69C4" w:rsidP="00BD69C4">
      <w:pPr>
        <w:rPr>
          <w:lang w:val="es-ES_tradnl"/>
        </w:rPr>
      </w:pPr>
      <w:r w:rsidRPr="00BD69C4">
        <w:rPr>
          <w:lang w:val="es-ES_tradnl"/>
        </w:rPr>
        <w:t>5</w:t>
      </w:r>
      <w:r w:rsidRPr="00BD69C4">
        <w:rPr>
          <w:lang w:val="es-ES_tradnl"/>
        </w:rPr>
        <w:tab/>
        <w:t>que el Consejo tendrá la tarea de lograr cuanto ahorro sea posible, teniendo en cuenta, en particular, las medidas destinadas a reducir gastos recogidas en el Anexo 2 y considerando la aplicación del concepto de actividades autorizadas y no financiadas</w:t>
      </w:r>
      <w:r w:rsidRPr="00BD69C4">
        <w:rPr>
          <w:position w:val="6"/>
          <w:sz w:val="20"/>
          <w:lang w:val="es-ES_tradnl"/>
        </w:rPr>
        <w:footnoteReference w:customMarkFollows="1" w:id="1"/>
        <w:t>1</w:t>
      </w:r>
      <w:r w:rsidRPr="00BD69C4">
        <w:rPr>
          <w:lang w:val="es-ES_tradnl"/>
        </w:rPr>
        <w:t xml:space="preserve"> y que, con esa finalidad, establezca el menor nivel de gastos posible que sea compatible con las necesidades de la Unión, dentro de los límites fijados en el </w:t>
      </w:r>
      <w:r w:rsidRPr="00BD69C4">
        <w:rPr>
          <w:i/>
          <w:iCs/>
          <w:lang w:val="es-ES_tradnl"/>
        </w:rPr>
        <w:t>decide</w:t>
      </w:r>
      <w:r w:rsidRPr="00BD69C4">
        <w:rPr>
          <w:lang w:val="es-ES_tradnl"/>
        </w:rPr>
        <w:t xml:space="preserve"> 1 anterior, teniendo en cuenta, si procede, las disposiciones del </w:t>
      </w:r>
      <w:r w:rsidRPr="00BD69C4">
        <w:rPr>
          <w:i/>
          <w:iCs/>
          <w:lang w:val="es-ES_tradnl"/>
        </w:rPr>
        <w:t>decide</w:t>
      </w:r>
      <w:r w:rsidRPr="00BD69C4">
        <w:rPr>
          <w:lang w:val="es-ES_tradnl"/>
        </w:rPr>
        <w:t> 7 que figura más abajo. En el Anexo 2 a la presente Decisión se presenta un conjunto de opciones para reducir gastos;</w:t>
      </w:r>
    </w:p>
    <w:p w:rsidR="00BD69C4" w:rsidRPr="00BD69C4" w:rsidRDefault="00BD69C4" w:rsidP="00BD69C4">
      <w:pPr>
        <w:rPr>
          <w:lang w:val="es-ES_tradnl"/>
        </w:rPr>
      </w:pPr>
      <w:r w:rsidRPr="00BD69C4">
        <w:rPr>
          <w:lang w:val="es-ES_tradnl"/>
        </w:rPr>
        <w:t>6</w:t>
      </w:r>
      <w:r w:rsidRPr="00BD69C4">
        <w:rPr>
          <w:lang w:val="es-ES_tradnl"/>
        </w:rPr>
        <w:tab/>
        <w:t>que se apliquen las siguientes directrices mínimas en relación con cualesquiera reducciones de gasto:</w:t>
      </w:r>
    </w:p>
    <w:p w:rsidR="00BD69C4" w:rsidRPr="00BD69C4" w:rsidRDefault="00BD69C4" w:rsidP="00BD69C4">
      <w:pPr>
        <w:pStyle w:val="enumlev1"/>
        <w:rPr>
          <w:lang w:val="es-ES_tradnl"/>
        </w:rPr>
      </w:pPr>
      <w:r w:rsidRPr="00BD69C4">
        <w:rPr>
          <w:lang w:val="es-ES_tradnl"/>
        </w:rPr>
        <w:t>a)</w:t>
      </w:r>
      <w:r w:rsidRPr="00BD69C4">
        <w:rPr>
          <w:lang w:val="es-ES_tradnl"/>
        </w:rPr>
        <w:tab/>
        <w:t>la función de auditoría interna de la Unión debe seguir manteniéndose a un nivel firme y efectivo;</w:t>
      </w:r>
    </w:p>
    <w:p w:rsidR="00BD69C4" w:rsidRPr="00BD69C4" w:rsidRDefault="00BD69C4" w:rsidP="00BD69C4">
      <w:pPr>
        <w:pStyle w:val="enumlev1"/>
        <w:rPr>
          <w:lang w:val="es-ES_tradnl"/>
        </w:rPr>
      </w:pPr>
      <w:r w:rsidRPr="00BD69C4">
        <w:rPr>
          <w:lang w:val="es-ES_tradnl"/>
        </w:rPr>
        <w:t>b)</w:t>
      </w:r>
      <w:r w:rsidRPr="00BD69C4">
        <w:rPr>
          <w:lang w:val="es-ES_tradnl"/>
        </w:rPr>
        <w:tab/>
        <w:t>no se debe proceder a reducciones de gasto que pudieran repercutir sobre los ingresos en concepto de recuperación de costes;</w:t>
      </w:r>
    </w:p>
    <w:p w:rsidR="00BD69C4" w:rsidRPr="00BD69C4" w:rsidRDefault="00BD69C4" w:rsidP="00BD69C4">
      <w:pPr>
        <w:pStyle w:val="enumlev1"/>
        <w:rPr>
          <w:lang w:val="es-ES_tradnl"/>
        </w:rPr>
      </w:pPr>
      <w:r w:rsidRPr="00BD69C4">
        <w:rPr>
          <w:lang w:val="es-ES_tradnl"/>
        </w:rPr>
        <w:t>c)</w:t>
      </w:r>
      <w:r w:rsidRPr="00BD69C4">
        <w:rPr>
          <w:lang w:val="es-ES_tradnl"/>
        </w:rPr>
        <w:tab/>
        <w:t>los costes fijos, tales como los relacionados con el reembolso de préstamos o el seguro médico después del servicio (ASHI), no deben ser objeto de reducciones de gasto;</w:t>
      </w:r>
    </w:p>
    <w:p w:rsidR="00BD69C4" w:rsidRPr="00BD69C4" w:rsidRDefault="00BD69C4" w:rsidP="00BD69C4">
      <w:pPr>
        <w:pStyle w:val="enumlev1"/>
        <w:rPr>
          <w:lang w:val="es-ES_tradnl"/>
        </w:rPr>
      </w:pPr>
      <w:r w:rsidRPr="00BD69C4">
        <w:rPr>
          <w:lang w:val="es-ES_tradnl"/>
        </w:rPr>
        <w:t>d)</w:t>
      </w:r>
      <w:r w:rsidRPr="00BD69C4">
        <w:rPr>
          <w:lang w:val="es-ES_tradnl"/>
        </w:rPr>
        <w:tab/>
        <w:t>no deben reducirse los gastos de mantenimiento habituales de los edificios de la UIT que pudieran afectar a la seguridad o la salud del personal;</w:t>
      </w:r>
    </w:p>
    <w:p w:rsidR="00BD69C4" w:rsidRPr="00BD69C4" w:rsidRDefault="00BD69C4" w:rsidP="00BD69C4">
      <w:pPr>
        <w:pStyle w:val="enumlev1"/>
        <w:rPr>
          <w:lang w:val="es-ES_tradnl"/>
        </w:rPr>
      </w:pPr>
      <w:r w:rsidRPr="00BD69C4">
        <w:rPr>
          <w:lang w:val="es-ES_tradnl"/>
        </w:rPr>
        <w:t>e)</w:t>
      </w:r>
      <w:r w:rsidRPr="00BD69C4">
        <w:rPr>
          <w:lang w:val="es-ES_tradnl"/>
        </w:rPr>
        <w:tab/>
        <w:t>la función de los servicios de información en la Unión debe mantenerse en un nivel efectivo;</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rPr>
          <w:lang w:val="es-ES_tradnl"/>
        </w:rPr>
      </w:pPr>
      <w:r w:rsidRPr="00BD69C4">
        <w:rPr>
          <w:lang w:val="es-ES_tradnl"/>
        </w:rPr>
        <w:lastRenderedPageBreak/>
        <w:t>7</w:t>
      </w:r>
      <w:r w:rsidRPr="00BD69C4">
        <w:rPr>
          <w:lang w:val="es-ES_tradnl"/>
        </w:rPr>
        <w:tab/>
        <w:t>que el Consejo, al fijar el importe de las detracciones de la Cuenta de Provisión o las acreditaciones a la misma, debe tratar, en circunstancias normales, de mantener el nivel de esta Cuenta de Provisión por encima de 6 por ciento de los gastos anuales totales,</w:t>
      </w:r>
    </w:p>
    <w:p w:rsidR="00BD69C4" w:rsidRPr="00BD69C4" w:rsidRDefault="00BD69C4" w:rsidP="00BD69C4">
      <w:pPr>
        <w:pStyle w:val="Call"/>
        <w:rPr>
          <w:lang w:val="es-ES_tradnl" w:eastAsia="zh-CN"/>
        </w:rPr>
      </w:pPr>
      <w:r w:rsidRPr="00BD69C4">
        <w:rPr>
          <w:lang w:val="es-ES_tradnl" w:eastAsia="zh-CN"/>
        </w:rPr>
        <w:t>encarga al Secretario General que, con la asistencia del Comité de Coordinación</w:t>
      </w:r>
    </w:p>
    <w:p w:rsidR="00BD69C4" w:rsidRPr="00BD69C4" w:rsidRDefault="00BD69C4" w:rsidP="00F249C7">
      <w:pPr>
        <w:rPr>
          <w:lang w:val="es-ES_tradnl"/>
        </w:rPr>
      </w:pPr>
      <w:r w:rsidRPr="00BD69C4">
        <w:rPr>
          <w:lang w:val="es-ES_tradnl"/>
        </w:rPr>
        <w:t>1</w:t>
      </w:r>
      <w:r w:rsidRPr="00BD69C4">
        <w:rPr>
          <w:lang w:val="es-ES_tradnl"/>
        </w:rPr>
        <w:tab/>
        <w:t>elabore el proyecto de presupuesto bienal para los años</w:t>
      </w:r>
      <w:r w:rsidR="00F249C7">
        <w:rPr>
          <w:lang w:val="es-ES_tradnl"/>
        </w:rPr>
        <w:t xml:space="preserve"> </w:t>
      </w:r>
      <w:r w:rsidRPr="00BD69C4">
        <w:rPr>
          <w:lang w:val="es-ES_tradnl"/>
        </w:rPr>
        <w:t>2016-2017, así como para los años</w:t>
      </w:r>
      <w:r w:rsidR="00F249C7">
        <w:rPr>
          <w:lang w:val="es-ES_tradnl"/>
        </w:rPr>
        <w:t xml:space="preserve"> </w:t>
      </w:r>
      <w:r w:rsidRPr="00BD69C4">
        <w:rPr>
          <w:lang w:val="es-ES_tradnl"/>
        </w:rPr>
        <w:t>2018</w:t>
      </w:r>
      <w:r w:rsidRPr="00BD69C4">
        <w:rPr>
          <w:lang w:val="es-ES_tradnl"/>
        </w:rPr>
        <w:noBreakHyphen/>
        <w:t xml:space="preserve">2019, sobre la base de las directrices conexas estipuladas en el anterior </w:t>
      </w:r>
      <w:r w:rsidRPr="00BD69C4">
        <w:rPr>
          <w:i/>
          <w:iCs/>
          <w:lang w:val="es-ES_tradnl"/>
        </w:rPr>
        <w:t>decide</w:t>
      </w:r>
      <w:r w:rsidRPr="00BD69C4">
        <w:rPr>
          <w:lang w:val="es-ES_tradnl"/>
        </w:rPr>
        <w:t>, los Anexos a la presente Decisión y todos los documentos pertinentes presentados a la Conferencia de Plenipotenciarios;</w:t>
      </w:r>
    </w:p>
    <w:p w:rsidR="00BD69C4" w:rsidRPr="00BD69C4" w:rsidRDefault="00BD69C4" w:rsidP="00BD69C4">
      <w:pPr>
        <w:rPr>
          <w:lang w:val="es-ES_tradnl"/>
        </w:rPr>
      </w:pPr>
      <w:r w:rsidRPr="00BD69C4">
        <w:rPr>
          <w:lang w:val="es-ES_tradnl"/>
        </w:rPr>
        <w:t>2</w:t>
      </w:r>
      <w:r w:rsidRPr="00BD69C4">
        <w:rPr>
          <w:lang w:val="es-ES_tradnl"/>
        </w:rPr>
        <w:tab/>
        <w:t>vele por que, en cada presupuesto bienal, los ingresos y los gastos estén equilibrados;</w:t>
      </w:r>
    </w:p>
    <w:p w:rsidR="00BD69C4" w:rsidRPr="00BD69C4" w:rsidRDefault="00BD69C4" w:rsidP="00BD69C4">
      <w:pPr>
        <w:rPr>
          <w:lang w:val="es-ES_tradnl"/>
        </w:rPr>
      </w:pPr>
      <w:r w:rsidRPr="00BD69C4">
        <w:rPr>
          <w:lang w:val="es-ES_tradnl"/>
        </w:rPr>
        <w:t>3</w:t>
      </w:r>
      <w:r w:rsidRPr="00BD69C4">
        <w:rPr>
          <w:lang w:val="es-ES_tradnl"/>
        </w:rPr>
        <w:tab/>
        <w:t>elabore y lleve a la práctica un programa de incremento de ingresos apropiado y de eficiencias y reducciones de costes en todas las actividades de la UIT a fin de garantizar un presupuesto equilibrado;</w:t>
      </w:r>
    </w:p>
    <w:p w:rsidR="00BD69C4" w:rsidRPr="00BD69C4" w:rsidRDefault="00BD69C4" w:rsidP="00BD69C4">
      <w:pPr>
        <w:rPr>
          <w:lang w:val="es-ES_tradnl"/>
        </w:rPr>
      </w:pPr>
      <w:r w:rsidRPr="00BD69C4">
        <w:rPr>
          <w:lang w:val="es-ES_tradnl"/>
        </w:rPr>
        <w:t>4</w:t>
      </w:r>
      <w:r w:rsidRPr="00BD69C4">
        <w:rPr>
          <w:lang w:val="es-ES_tradnl"/>
        </w:rPr>
        <w:tab/>
        <w:t>aplique lo antes posible el programa indicado,</w:t>
      </w:r>
    </w:p>
    <w:p w:rsidR="00BD69C4" w:rsidRPr="00BD69C4" w:rsidRDefault="00BD69C4" w:rsidP="00BD69C4">
      <w:pPr>
        <w:pStyle w:val="Call"/>
        <w:rPr>
          <w:lang w:val="es-ES_tradnl" w:eastAsia="zh-CN"/>
        </w:rPr>
      </w:pPr>
      <w:r w:rsidRPr="00BD69C4">
        <w:rPr>
          <w:lang w:val="es-ES_tradnl" w:eastAsia="zh-CN"/>
        </w:rPr>
        <w:t>encarga al Secretario General</w:t>
      </w:r>
    </w:p>
    <w:p w:rsidR="00BD69C4" w:rsidRPr="00BD69C4" w:rsidRDefault="00BD69C4" w:rsidP="00F249C7">
      <w:pPr>
        <w:rPr>
          <w:lang w:val="es-ES_tradnl"/>
        </w:rPr>
      </w:pPr>
      <w:r w:rsidRPr="00BD69C4">
        <w:rPr>
          <w:lang w:val="es-ES_tradnl"/>
        </w:rPr>
        <w:t>1</w:t>
      </w:r>
      <w:r w:rsidRPr="00BD69C4">
        <w:rPr>
          <w:lang w:val="es-ES_tradnl"/>
        </w:rPr>
        <w:tab/>
        <w:t>que proporcione al Consejo, no menos de siete semanas antes de sus reuniones ordinarias de</w:t>
      </w:r>
      <w:r w:rsidR="00F249C7">
        <w:rPr>
          <w:lang w:val="es-ES_tradnl"/>
        </w:rPr>
        <w:t xml:space="preserve"> </w:t>
      </w:r>
      <w:r w:rsidRPr="00BD69C4">
        <w:rPr>
          <w:lang w:val="es-ES_tradnl"/>
        </w:rPr>
        <w:t>2015</w:t>
      </w:r>
      <w:r w:rsidR="00F249C7">
        <w:rPr>
          <w:lang w:val="es-ES_tradnl"/>
        </w:rPr>
        <w:t xml:space="preserve"> </w:t>
      </w:r>
      <w:r w:rsidRPr="00BD69C4">
        <w:rPr>
          <w:lang w:val="es-ES_tradnl"/>
        </w:rPr>
        <w:t>y</w:t>
      </w:r>
      <w:r w:rsidR="00F249C7">
        <w:rPr>
          <w:lang w:val="es-ES_tradnl"/>
        </w:rPr>
        <w:t xml:space="preserve"> </w:t>
      </w:r>
      <w:r w:rsidRPr="00BD69C4">
        <w:rPr>
          <w:lang w:val="es-ES_tradnl"/>
        </w:rPr>
        <w:t>2017, los datos completos y precisos que sean necesarios para la elaboración, el examen y el establecimiento del presupuesto bienal;</w:t>
      </w:r>
    </w:p>
    <w:p w:rsidR="00BD69C4" w:rsidRPr="00BD69C4" w:rsidRDefault="00BD69C4" w:rsidP="00BD69C4">
      <w:pPr>
        <w:rPr>
          <w:lang w:val="es-ES_tradnl"/>
        </w:rPr>
      </w:pPr>
      <w:r w:rsidRPr="00BD69C4">
        <w:rPr>
          <w:lang w:val="es-ES_tradnl"/>
        </w:rPr>
        <w:t>2</w:t>
      </w:r>
      <w:r w:rsidRPr="00BD69C4">
        <w:rPr>
          <w:lang w:val="es-ES_tradnl"/>
        </w:rPr>
        <w:tab/>
        <w:t>que realice estudios sobre la situación actual y las previsiones en relación con la estabilidad financiera y las correspondientes cuentas de provisión de la Unión con arreglo a la evolución de las circunstancias tras la introducción de las Normas Internacionales de Contabilidad para el Sector Público (NICSP), a fin de elaborar estrategias destinadas a lograr la estabilidad financiera a largo plazo, y que informe anualmente al Consejo;</w:t>
      </w:r>
    </w:p>
    <w:p w:rsidR="00BD69C4" w:rsidRPr="00BD69C4" w:rsidRDefault="00BD69C4" w:rsidP="00BD69C4">
      <w:pPr>
        <w:rPr>
          <w:lang w:val="es-ES_tradnl"/>
        </w:rPr>
      </w:pPr>
      <w:r w:rsidRPr="00BD69C4">
        <w:rPr>
          <w:lang w:val="es-ES_tradnl"/>
        </w:rPr>
        <w:t>3</w:t>
      </w:r>
      <w:r w:rsidRPr="00BD69C4">
        <w:rPr>
          <w:lang w:val="es-ES_tradnl"/>
        </w:rPr>
        <w:tab/>
        <w:t>que haga todo lo posible por obtener presupuestos bienales equilibrados y señale a la atención de los Miembros, por conducto del Grupo de Trabajo del Consejo sobre Recursos Humanos y Financieros (GTC-RHF), todas las decisiones que puedan tener consecuencias financieras susceptibles de afectar a la obtención de ese equilibrio,</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eastAsia="zh-CN"/>
        </w:rPr>
      </w:pPr>
      <w:r>
        <w:rPr>
          <w:lang w:val="es-ES_tradnl" w:eastAsia="zh-CN"/>
        </w:rPr>
        <w:br w:type="page"/>
      </w:r>
    </w:p>
    <w:p w:rsidR="00BD69C4" w:rsidRPr="00BD69C4" w:rsidRDefault="00BD69C4" w:rsidP="00BD69C4">
      <w:pPr>
        <w:pStyle w:val="Call"/>
        <w:rPr>
          <w:lang w:val="es-ES_tradnl" w:eastAsia="zh-CN"/>
        </w:rPr>
      </w:pPr>
      <w:r w:rsidRPr="00BD69C4">
        <w:rPr>
          <w:lang w:val="es-ES_tradnl" w:eastAsia="zh-CN"/>
        </w:rPr>
        <w:lastRenderedPageBreak/>
        <w:t>encarga al Secretario General y a los Directores de las Oficinas</w:t>
      </w:r>
    </w:p>
    <w:p w:rsidR="00BD69C4" w:rsidRPr="00BD69C4" w:rsidRDefault="00BD69C4" w:rsidP="00BD69C4">
      <w:pPr>
        <w:rPr>
          <w:lang w:val="es-ES_tradnl"/>
        </w:rPr>
      </w:pPr>
      <w:r w:rsidRPr="00BD69C4">
        <w:rPr>
          <w:lang w:val="es-ES_tradnl"/>
        </w:rPr>
        <w:t>1</w:t>
      </w:r>
      <w:r w:rsidRPr="00BD69C4">
        <w:rPr>
          <w:lang w:val="es-ES_tradnl"/>
        </w:rPr>
        <w:tab/>
        <w:t>que cada año proporcionen al Consejo un informe en el que se indiquen los gastos relativos a cada punto del Anexo 2 a la presente Decisión y tomen las medidas adecuadas para reducir los gastos en cada área;</w:t>
      </w:r>
    </w:p>
    <w:p w:rsidR="00BD69C4" w:rsidRPr="00BD69C4" w:rsidRDefault="00BD69C4" w:rsidP="00BD69C4">
      <w:pPr>
        <w:rPr>
          <w:lang w:val="es-ES_tradnl"/>
        </w:rPr>
      </w:pPr>
      <w:r w:rsidRPr="00BD69C4">
        <w:rPr>
          <w:lang w:val="es-ES_tradnl"/>
        </w:rPr>
        <w:t>2</w:t>
      </w:r>
      <w:r w:rsidRPr="00BD69C4">
        <w:rPr>
          <w:lang w:val="es-ES_tradnl"/>
        </w:rPr>
        <w:tab/>
        <w:t>que hagan todo lo posible por lograr reducciones a través de una cultura de la eficiencia y la economía, e incluyan los ahorros actualmente obtenidos en el marco de los presupuestos aprobados, en el Informe antes mencionado que se presente al Consejo,</w:t>
      </w:r>
    </w:p>
    <w:p w:rsidR="00BD69C4" w:rsidRPr="00BD69C4" w:rsidRDefault="00BD69C4" w:rsidP="00BD69C4">
      <w:pPr>
        <w:pStyle w:val="Call"/>
        <w:rPr>
          <w:lang w:val="es-ES_tradnl" w:eastAsia="zh-CN"/>
        </w:rPr>
      </w:pPr>
      <w:r w:rsidRPr="00BD69C4">
        <w:rPr>
          <w:lang w:val="es-ES_tradnl" w:eastAsia="zh-CN"/>
        </w:rPr>
        <w:t>encarga al Consejo</w:t>
      </w:r>
    </w:p>
    <w:p w:rsidR="00BD69C4" w:rsidRPr="00BD69C4" w:rsidRDefault="00BD69C4" w:rsidP="00BD69C4">
      <w:pPr>
        <w:rPr>
          <w:lang w:val="es-ES_tradnl"/>
        </w:rPr>
      </w:pPr>
      <w:r w:rsidRPr="00BD69C4">
        <w:rPr>
          <w:lang w:val="es-ES_tradnl"/>
        </w:rPr>
        <w:t>1</w:t>
      </w:r>
      <w:r w:rsidRPr="00BD69C4">
        <w:rPr>
          <w:lang w:val="es-ES_tradnl"/>
        </w:rPr>
        <w:tab/>
        <w:t>que autorice al Secretario General a que, de conformidad con lo dispuesto en el Artículo 27 del Reglamento Financiero y Reglas Financieras, asigne al ASHI, con cargo a la Cuenta de Provisión, un importe máximo correspondiente al importe que realmente se utilice para equilibrar el presupuesto bienal de la cuenta de Provisión;</w:t>
      </w:r>
    </w:p>
    <w:p w:rsidR="00BD69C4" w:rsidRPr="00BD69C4" w:rsidRDefault="00BD69C4" w:rsidP="00BD69C4">
      <w:pPr>
        <w:rPr>
          <w:lang w:val="es-ES_tradnl"/>
        </w:rPr>
      </w:pPr>
      <w:r w:rsidRPr="00BD69C4">
        <w:rPr>
          <w:lang w:val="es-ES_tradnl"/>
        </w:rPr>
        <w:t>2</w:t>
      </w:r>
      <w:r w:rsidRPr="00BD69C4">
        <w:rPr>
          <w:lang w:val="es-ES_tradnl"/>
        </w:rPr>
        <w:tab/>
        <w:t>que examine y apruebe los presupuestos bienales para 2016-2017 y 2018</w:t>
      </w:r>
      <w:r w:rsidRPr="00BD69C4">
        <w:rPr>
          <w:lang w:val="es-ES_tradnl"/>
        </w:rPr>
        <w:noBreakHyphen/>
        <w:t xml:space="preserve">2019, considerando debidamente las directrices asociadas consignadas en el anterior </w:t>
      </w:r>
      <w:r w:rsidRPr="00BD69C4">
        <w:rPr>
          <w:i/>
          <w:iCs/>
          <w:lang w:val="es-ES_tradnl"/>
        </w:rPr>
        <w:t>decide</w:t>
      </w:r>
      <w:r w:rsidRPr="00BD69C4">
        <w:rPr>
          <w:lang w:val="es-ES_tradnl"/>
        </w:rPr>
        <w:t>, los Anexos a la presente Decisión y todos los documentos presentados a la Conferencia de Plenipotenciarios;</w:t>
      </w:r>
    </w:p>
    <w:p w:rsidR="00BD69C4" w:rsidRPr="00BD69C4" w:rsidRDefault="00BD69C4" w:rsidP="00BD69C4">
      <w:pPr>
        <w:rPr>
          <w:lang w:val="es-ES_tradnl"/>
        </w:rPr>
      </w:pPr>
      <w:r w:rsidRPr="00BD69C4">
        <w:rPr>
          <w:lang w:val="es-ES_tradnl"/>
        </w:rPr>
        <w:t>3</w:t>
      </w:r>
      <w:r w:rsidRPr="00BD69C4">
        <w:rPr>
          <w:lang w:val="es-ES_tradnl"/>
        </w:rPr>
        <w:tab/>
        <w:t>que vele por que, en cada presupuesto bienal, los ingresos y los gastos estén equilibrados;</w:t>
      </w:r>
    </w:p>
    <w:p w:rsidR="00BD69C4" w:rsidRPr="00BD69C4" w:rsidRDefault="00BD69C4" w:rsidP="00BD69C4">
      <w:pPr>
        <w:rPr>
          <w:lang w:val="es-ES_tradnl"/>
        </w:rPr>
      </w:pPr>
      <w:r w:rsidRPr="00BD69C4">
        <w:rPr>
          <w:lang w:val="es-ES_tradnl"/>
        </w:rPr>
        <w:t>4</w:t>
      </w:r>
      <w:r w:rsidRPr="00BD69C4">
        <w:rPr>
          <w:lang w:val="es-ES_tradnl"/>
        </w:rPr>
        <w:tab/>
        <w:t>que considere la posibilidad de efectuar nuevas consignaciones en caso de que se identifiquen fuentes adicionales de ingresos o se logre obtener ahorros;</w:t>
      </w:r>
    </w:p>
    <w:p w:rsidR="00BD69C4" w:rsidRPr="00BD69C4" w:rsidRDefault="00BD69C4" w:rsidP="00BD69C4">
      <w:pPr>
        <w:rPr>
          <w:lang w:val="es-ES_tradnl"/>
        </w:rPr>
      </w:pPr>
      <w:r w:rsidRPr="00BD69C4">
        <w:rPr>
          <w:lang w:val="es-ES_tradnl"/>
        </w:rPr>
        <w:t>5</w:t>
      </w:r>
      <w:r w:rsidRPr="00BD69C4">
        <w:rPr>
          <w:lang w:val="es-ES_tradnl"/>
        </w:rPr>
        <w:tab/>
        <w:t>que examine el programa de eficiencia y reducción de costes elaborado por el Secretario General;</w:t>
      </w:r>
    </w:p>
    <w:p w:rsidR="00BD69C4" w:rsidRPr="00BD69C4" w:rsidRDefault="00BD69C4" w:rsidP="00BD69C4">
      <w:pPr>
        <w:rPr>
          <w:lang w:val="es-ES_tradnl"/>
        </w:rPr>
      </w:pPr>
      <w:r w:rsidRPr="00BD69C4">
        <w:rPr>
          <w:lang w:val="es-ES_tradnl"/>
        </w:rPr>
        <w:t>6</w:t>
      </w:r>
      <w:r w:rsidRPr="00BD69C4">
        <w:rPr>
          <w:lang w:val="es-ES_tradnl"/>
        </w:rPr>
        <w:tab/>
        <w:t>que tome en consideración los efectos de cualquier programa de reducción de costes en el personal de la Unión, incluida la aplicación de un mecanismo de separación del servicio y jubilación voluntaria, siempre y cuando éste pueda financiarse con cargo a ahorros presupuestarios o mediante una detracción de la Cuenta de Provisión;</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rPr>
          <w:lang w:val="es-ES_tradnl"/>
        </w:rPr>
      </w:pPr>
      <w:r w:rsidRPr="00BD69C4">
        <w:rPr>
          <w:lang w:val="es-ES_tradnl"/>
        </w:rPr>
        <w:lastRenderedPageBreak/>
        <w:t>7</w:t>
      </w:r>
      <w:r w:rsidRPr="00BD69C4">
        <w:rPr>
          <w:lang w:val="es-ES_tradnl"/>
        </w:rPr>
        <w:tab/>
        <w:t xml:space="preserve">además de lo dispuesto en el párrafo 5 anterior, y habida cuenta de la reducción imprevista de los ingresos como consecuencia de la reducción de las clases de contribución de los Estados Miembros y Miembros del Sector, que autorice una detracción única de la Cuenta de Provisión, dentro de los límites fijados en el </w:t>
      </w:r>
      <w:r w:rsidRPr="00BD69C4">
        <w:rPr>
          <w:i/>
          <w:iCs/>
          <w:lang w:val="es-ES_tradnl"/>
        </w:rPr>
        <w:t>decide</w:t>
      </w:r>
      <w:r w:rsidRPr="00BD69C4">
        <w:rPr>
          <w:lang w:val="es-ES_tradnl"/>
        </w:rPr>
        <w:t xml:space="preserve"> 7 anterior, a fin de reducir al mínimo la repercusión sobre los niveles de dotación de personal en los presupuestos bienales de la UIT para 2016-2017 y 2018-2019; los fondos que no se utilicen se reintegrarán a la Cuenta de Provisión al final de cada periodo presupuestario;</w:t>
      </w:r>
    </w:p>
    <w:p w:rsidR="00BD69C4" w:rsidRPr="00BD69C4" w:rsidRDefault="00BD69C4" w:rsidP="00BD69C4">
      <w:pPr>
        <w:rPr>
          <w:lang w:val="es-ES_tradnl"/>
        </w:rPr>
      </w:pPr>
      <w:r w:rsidRPr="00BD69C4">
        <w:rPr>
          <w:lang w:val="es-ES_tradnl"/>
        </w:rPr>
        <w:t>8</w:t>
      </w:r>
      <w:r w:rsidRPr="00BD69C4">
        <w:rPr>
          <w:lang w:val="es-ES_tradnl"/>
        </w:rPr>
        <w:tab/>
        <w:t>que, al contemplar las medidas que se puedan adoptar para reforzar el control de las finanzas de la Unión, tenga en cuenta las repercusiones financieras de asuntos tales como la financiación del ASHI y el mantenimiento y/o la sustitución a medio o largo plazo de los edificios de la Sede de la Unión;</w:t>
      </w:r>
    </w:p>
    <w:p w:rsidR="00BD69C4" w:rsidRPr="00BD69C4" w:rsidRDefault="00BD69C4" w:rsidP="00BD69C4">
      <w:pPr>
        <w:tabs>
          <w:tab w:val="left" w:pos="1871"/>
        </w:tabs>
        <w:rPr>
          <w:lang w:val="es-ES_tradnl"/>
        </w:rPr>
      </w:pPr>
      <w:r w:rsidRPr="00BD69C4">
        <w:rPr>
          <w:lang w:val="es-ES_tradnl"/>
        </w:rPr>
        <w:t>9</w:t>
      </w:r>
      <w:r w:rsidRPr="00BD69C4">
        <w:rPr>
          <w:lang w:val="es-ES_tradnl"/>
        </w:rPr>
        <w:tab/>
        <w:t xml:space="preserve">que invite al Auditor externo, al Comité Asesor Independiente sobre la Gestión y al GTC-RHF a elaborar recomendaciones para garantizar un mayor control financiero de las finanzas de la Unión, teniendo en cuenta, entre otras cosas, los asuntos identificados en </w:t>
      </w:r>
      <w:proofErr w:type="spellStart"/>
      <w:r w:rsidRPr="00BD69C4">
        <w:rPr>
          <w:lang w:val="es-ES_tradnl"/>
        </w:rPr>
        <w:t>el</w:t>
      </w:r>
      <w:proofErr w:type="spellEnd"/>
      <w:r w:rsidRPr="00BD69C4">
        <w:rPr>
          <w:lang w:val="es-ES_tradnl"/>
        </w:rPr>
        <w:t xml:space="preserve"> </w:t>
      </w:r>
      <w:r w:rsidRPr="00BD69C4">
        <w:rPr>
          <w:i/>
          <w:lang w:val="es-ES_tradnl"/>
        </w:rPr>
        <w:t>encarga al Consejo 8</w:t>
      </w:r>
      <w:r w:rsidRPr="00BD69C4">
        <w:rPr>
          <w:lang w:val="es-ES_tradnl"/>
        </w:rPr>
        <w:t xml:space="preserve"> anterior;</w:t>
      </w:r>
    </w:p>
    <w:p w:rsidR="00BD69C4" w:rsidRPr="00BD69C4" w:rsidRDefault="00BD69C4" w:rsidP="00BD69C4">
      <w:pPr>
        <w:rPr>
          <w:lang w:val="es-ES_tradnl"/>
        </w:rPr>
      </w:pPr>
      <w:r w:rsidRPr="00BD69C4">
        <w:rPr>
          <w:lang w:val="es-ES_tradnl"/>
        </w:rPr>
        <w:t>10</w:t>
      </w:r>
      <w:r w:rsidRPr="00BD69C4">
        <w:rPr>
          <w:lang w:val="es-ES_tradnl"/>
        </w:rPr>
        <w:tab/>
        <w:t xml:space="preserve">que estudie el Informe del Secretario General resultante del </w:t>
      </w:r>
      <w:r w:rsidRPr="00BD69C4">
        <w:rPr>
          <w:i/>
          <w:iCs/>
          <w:lang w:val="es-ES_tradnl"/>
        </w:rPr>
        <w:t>encarga al Secretario General </w:t>
      </w:r>
      <w:r w:rsidRPr="00BD69C4">
        <w:rPr>
          <w:lang w:val="es-ES_tradnl"/>
        </w:rPr>
        <w:t>2 anterior, e informe, si procede, a la próxima Conferencia de Plenipotenciarios,</w:t>
      </w:r>
    </w:p>
    <w:p w:rsidR="00BD69C4" w:rsidRPr="00BD69C4" w:rsidRDefault="00BD69C4" w:rsidP="00BD69C4">
      <w:pPr>
        <w:pStyle w:val="Call"/>
        <w:rPr>
          <w:lang w:val="es-ES_tradnl" w:eastAsia="zh-CN"/>
        </w:rPr>
      </w:pPr>
      <w:r w:rsidRPr="00BD69C4">
        <w:rPr>
          <w:lang w:val="es-ES_tradnl" w:eastAsia="zh-CN"/>
        </w:rPr>
        <w:t>invita al Consejo</w:t>
      </w:r>
    </w:p>
    <w:p w:rsidR="00BD69C4" w:rsidRPr="00BD69C4" w:rsidRDefault="00BD69C4" w:rsidP="00BD69C4">
      <w:pPr>
        <w:rPr>
          <w:lang w:val="es-ES_tradnl" w:eastAsia="zh-CN"/>
        </w:rPr>
      </w:pPr>
      <w:r w:rsidRPr="00BD69C4">
        <w:rPr>
          <w:lang w:val="es-ES_tradnl" w:eastAsia="zh-CN"/>
        </w:rPr>
        <w:t>en su reunión ordinaria de 2017, a determinar, en la medida de lo posible el importe provisional de la unidad contributiva para el periodo 2020</w:t>
      </w:r>
      <w:r w:rsidRPr="00BD69C4">
        <w:rPr>
          <w:lang w:val="es-ES_tradnl" w:eastAsia="zh-CN"/>
        </w:rPr>
        <w:noBreakHyphen/>
        <w:t>2023,</w:t>
      </w:r>
    </w:p>
    <w:p w:rsidR="00BD69C4" w:rsidRPr="00BD69C4" w:rsidRDefault="00BD69C4" w:rsidP="00BD69C4">
      <w:pPr>
        <w:pStyle w:val="Call"/>
        <w:rPr>
          <w:lang w:val="es-ES_tradnl" w:eastAsia="zh-CN"/>
        </w:rPr>
      </w:pPr>
      <w:r w:rsidRPr="00BD69C4">
        <w:rPr>
          <w:lang w:val="es-ES_tradnl" w:eastAsia="zh-CN"/>
        </w:rPr>
        <w:t>invita a los Estados Miembros</w:t>
      </w:r>
    </w:p>
    <w:p w:rsidR="00BD69C4" w:rsidRPr="00BD69C4" w:rsidRDefault="00BD69C4" w:rsidP="00BD69C4">
      <w:pPr>
        <w:rPr>
          <w:lang w:val="es-ES_tradnl" w:eastAsia="zh-CN"/>
        </w:rPr>
      </w:pPr>
      <w:r w:rsidRPr="00BD69C4">
        <w:rPr>
          <w:lang w:val="es-ES_tradnl" w:eastAsia="zh-CN"/>
        </w:rPr>
        <w:t>a anunciar su clase de contribución provisional para el periodo 2020-2023 antes del final del año 2017.</w:t>
      </w:r>
    </w:p>
    <w:p w:rsidR="00BD69C4" w:rsidRDefault="00BD69C4" w:rsidP="000C15AB">
      <w:pPr>
        <w:rPr>
          <w:lang w:val="es-ES_tradnl" w:eastAsia="zh-CN"/>
        </w:rPr>
      </w:pPr>
    </w:p>
    <w:p w:rsidR="000C15AB" w:rsidRPr="000C15AB" w:rsidRDefault="000C15AB" w:rsidP="000C15AB">
      <w:pPr>
        <w:pStyle w:val="refbasdepage"/>
        <w:rPr>
          <w:lang w:val="en-US"/>
        </w:rPr>
      </w:pPr>
      <w:r w:rsidRPr="001E2954">
        <w:rPr>
          <w:lang w:val="en-US"/>
        </w:rPr>
        <w:t>(</w:t>
      </w:r>
      <w:proofErr w:type="spellStart"/>
      <w:r w:rsidRPr="001E2954">
        <w:rPr>
          <w:lang w:val="en-US"/>
        </w:rPr>
        <w:t>Minneápolis</w:t>
      </w:r>
      <w:proofErr w:type="spellEnd"/>
      <w:r w:rsidRPr="001E2954">
        <w:rPr>
          <w:lang w:val="en-US"/>
        </w:rPr>
        <w:t>, 1998) – (Rev. Marrakech, 2002) – (Rev. Antalya, 2006)</w:t>
      </w:r>
      <w:r>
        <w:rPr>
          <w:lang w:val="en-US"/>
        </w:rPr>
        <w:t xml:space="preserve"> </w:t>
      </w:r>
      <w:r w:rsidRPr="001846AE">
        <w:rPr>
          <w:lang w:val="en-US"/>
        </w:rPr>
        <w:t>–</w:t>
      </w:r>
      <w:r w:rsidRPr="001E2954">
        <w:rPr>
          <w:lang w:val="en-US"/>
        </w:rPr>
        <w:t xml:space="preserve"> (Rev. Guadalajara, 2010) – (Rev. </w:t>
      </w:r>
      <w:proofErr w:type="spellStart"/>
      <w:r w:rsidRPr="001E2954">
        <w:rPr>
          <w:lang w:val="en-US"/>
        </w:rPr>
        <w:t>Busán</w:t>
      </w:r>
      <w:proofErr w:type="spellEnd"/>
      <w:r w:rsidRPr="001E2954">
        <w:rPr>
          <w:lang w:val="en-US"/>
        </w:rPr>
        <w:t>, 2014)</w:t>
      </w:r>
    </w:p>
    <w:p w:rsidR="000C15AB" w:rsidRDefault="000C15AB" w:rsidP="00CA34FD">
      <w:pPr>
        <w:pStyle w:val="NormalendS2"/>
        <w:rPr>
          <w:lang w:val="en-US"/>
        </w:rPr>
      </w:pPr>
    </w:p>
    <w:p w:rsidR="00267A4B" w:rsidRPr="001E2954" w:rsidRDefault="00267A4B" w:rsidP="00CA34FD">
      <w:pPr>
        <w:pStyle w:val="NormalendS2"/>
        <w:rPr>
          <w:lang w:val="en-US"/>
        </w:rPr>
      </w:pPr>
    </w:p>
    <w:p w:rsidR="00BD69C4" w:rsidRPr="001E2954" w:rsidRDefault="00BD69C4">
      <w:pPr>
        <w:tabs>
          <w:tab w:val="clear" w:pos="567"/>
          <w:tab w:val="clear" w:pos="1134"/>
          <w:tab w:val="clear" w:pos="1701"/>
          <w:tab w:val="clear" w:pos="2268"/>
          <w:tab w:val="clear" w:pos="2835"/>
        </w:tabs>
        <w:overflowPunct/>
        <w:autoSpaceDE/>
        <w:autoSpaceDN/>
        <w:adjustRightInd/>
        <w:spacing w:before="0"/>
        <w:jc w:val="left"/>
        <w:textAlignment w:val="auto"/>
        <w:rPr>
          <w:caps/>
          <w:sz w:val="34"/>
          <w:szCs w:val="34"/>
          <w:lang w:val="en-US"/>
        </w:rPr>
      </w:pPr>
      <w:r w:rsidRPr="001E2954">
        <w:rPr>
          <w:szCs w:val="34"/>
          <w:lang w:val="en-US"/>
        </w:rPr>
        <w:br w:type="page"/>
      </w:r>
    </w:p>
    <w:p w:rsidR="00BD69C4" w:rsidRPr="00BD69C4" w:rsidRDefault="00BD69C4" w:rsidP="00BD69C4">
      <w:pPr>
        <w:pStyle w:val="AnnexNo"/>
        <w:spacing w:before="960"/>
        <w:rPr>
          <w:szCs w:val="34"/>
          <w:lang w:val="es-ES_tradnl"/>
        </w:rPr>
      </w:pPr>
      <w:r w:rsidRPr="00BD69C4">
        <w:rPr>
          <w:szCs w:val="34"/>
          <w:lang w:val="es-ES_tradnl"/>
        </w:rPr>
        <w:lastRenderedPageBreak/>
        <w:t>ANEXO 1 A LA DECISIÓN 5 (</w:t>
      </w:r>
      <w:r w:rsidRPr="00BD69C4">
        <w:rPr>
          <w:caps w:val="0"/>
          <w:szCs w:val="34"/>
          <w:lang w:val="es-ES_tradnl"/>
        </w:rPr>
        <w:t>REV</w:t>
      </w:r>
      <w:r w:rsidRPr="00BD69C4">
        <w:rPr>
          <w:szCs w:val="34"/>
          <w:lang w:val="es-ES_tradnl"/>
        </w:rPr>
        <w:t xml:space="preserve">. </w:t>
      </w:r>
      <w:r w:rsidRPr="00BD69C4">
        <w:rPr>
          <w:caps w:val="0"/>
          <w:szCs w:val="34"/>
          <w:lang w:val="es-ES_tradnl"/>
        </w:rPr>
        <w:t>BUSÁN</w:t>
      </w:r>
      <w:r w:rsidRPr="00BD69C4">
        <w:rPr>
          <w:szCs w:val="34"/>
          <w:lang w:val="es-ES_tradnl"/>
        </w:rPr>
        <w:t>, 2014)</w:t>
      </w:r>
    </w:p>
    <w:p w:rsidR="00BD69C4" w:rsidRDefault="00BD69C4" w:rsidP="00BD69C4">
      <w:pPr>
        <w:pStyle w:val="Annextitle"/>
        <w:rPr>
          <w:rFonts w:eastAsia="MS Mincho"/>
          <w:szCs w:val="34"/>
          <w:lang w:val="es-ES_tradnl"/>
        </w:rPr>
      </w:pPr>
      <w:r w:rsidRPr="00BD69C4">
        <w:rPr>
          <w:rFonts w:eastAsia="MS Mincho"/>
          <w:szCs w:val="34"/>
          <w:lang w:val="es-ES_tradnl"/>
        </w:rPr>
        <w:t>Plan Financiero de la Unión para 2016-2019:</w:t>
      </w:r>
      <w:r w:rsidRPr="00BD69C4">
        <w:rPr>
          <w:rFonts w:eastAsia="MS Mincho"/>
          <w:szCs w:val="34"/>
          <w:lang w:val="es-ES_tradnl"/>
        </w:rPr>
        <w:br/>
        <w:t>Ingresos y gastos</w:t>
      </w:r>
    </w:p>
    <w:p w:rsidR="00BD69C4" w:rsidRPr="008061EF" w:rsidRDefault="00BD69C4" w:rsidP="00994C3A">
      <w:pPr>
        <w:ind w:left="-284"/>
        <w:jc w:val="center"/>
        <w:rPr>
          <w:rFonts w:eastAsia="MS Mincho"/>
        </w:rPr>
      </w:pPr>
      <w:r w:rsidRPr="008061EF">
        <w:rPr>
          <w:rFonts w:eastAsia="MS Mincho"/>
          <w:noProof/>
          <w:lang w:val="en-US" w:eastAsia="zh-CN"/>
        </w:rPr>
        <mc:AlternateContent>
          <mc:Choice Requires="wps">
            <w:drawing>
              <wp:anchor distT="0" distB="0" distL="114300" distR="114300" simplePos="0" relativeHeight="251657216" behindDoc="0" locked="0" layoutInCell="1" allowOverlap="1" wp14:anchorId="7CE85B93" wp14:editId="790E1B9F">
                <wp:simplePos x="0" y="0"/>
                <wp:positionH relativeFrom="column">
                  <wp:posOffset>0</wp:posOffset>
                </wp:positionH>
                <wp:positionV relativeFrom="paragraph">
                  <wp:posOffset>0</wp:posOffset>
                </wp:positionV>
                <wp:extent cx="635000" cy="635000"/>
                <wp:effectExtent l="0" t="0" r="3175" b="3175"/>
                <wp:wrapNone/>
                <wp:docPr id="6" name="10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2BEAD" id="107"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" filled="f" stroked="f">
                <o:lock v:ext="edit" aspectratio="t" selection="t"/>
              </v:rect>
            </w:pict>
          </mc:Fallback>
        </mc:AlternateContent>
      </w:r>
      <w:r w:rsidRPr="008061EF">
        <w:rPr>
          <w:rFonts w:eastAsia="MS Mincho"/>
          <w:noProof/>
          <w:lang w:val="en-US" w:eastAsia="zh-CN"/>
        </w:rPr>
        <mc:AlternateContent>
          <mc:Choice Requires="wps">
            <w:drawing>
              <wp:anchor distT="0" distB="0" distL="114300" distR="114300" simplePos="0" relativeHeight="251659264" behindDoc="0" locked="0" layoutInCell="1" allowOverlap="1" wp14:anchorId="2D46A178" wp14:editId="09AD3211">
                <wp:simplePos x="0" y="0"/>
                <wp:positionH relativeFrom="column">
                  <wp:posOffset>0</wp:posOffset>
                </wp:positionH>
                <wp:positionV relativeFrom="paragraph">
                  <wp:posOffset>0</wp:posOffset>
                </wp:positionV>
                <wp:extent cx="635000" cy="635000"/>
                <wp:effectExtent l="0" t="0" r="3175" b="3175"/>
                <wp:wrapNone/>
                <wp:docPr id="4" name="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7FF8E" id="7"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" filled="f" stroked="f">
                <o:lock v:ext="edit" aspectratio="t" selection="t"/>
              </v:rect>
            </w:pict>
          </mc:Fallback>
        </mc:AlternateContent>
      </w:r>
      <w:bookmarkStart w:id="2" w:name="_MON_1479890708"/>
      <w:bookmarkEnd w:id="2"/>
      <w:r w:rsidR="00994C3A" w:rsidRPr="008061EF">
        <w:rPr>
          <w:rFonts w:eastAsia="MS Mincho"/>
        </w:rPr>
        <w:object w:dxaOrig="12885" w:dyaOrig="10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3.75pt;height:373.6pt" o:ole="">
            <v:imagedata r:id="rId10" o:title=""/>
          </v:shape>
          <o:OLEObject Type="Embed" ProgID="Excel.Sheet.12" ShapeID="_x0000_i1031" DrawAspect="Content" ObjectID="_1490437087" r:id="rId11"/>
        </w:object>
      </w:r>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bookmarkStart w:id="3" w:name="_GoBack"/>
      <w:bookmarkEnd w:id="3"/>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p>
    <w:p w:rsidR="00BD69C4" w:rsidRPr="005B5E00" w:rsidRDefault="00BD69C4" w:rsidP="00927CD5">
      <w:pPr>
        <w:rPr>
          <w:rFonts w:eastAsia="MS Mincho"/>
          <w:lang w:val="es-ES_tradnl"/>
        </w:rPr>
      </w:pPr>
    </w:p>
    <w:p w:rsidR="00BD69C4" w:rsidRPr="005B5E00" w:rsidRDefault="00BD69C4" w:rsidP="00BD69C4">
      <w:pPr>
        <w:tabs>
          <w:tab w:val="clear" w:pos="567"/>
          <w:tab w:val="clear" w:pos="1134"/>
          <w:tab w:val="clear" w:pos="1701"/>
          <w:tab w:val="clear" w:pos="2268"/>
          <w:tab w:val="clear" w:pos="2835"/>
        </w:tabs>
        <w:overflowPunct/>
        <w:autoSpaceDE/>
        <w:autoSpaceDN/>
        <w:adjustRightInd/>
        <w:spacing w:before="0"/>
        <w:textAlignment w:val="auto"/>
        <w:rPr>
          <w:rFonts w:eastAsia="MS Mincho"/>
          <w:caps/>
          <w:sz w:val="28"/>
          <w:lang w:val="es-ES_tradnl"/>
        </w:rPr>
      </w:pPr>
      <w:r w:rsidRPr="005B5E00">
        <w:rPr>
          <w:rFonts w:eastAsia="MS Mincho"/>
          <w:lang w:val="es-ES_tradnl"/>
        </w:rPr>
        <w:br w:type="page"/>
      </w:r>
    </w:p>
    <w:p w:rsidR="00BD69C4" w:rsidRPr="00BD69C4" w:rsidRDefault="00BD69C4" w:rsidP="00BD69C4">
      <w:pPr>
        <w:pStyle w:val="AnnexNo"/>
        <w:rPr>
          <w:rFonts w:eastAsia="MS Mincho"/>
          <w:lang w:val="es-ES_tradnl"/>
        </w:rPr>
      </w:pPr>
      <w:r w:rsidRPr="00BD69C4">
        <w:rPr>
          <w:rFonts w:eastAsia="MS Mincho"/>
          <w:lang w:val="es-ES_tradnl"/>
        </w:rPr>
        <w:lastRenderedPageBreak/>
        <w:t>ANEXO 2 A LA DECISIÓN 5 (</w:t>
      </w:r>
      <w:r w:rsidRPr="00BD69C4">
        <w:rPr>
          <w:rFonts w:eastAsia="MS Mincho"/>
          <w:caps w:val="0"/>
          <w:lang w:val="es-ES_tradnl"/>
        </w:rPr>
        <w:t>REV</w:t>
      </w:r>
      <w:r w:rsidRPr="00BD69C4">
        <w:rPr>
          <w:lang w:val="es-ES_tradnl"/>
        </w:rPr>
        <w:t xml:space="preserve">. </w:t>
      </w:r>
      <w:r w:rsidRPr="00BD69C4">
        <w:rPr>
          <w:caps w:val="0"/>
          <w:lang w:val="es-ES_tradnl"/>
        </w:rPr>
        <w:t>BUSÁN</w:t>
      </w:r>
      <w:r w:rsidRPr="00BD69C4">
        <w:rPr>
          <w:lang w:val="es-ES_tradnl"/>
        </w:rPr>
        <w:t>, 2014</w:t>
      </w:r>
      <w:r w:rsidRPr="00BD69C4">
        <w:rPr>
          <w:rFonts w:eastAsia="MS Mincho"/>
          <w:lang w:val="es-ES_tradnl"/>
        </w:rPr>
        <w:t>)</w:t>
      </w:r>
    </w:p>
    <w:p w:rsidR="00BD69C4" w:rsidRPr="00BD69C4" w:rsidRDefault="00BD69C4" w:rsidP="00BD69C4">
      <w:pPr>
        <w:pStyle w:val="Annextitle"/>
        <w:rPr>
          <w:lang w:val="es-ES_tradnl"/>
        </w:rPr>
      </w:pPr>
      <w:r w:rsidRPr="00BD69C4">
        <w:rPr>
          <w:lang w:val="es-ES_tradnl"/>
        </w:rPr>
        <w:t>Medidas destinadas a reducir gastos</w:t>
      </w:r>
    </w:p>
    <w:p w:rsidR="00BD69C4" w:rsidRPr="00BD69C4" w:rsidRDefault="00BD69C4" w:rsidP="00BD69C4">
      <w:pPr>
        <w:pStyle w:val="enumlev1"/>
        <w:rPr>
          <w:lang w:val="es-ES_tradnl"/>
        </w:rPr>
      </w:pPr>
      <w:r w:rsidRPr="00BD69C4">
        <w:rPr>
          <w:lang w:val="es-ES_tradnl"/>
        </w:rPr>
        <w:t>1)</w:t>
      </w:r>
      <w:r w:rsidRPr="00BD69C4">
        <w:rPr>
          <w:lang w:val="es-ES_tradnl"/>
        </w:rPr>
        <w:tab/>
      </w:r>
      <w:r w:rsidRPr="00BD69C4">
        <w:rPr>
          <w:lang w:val="es-ES_tradnl" w:eastAsia="ja-JP"/>
        </w:rPr>
        <w:t>Identificación y eliminación de duplicaciones (y traslapos de funciones, actividades, talleres, seminarios), y centralización de las tareas financieras y administrativas, a fin de evitar ineficiencias y de sacar provecho de un personal especializado.</w:t>
      </w:r>
    </w:p>
    <w:p w:rsidR="00BD69C4" w:rsidRPr="00BD69C4" w:rsidRDefault="00BD69C4" w:rsidP="00BD69C4">
      <w:pPr>
        <w:pStyle w:val="enumlev1"/>
        <w:rPr>
          <w:lang w:val="es-ES_tradnl"/>
        </w:rPr>
      </w:pPr>
      <w:r w:rsidRPr="00BD69C4">
        <w:rPr>
          <w:lang w:val="es-ES_tradnl"/>
        </w:rPr>
        <w:t>2)</w:t>
      </w:r>
      <w:r w:rsidRPr="00BD69C4">
        <w:rPr>
          <w:lang w:val="es-ES_tradnl"/>
        </w:rPr>
        <w:tab/>
        <w:t>Coordinación y armonización de todos los seminarios y talleres por un grupo de tareas o departamento centralizado intersectorial, a fin de evitar la duplicación de temas, optimizar la gestión, la logística, la coordinación y el apoyo de la Secretaría, y de aprovechar la sinergia entre los Sectores y el enfoque global de los asuntos abordados.</w:t>
      </w:r>
    </w:p>
    <w:p w:rsidR="00BD69C4" w:rsidRPr="00BD69C4" w:rsidRDefault="00BD69C4" w:rsidP="00BD69C4">
      <w:pPr>
        <w:pStyle w:val="enumlev1"/>
        <w:rPr>
          <w:lang w:val="es-ES_tradnl"/>
        </w:rPr>
      </w:pPr>
      <w:r w:rsidRPr="00BD69C4">
        <w:rPr>
          <w:lang w:val="es-ES_tradnl"/>
        </w:rPr>
        <w:t>3)</w:t>
      </w:r>
      <w:r w:rsidRPr="00BD69C4">
        <w:rPr>
          <w:lang w:val="es-ES_tradnl"/>
        </w:rPr>
        <w:tab/>
        <w:t>Plena participación de las Oficinas Regionales en la planificación y organización de seminarios/talleres/reuniones/conferencias, incluidas sus reuniones preparatorias celebradas fuera de Ginebra, a fin de aprovechar las competencias técnicas locales, la red local de contactos y los ahorros realizados en los gastos de viaje.</w:t>
      </w:r>
    </w:p>
    <w:p w:rsidR="00BD69C4" w:rsidRPr="00BD69C4" w:rsidRDefault="00BD69C4" w:rsidP="00BD69C4">
      <w:pPr>
        <w:pStyle w:val="enumlev1"/>
        <w:rPr>
          <w:lang w:val="es-ES_tradnl"/>
        </w:rPr>
      </w:pPr>
      <w:r w:rsidRPr="00BD69C4">
        <w:rPr>
          <w:lang w:val="es-ES_tradnl"/>
        </w:rPr>
        <w:t>4)</w:t>
      </w:r>
      <w:r w:rsidRPr="00BD69C4">
        <w:rPr>
          <w:lang w:val="es-ES_tradnl"/>
        </w:rPr>
        <w:tab/>
        <w:t>Máxima coordinación con organizaciones regionales a fin de celebrar eventos/reuniones/conferencias en paralelo, compartiendo los gastos y minimizando los costes de participación.</w:t>
      </w:r>
    </w:p>
    <w:p w:rsidR="00BD69C4" w:rsidRPr="00BD69C4" w:rsidRDefault="00BD69C4" w:rsidP="00BD69C4">
      <w:pPr>
        <w:pStyle w:val="enumlev1"/>
        <w:rPr>
          <w:lang w:val="es-ES_tradnl"/>
        </w:rPr>
      </w:pPr>
      <w:r w:rsidRPr="00BD69C4">
        <w:rPr>
          <w:lang w:val="es-ES_tradnl"/>
        </w:rPr>
        <w:t>5)</w:t>
      </w:r>
      <w:r w:rsidRPr="00BD69C4">
        <w:rPr>
          <w:lang w:val="es-ES_tradnl"/>
        </w:rPr>
        <w:tab/>
        <w:t>Ahorros gracias a la reducción de efectivos, la redistribución del personal y la revisión y posible reducción de grados de los puestos vacantes, en particular en los servicios no sensibles de la Secretaría General y de las tres Oficinas con objeto de alcanzar niveles óptimos de productividad, eficiencia y eficacia.</w:t>
      </w:r>
    </w:p>
    <w:p w:rsidR="00BD69C4" w:rsidRPr="00BD69C4" w:rsidRDefault="00BD69C4" w:rsidP="00BD69C4">
      <w:pPr>
        <w:pStyle w:val="enumlev1"/>
        <w:rPr>
          <w:lang w:val="es-ES_tradnl"/>
        </w:rPr>
      </w:pPr>
      <w:r w:rsidRPr="00BD69C4">
        <w:rPr>
          <w:lang w:val="es-ES_tradnl"/>
        </w:rPr>
        <w:t>6)</w:t>
      </w:r>
      <w:r w:rsidRPr="00BD69C4">
        <w:rPr>
          <w:lang w:val="es-ES_tradnl"/>
        </w:rPr>
        <w:tab/>
        <w:t>Dar prioridad a la redistribución de personal para la ejecución de actividades nuevas o adicionales. La contratación de nuevos empleados debe ser la última opción, manteniendo al mismo tiempo el equilibrio en cuestiones de género y la distribución geográfica.</w:t>
      </w:r>
    </w:p>
    <w:p w:rsidR="00BD69C4" w:rsidRPr="00BD69C4" w:rsidRDefault="00BD69C4" w:rsidP="00BD69C4">
      <w:pPr>
        <w:pStyle w:val="enumlev1"/>
        <w:rPr>
          <w:lang w:val="es-ES_tradnl"/>
        </w:rPr>
      </w:pPr>
      <w:r w:rsidRPr="00BD69C4">
        <w:rPr>
          <w:lang w:val="es-ES_tradnl"/>
        </w:rPr>
        <w:t>7)</w:t>
      </w:r>
      <w:r w:rsidRPr="00BD69C4">
        <w:rPr>
          <w:lang w:val="es-ES_tradnl"/>
        </w:rPr>
        <w:tab/>
        <w:t>Se habrá de recurrir a los consultores únicamente si los conocimientos o la experiencia necesarios no pueden encontrarse en el personal en servicio y una vez que esa necesidad haya sido confirmada por escrito por el personal directivo.</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pStyle w:val="enumlev1"/>
        <w:rPr>
          <w:lang w:val="es-ES_tradnl"/>
        </w:rPr>
      </w:pPr>
      <w:r w:rsidRPr="00BD69C4">
        <w:rPr>
          <w:lang w:val="es-ES_tradnl"/>
        </w:rPr>
        <w:lastRenderedPageBreak/>
        <w:t>8)</w:t>
      </w:r>
      <w:r w:rsidRPr="00BD69C4">
        <w:rPr>
          <w:lang w:val="es-ES_tradnl"/>
        </w:rPr>
        <w:tab/>
        <w:t>Dar mayor importancia a las políticas de capacitación a fin de que el personal esté cualificado para ser competente en sectores múltiples, incluido el personal de Oficinas Regionales, con el propósito de darle más movilidad y flexibilidad para ser destinados a actividades nuevas o adicionales.</w:t>
      </w:r>
    </w:p>
    <w:p w:rsidR="00BD69C4" w:rsidRPr="00BD69C4" w:rsidRDefault="00BD69C4" w:rsidP="00BD69C4">
      <w:pPr>
        <w:pStyle w:val="enumlev1"/>
        <w:rPr>
          <w:lang w:val="es-ES_tradnl"/>
        </w:rPr>
      </w:pPr>
      <w:r w:rsidRPr="00BD69C4">
        <w:rPr>
          <w:lang w:val="es-ES_tradnl"/>
        </w:rPr>
        <w:t>9)</w:t>
      </w:r>
      <w:r w:rsidRPr="00BD69C4">
        <w:rPr>
          <w:lang w:val="es-ES_tradnl"/>
        </w:rPr>
        <w:tab/>
        <w:t xml:space="preserve">La Secretaría General y las tres Oficinas deben </w:t>
      </w:r>
      <w:r w:rsidRPr="00BD69C4">
        <w:rPr>
          <w:lang w:val="es-ES_tradnl" w:eastAsia="ja-JP"/>
        </w:rPr>
        <w:t>reducir los costes de documentación en las conferencias y reuniones llevando a cabo eventos/reuniones/conferencias sin papel y promoviendo la adopción de las TIC como substitutos del papel viables y más sostenibles.</w:t>
      </w:r>
    </w:p>
    <w:p w:rsidR="00BD69C4" w:rsidRPr="00BD69C4" w:rsidRDefault="00BD69C4" w:rsidP="00BD69C4">
      <w:pPr>
        <w:pStyle w:val="enumlev1"/>
        <w:rPr>
          <w:lang w:val="es-ES_tradnl"/>
        </w:rPr>
      </w:pPr>
      <w:r w:rsidRPr="00BD69C4">
        <w:rPr>
          <w:lang w:val="es-ES_tradnl"/>
        </w:rPr>
        <w:t>10)</w:t>
      </w:r>
      <w:r w:rsidRPr="00BD69C4">
        <w:rPr>
          <w:lang w:val="es-ES_tradnl"/>
        </w:rPr>
        <w:tab/>
        <w:t>Reducir al mínimo estricto necesario la impresión y distribución de publicaciones de la UIT promocionales/que no generan ingresos.</w:t>
      </w:r>
    </w:p>
    <w:p w:rsidR="00BD69C4" w:rsidRPr="00BD69C4" w:rsidRDefault="00BD69C4" w:rsidP="00BD69C4">
      <w:pPr>
        <w:pStyle w:val="enumlev1"/>
        <w:rPr>
          <w:lang w:val="es-ES_tradnl"/>
        </w:rPr>
      </w:pPr>
      <w:r w:rsidRPr="00BD69C4">
        <w:rPr>
          <w:lang w:val="es-ES_tradnl"/>
        </w:rPr>
        <w:t>11)</w:t>
      </w:r>
      <w:r w:rsidRPr="00BD69C4">
        <w:rPr>
          <w:lang w:val="es-ES_tradnl"/>
        </w:rPr>
        <w:tab/>
        <w:t>Ejecución de iniciativas tendientes a que la UIT sea una organización enteramente sin papel, por ejemplo suministrando informes de los Sectores sólo en línea, adoptando firmas digitales, medios digitales, así como publicidad y promoción digitales, entre otros cambios.</w:t>
      </w:r>
    </w:p>
    <w:p w:rsidR="00BD69C4" w:rsidRPr="00BD69C4" w:rsidRDefault="00BD69C4" w:rsidP="00BD69C4">
      <w:pPr>
        <w:pStyle w:val="enumlev1"/>
        <w:rPr>
          <w:lang w:val="es-ES_tradnl"/>
        </w:rPr>
      </w:pPr>
      <w:r w:rsidRPr="00BD69C4">
        <w:rPr>
          <w:lang w:val="es-ES_tradnl"/>
        </w:rPr>
        <w:t>12)</w:t>
      </w:r>
      <w:r w:rsidRPr="00BD69C4">
        <w:rPr>
          <w:lang w:val="es-ES_tradnl"/>
        </w:rPr>
        <w:tab/>
        <w:t xml:space="preserve">Posibilidad de ahorrar en el ámbito de los idiomas (traducción e interpretación) en las reuniones de las Comisiones de Estudio y las publicaciones, sin perjuicio de las metas consignadas en la Resolución 154 (Rev. </w:t>
      </w:r>
      <w:proofErr w:type="spellStart"/>
      <w:r w:rsidRPr="00BD69C4">
        <w:rPr>
          <w:lang w:val="es-ES_tradnl"/>
        </w:rPr>
        <w:t>Busán</w:t>
      </w:r>
      <w:proofErr w:type="spellEnd"/>
      <w:r w:rsidRPr="00BD69C4">
        <w:rPr>
          <w:lang w:val="es-ES_tradnl"/>
        </w:rPr>
        <w:t>, 2014).</w:t>
      </w:r>
    </w:p>
    <w:p w:rsidR="00BD69C4" w:rsidRPr="00BD69C4" w:rsidRDefault="00BD69C4" w:rsidP="00BD69C4">
      <w:pPr>
        <w:pStyle w:val="enumlev1"/>
        <w:rPr>
          <w:lang w:val="es-ES_tradnl"/>
        </w:rPr>
      </w:pPr>
      <w:r w:rsidRPr="00BD69C4">
        <w:rPr>
          <w:lang w:val="es-ES_tradnl"/>
        </w:rPr>
        <w:t>13)</w:t>
      </w:r>
      <w:r w:rsidRPr="00BD69C4">
        <w:rPr>
          <w:lang w:val="es-ES_tradnl"/>
        </w:rPr>
        <w:tab/>
        <w:t>Evaluación y utilización de otros procedimientos de traducción que reduzcan sus costos al mismo tiempo que se mantiene o mejora su calidad actual y la precisión de la terminología de las telecomunicaciones/TIC.</w:t>
      </w:r>
    </w:p>
    <w:p w:rsidR="00BD69C4" w:rsidRPr="00BD69C4" w:rsidRDefault="00BD69C4" w:rsidP="00BD69C4">
      <w:pPr>
        <w:pStyle w:val="enumlev1"/>
        <w:rPr>
          <w:lang w:val="es-ES_tradnl"/>
        </w:rPr>
      </w:pPr>
      <w:r w:rsidRPr="00BD69C4">
        <w:rPr>
          <w:lang w:val="es-ES_tradnl"/>
        </w:rPr>
        <w:t>14)</w:t>
      </w:r>
      <w:r w:rsidRPr="00BD69C4">
        <w:rPr>
          <w:lang w:val="es-ES_tradnl"/>
        </w:rPr>
        <w:tab/>
        <w:t>Realizar las actividades relativas a la CMSI redistribuyendo el personal encargado de dichas actividades, con sujeción a los recursos actuales y según corresponda, mediante la recuperación de costes y contribuciones voluntarias.</w:t>
      </w:r>
    </w:p>
    <w:p w:rsidR="00BD69C4" w:rsidRPr="00BD69C4" w:rsidRDefault="00BD69C4" w:rsidP="00BD69C4">
      <w:pPr>
        <w:pStyle w:val="enumlev1"/>
        <w:rPr>
          <w:lang w:val="es-ES_tradnl"/>
        </w:rPr>
      </w:pPr>
      <w:r w:rsidRPr="00BD69C4">
        <w:rPr>
          <w:lang w:val="es-ES_tradnl"/>
        </w:rPr>
        <w:t>15)</w:t>
      </w:r>
      <w:r w:rsidRPr="00BD69C4">
        <w:rPr>
          <w:lang w:val="es-ES_tradnl"/>
        </w:rPr>
        <w:tab/>
        <w:t>Examen del número de reuniones de las Comisiones de Estudio para evitar duplicaciones de traslapos.</w:t>
      </w:r>
    </w:p>
    <w:p w:rsidR="00BD69C4" w:rsidRPr="00BD69C4" w:rsidRDefault="00BD69C4" w:rsidP="00BD69C4">
      <w:pPr>
        <w:pStyle w:val="enumlev1"/>
        <w:rPr>
          <w:lang w:val="es-ES_tradnl"/>
        </w:rPr>
      </w:pPr>
      <w:r w:rsidRPr="00BD69C4">
        <w:rPr>
          <w:lang w:val="es-ES_tradnl"/>
        </w:rPr>
        <w:t>17)</w:t>
      </w:r>
      <w:r w:rsidRPr="00BD69C4">
        <w:rPr>
          <w:lang w:val="es-ES_tradnl"/>
        </w:rPr>
        <w:tab/>
        <w:t>Limitación del número de días de duración de las reuniones de los Grupos Asesores a tres por año como máximo con interpretación.</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pStyle w:val="enumlev1"/>
        <w:rPr>
          <w:lang w:val="es-ES_tradnl"/>
        </w:rPr>
      </w:pPr>
      <w:r w:rsidRPr="00BD69C4">
        <w:rPr>
          <w:lang w:val="es-ES_tradnl"/>
        </w:rPr>
        <w:lastRenderedPageBreak/>
        <w:t>18)</w:t>
      </w:r>
      <w:r w:rsidRPr="00BD69C4">
        <w:rPr>
          <w:lang w:val="es-ES_tradnl"/>
        </w:rPr>
        <w:tab/>
        <w:t>Reducción del número y la duración de las reuniones presenciales de los Grupos de Trabajo del Consejo, siempre que sea posible.</w:t>
      </w:r>
    </w:p>
    <w:p w:rsidR="00BD69C4" w:rsidRPr="00BD69C4" w:rsidRDefault="00BD69C4" w:rsidP="00BD69C4">
      <w:pPr>
        <w:pStyle w:val="enumlev1"/>
        <w:rPr>
          <w:lang w:val="es-ES_tradnl"/>
        </w:rPr>
      </w:pPr>
      <w:r w:rsidRPr="00BD69C4">
        <w:rPr>
          <w:lang w:val="es-ES_tradnl"/>
        </w:rPr>
        <w:t>19)</w:t>
      </w:r>
      <w:r w:rsidRPr="00BD69C4">
        <w:rPr>
          <w:lang w:val="es-ES_tradnl"/>
        </w:rPr>
        <w:tab/>
        <w:t>Reducción del número de Grupos de Trabajo del Consejo al mínimo estricto necesario, refundiéndolos y dando por terminadas sus actividades si no ha habido evolución alguna en su ámbito de competencia.</w:t>
      </w:r>
    </w:p>
    <w:p w:rsidR="00BD69C4" w:rsidRPr="00BD69C4" w:rsidRDefault="00BD69C4" w:rsidP="00BD69C4">
      <w:pPr>
        <w:pStyle w:val="enumlev1"/>
        <w:rPr>
          <w:lang w:val="es-ES_tradnl" w:eastAsia="ja-JP"/>
        </w:rPr>
      </w:pPr>
      <w:r w:rsidRPr="00BD69C4">
        <w:rPr>
          <w:lang w:val="es-ES_tradnl"/>
        </w:rPr>
        <w:t>20)</w:t>
      </w:r>
      <w:r w:rsidRPr="00BD69C4">
        <w:rPr>
          <w:lang w:val="es-ES_tradnl"/>
        </w:rPr>
        <w:tab/>
      </w:r>
      <w:r w:rsidRPr="00BD69C4">
        <w:rPr>
          <w:lang w:val="es-ES_tradnl" w:eastAsia="ja-JP"/>
        </w:rPr>
        <w:t>Evaluación periódica del nivel de realización de las metas, objetivos y resultados estratégicos con miras a aumentar la eficiencia mediante la reasignación del presupuesto, cuando sea necesario.</w:t>
      </w:r>
    </w:p>
    <w:p w:rsidR="00BD69C4" w:rsidRPr="00BD69C4" w:rsidRDefault="00BD69C4" w:rsidP="00BD69C4">
      <w:pPr>
        <w:pStyle w:val="enumlev1"/>
        <w:rPr>
          <w:lang w:val="es-ES_tradnl"/>
        </w:rPr>
      </w:pPr>
      <w:r w:rsidRPr="00BD69C4">
        <w:rPr>
          <w:lang w:val="es-ES_tradnl"/>
        </w:rPr>
        <w:t>21)</w:t>
      </w:r>
      <w:r w:rsidRPr="00BD69C4">
        <w:rPr>
          <w:lang w:val="es-ES_tradnl"/>
        </w:rPr>
        <w:tab/>
        <w:t>En lo que respecta a las nuevas actividades y a las actividades con repercusiones adicionales en los recursos financieros, habrá que efectuar una evaluación del "valor añadido" para justificar la diferencia entre las actividades propuestas y las actividades en vigor y/o similares, a fin de evitar los traslapos y duplicaciones.</w:t>
      </w:r>
    </w:p>
    <w:p w:rsidR="00BD69C4" w:rsidRPr="00BD69C4" w:rsidRDefault="00BD69C4" w:rsidP="00BD69C4">
      <w:pPr>
        <w:pStyle w:val="enumlev1"/>
        <w:rPr>
          <w:lang w:val="es-ES_tradnl"/>
        </w:rPr>
      </w:pPr>
      <w:r w:rsidRPr="00BD69C4">
        <w:rPr>
          <w:lang w:val="es-ES_tradnl"/>
        </w:rPr>
        <w:t>22)</w:t>
      </w:r>
      <w:r w:rsidRPr="00BD69C4">
        <w:rPr>
          <w:lang w:val="es-ES_tradnl"/>
        </w:rPr>
        <w:tab/>
        <w:t>Estudio minucioso de la envergadura y localización de los recursos asignados a las iniciativas regionales, resultados y actividades de asistencia a los Miembros, y a la presencia regional tanto en las Regiones como en la Sede, así como de las actividades dimanantes de los resultados de la CMDT y el Plan de Acción de Dubái, y financiados directamente como actividades con cargo al presupuesto del Sector.</w:t>
      </w:r>
    </w:p>
    <w:p w:rsidR="00BD69C4" w:rsidRPr="00BD69C4" w:rsidRDefault="00BD69C4" w:rsidP="00BD69C4">
      <w:pPr>
        <w:pStyle w:val="enumlev1"/>
        <w:rPr>
          <w:lang w:val="es-ES_tradnl"/>
        </w:rPr>
      </w:pPr>
      <w:r w:rsidRPr="00BD69C4">
        <w:rPr>
          <w:lang w:val="es-ES_tradnl"/>
        </w:rPr>
        <w:t>23)</w:t>
      </w:r>
      <w:r w:rsidRPr="00BD69C4">
        <w:rPr>
          <w:lang w:val="es-ES_tradnl"/>
        </w:rPr>
        <w:tab/>
        <w:t xml:space="preserve">Reducción </w:t>
      </w:r>
      <w:r w:rsidRPr="00BD69C4">
        <w:rPr>
          <w:lang w:val="es-ES_tradnl" w:eastAsia="ja-JP"/>
        </w:rPr>
        <w:t>de</w:t>
      </w:r>
      <w:r w:rsidRPr="00BD69C4">
        <w:rPr>
          <w:lang w:val="es-ES_tradnl"/>
        </w:rPr>
        <w:t xml:space="preserve"> los gastos de misión, elaborando y aplicando criterios para reducir los gastos de viaje. La finalidad de esos criterios debería ser reducir al máximo los viajes en clase preferente aumentando el número mínimo de horas que da derecho a viajar en esa clase, aumentar el preaviso de viaje a 30 días, reducir en la medida de lo posible las dietas diarias suplementarias dando prioridad al personal de las Oficinas Regionales y Zonales, limitando la duración de las misiones y recurriendo a la representación conjunta en las reuniones. Para ello, se deberá racionalizar el número de miembros del personal de los diversos departamentos/divisiones de la Secretaría General y las tres Oficinas que se envían en misión.</w:t>
      </w:r>
    </w:p>
    <w:p w:rsidR="00BD69C4" w:rsidRPr="00BD69C4" w:rsidRDefault="00BD69C4" w:rsidP="00BD69C4">
      <w:pPr>
        <w:pStyle w:val="enumlev1"/>
        <w:rPr>
          <w:lang w:val="es-ES_tradnl"/>
        </w:rPr>
      </w:pPr>
      <w:r w:rsidRPr="00BD69C4">
        <w:rPr>
          <w:lang w:val="es-ES_tradnl"/>
        </w:rPr>
        <w:t>24)</w:t>
      </w:r>
      <w:r w:rsidRPr="00BD69C4">
        <w:rPr>
          <w:lang w:val="es-ES_tradnl"/>
        </w:rPr>
        <w:tab/>
        <w:t>Reducción y/o eliminación de los viajes a reuniones que se difunden o transcriben por la web y donde los documentos y contribuciones pueden presentarse a distancia.</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pStyle w:val="enumlev1"/>
        <w:rPr>
          <w:lang w:val="es-ES_tradnl"/>
        </w:rPr>
      </w:pPr>
      <w:r w:rsidRPr="00BD69C4">
        <w:rPr>
          <w:lang w:val="es-ES_tradnl"/>
        </w:rPr>
        <w:lastRenderedPageBreak/>
        <w:t>25)</w:t>
      </w:r>
      <w:r w:rsidRPr="00BD69C4">
        <w:rPr>
          <w:lang w:val="es-ES_tradnl"/>
        </w:rPr>
        <w:tab/>
        <w:t>Mejorar y priorizar los métodos de trabajo internos electrónicos a fin de reducir los viajes entre las Oficinas Regionales y Ginebra.</w:t>
      </w:r>
    </w:p>
    <w:p w:rsidR="00BD69C4" w:rsidRPr="00BD69C4" w:rsidRDefault="00BD69C4" w:rsidP="00BD69C4">
      <w:pPr>
        <w:pStyle w:val="enumlev1"/>
        <w:rPr>
          <w:lang w:val="es-ES_tradnl"/>
        </w:rPr>
      </w:pPr>
      <w:r w:rsidRPr="00BD69C4">
        <w:rPr>
          <w:lang w:val="es-ES_tradnl"/>
        </w:rPr>
        <w:t>26)</w:t>
      </w:r>
      <w:r w:rsidRPr="00BD69C4">
        <w:rPr>
          <w:lang w:val="es-ES_tradnl"/>
        </w:rPr>
        <w:tab/>
        <w:t xml:space="preserve">Teniendo en cuenta el número 145 del Convenio, es preciso considerar toda una serie de métodos de trabajo electrónicos para tratar de reducir los costos, el número y la duración de las reuniones de la </w:t>
      </w:r>
      <w:r w:rsidRPr="00BD69C4">
        <w:rPr>
          <w:lang w:val="es-ES_tradnl" w:eastAsia="ja-JP"/>
        </w:rPr>
        <w:t>Junta</w:t>
      </w:r>
      <w:r w:rsidRPr="00BD69C4">
        <w:rPr>
          <w:lang w:val="es-ES_tradnl"/>
        </w:rPr>
        <w:t xml:space="preserve"> del Reglamento de Radiocomunicaciones en el futuro, por ejemplo la reducción de cuatro a tres del número de reuniones por año civil.</w:t>
      </w:r>
    </w:p>
    <w:p w:rsidR="00BD69C4" w:rsidRPr="00BD69C4" w:rsidRDefault="00BD69C4" w:rsidP="00BD69C4">
      <w:pPr>
        <w:pStyle w:val="enumlev1"/>
        <w:rPr>
          <w:lang w:val="es-ES_tradnl"/>
        </w:rPr>
      </w:pPr>
      <w:r w:rsidRPr="00BD69C4">
        <w:rPr>
          <w:lang w:val="es-ES_tradnl"/>
        </w:rPr>
        <w:t>27)</w:t>
      </w:r>
      <w:r w:rsidRPr="00BD69C4">
        <w:rPr>
          <w:lang w:val="es-ES_tradnl"/>
        </w:rPr>
        <w:tab/>
        <w:t>Introducción de programas de incentivos, tales como tasas de eficiencia, fondos de innovación, y otros métodos para abordar métodos transversales innovadores destinados a mejorar la productividad de la Unión.</w:t>
      </w:r>
    </w:p>
    <w:p w:rsidR="00BD69C4" w:rsidRPr="00BD69C4" w:rsidRDefault="00BD69C4" w:rsidP="00BD69C4">
      <w:pPr>
        <w:pStyle w:val="enumlev1"/>
        <w:rPr>
          <w:lang w:val="es-ES_tradnl"/>
        </w:rPr>
      </w:pPr>
      <w:r w:rsidRPr="00BD69C4">
        <w:rPr>
          <w:lang w:val="es-ES_tradnl"/>
        </w:rPr>
        <w:t>28)</w:t>
      </w:r>
      <w:r w:rsidRPr="00BD69C4">
        <w:rPr>
          <w:lang w:val="es-ES_tradnl"/>
        </w:rPr>
        <w:tab/>
        <w:t>Suprimir en la medida de lo posible las comunicaciones por telefax y correo postal tradicional entre la Unión y los Estados Miembros y reemplazarlas con métodos electrónicos de comunicación modernos.</w:t>
      </w:r>
    </w:p>
    <w:p w:rsidR="00BD69C4" w:rsidRPr="00BD69C4" w:rsidRDefault="00BD69C4" w:rsidP="00BD69C4">
      <w:pPr>
        <w:pStyle w:val="enumlev1"/>
        <w:rPr>
          <w:lang w:val="es-ES_tradnl"/>
        </w:rPr>
      </w:pPr>
      <w:r w:rsidRPr="00BD69C4">
        <w:rPr>
          <w:lang w:val="es-ES_tradnl"/>
        </w:rPr>
        <w:t>29)</w:t>
      </w:r>
      <w:r w:rsidRPr="00BD69C4">
        <w:rPr>
          <w:lang w:val="es-ES_tradnl"/>
        </w:rPr>
        <w:tab/>
        <w:t>Exhortar a los Estados Miembros a reducir al mínimo necesario el número de temas q</w:t>
      </w:r>
      <w:r w:rsidR="00F249C7">
        <w:rPr>
          <w:lang w:val="es-ES_tradnl"/>
        </w:rPr>
        <w:t>ue deben examinarse en las CMR.</w:t>
      </w:r>
    </w:p>
    <w:p w:rsidR="00BD69C4" w:rsidRPr="00BD69C4" w:rsidRDefault="00BD69C4" w:rsidP="00BD69C4">
      <w:pPr>
        <w:pStyle w:val="enumlev1"/>
        <w:rPr>
          <w:lang w:val="es-ES_tradnl"/>
        </w:rPr>
      </w:pPr>
      <w:r w:rsidRPr="00BD69C4">
        <w:rPr>
          <w:lang w:val="es-ES_tradnl"/>
        </w:rPr>
        <w:t>30)</w:t>
      </w:r>
      <w:r w:rsidRPr="00BD69C4">
        <w:rPr>
          <w:lang w:val="es-ES_tradnl"/>
        </w:rPr>
        <w:tab/>
        <w:t>Cualquiera otra medida que adopte el Consejo.</w:t>
      </w:r>
    </w:p>
    <w:p w:rsidR="00BD69C4" w:rsidRPr="00BD69C4" w:rsidRDefault="00BD69C4" w:rsidP="00BD69C4">
      <w:pPr>
        <w:rPr>
          <w:lang w:val="es-ES_tradnl"/>
        </w:rPr>
      </w:pPr>
    </w:p>
    <w:p w:rsidR="00BD69C4" w:rsidRPr="00BD69C4" w:rsidRDefault="00BD69C4" w:rsidP="00BD69C4">
      <w:pPr>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Default="00BD69C4" w:rsidP="00BD69C4">
      <w:pPr>
        <w:pStyle w:val="Reasons"/>
        <w:rPr>
          <w:lang w:val="es-ES_tradnl"/>
        </w:rPr>
      </w:pPr>
    </w:p>
    <w:p w:rsidR="00BD69C4" w:rsidRPr="00BD69C4" w:rsidRDefault="00BD69C4" w:rsidP="00BD69C4">
      <w:pPr>
        <w:pStyle w:val="Reasons"/>
        <w:rPr>
          <w:lang w:val="es-ES_tradnl"/>
        </w:rPr>
      </w:pPr>
    </w:p>
    <w:p w:rsidR="006D1CEB" w:rsidRPr="00CA34FD" w:rsidRDefault="006D1CEB" w:rsidP="000A3FBC">
      <w:pPr>
        <w:rPr>
          <w:lang w:val="es-ES_tradnl"/>
        </w:rPr>
      </w:pPr>
      <w:r w:rsidRPr="00CA34FD">
        <w:rPr>
          <w:lang w:val="es-ES_tradnl"/>
        </w:rPr>
        <w:br w:type="page"/>
      </w:r>
    </w:p>
    <w:p w:rsidR="006D1CEB" w:rsidRPr="00CA34FD" w:rsidRDefault="00BD69C4" w:rsidP="000A3FBC">
      <w:pPr>
        <w:pStyle w:val="DecNo"/>
        <w:rPr>
          <w:lang w:val="es-ES_tradnl"/>
        </w:rPr>
      </w:pPr>
      <w:r w:rsidRPr="001846AE">
        <w:rPr>
          <w:lang w:val="es-ES_tradnl"/>
        </w:rPr>
        <w:lastRenderedPageBreak/>
        <w:t xml:space="preserve">DECISIÓN </w:t>
      </w:r>
      <w:r w:rsidRPr="001846AE">
        <w:rPr>
          <w:rStyle w:val="href"/>
          <w:bCs/>
          <w:lang w:val="es-ES_tradnl"/>
        </w:rPr>
        <w:t>11</w:t>
      </w:r>
      <w:r w:rsidRPr="001846AE">
        <w:rPr>
          <w:lang w:val="es-ES_tradnl"/>
        </w:rPr>
        <w:t xml:space="preserve"> (rev. Busán, 2014)</w:t>
      </w:r>
    </w:p>
    <w:p w:rsidR="006D1CEB" w:rsidRPr="00CA34FD" w:rsidRDefault="00CA34FD" w:rsidP="000A3FBC">
      <w:pPr>
        <w:pStyle w:val="Dectitle"/>
        <w:rPr>
          <w:lang w:val="es-ES_tradnl"/>
        </w:rPr>
      </w:pPr>
      <w:r w:rsidRPr="00901268">
        <w:rPr>
          <w:lang w:val="es-ES"/>
        </w:rPr>
        <w:t>Creación y gestión de los grupos de trabajo del Consejo</w:t>
      </w:r>
    </w:p>
    <w:p w:rsidR="00BD69C4" w:rsidRPr="00BD69C4" w:rsidRDefault="00BD69C4" w:rsidP="00BD69C4">
      <w:pPr>
        <w:pStyle w:val="Normalaftertitle"/>
        <w:rPr>
          <w:lang w:val="es-ES_tradnl"/>
        </w:rPr>
      </w:pPr>
      <w:r w:rsidRPr="00BD69C4">
        <w:rPr>
          <w:lang w:val="es-ES_tradnl"/>
        </w:rPr>
        <w:t>La Conferencia de Plenipotenciarios de la Unión Internacional de Telecomunicaciones (</w:t>
      </w:r>
      <w:proofErr w:type="spellStart"/>
      <w:r w:rsidRPr="00BD69C4">
        <w:rPr>
          <w:lang w:val="es-ES_tradnl"/>
        </w:rPr>
        <w:t>Busán</w:t>
      </w:r>
      <w:proofErr w:type="spellEnd"/>
      <w:r w:rsidRPr="00BD69C4">
        <w:rPr>
          <w:lang w:val="es-ES_tradnl"/>
        </w:rPr>
        <w:t>, 2014),</w:t>
      </w:r>
    </w:p>
    <w:p w:rsidR="00BD69C4" w:rsidRPr="00BD69C4" w:rsidRDefault="00BD69C4" w:rsidP="00BD69C4">
      <w:pPr>
        <w:pStyle w:val="Call"/>
        <w:rPr>
          <w:lang w:val="es-ES_tradnl"/>
        </w:rPr>
      </w:pPr>
      <w:r w:rsidRPr="00BD69C4">
        <w:rPr>
          <w:lang w:val="es-ES_tradnl"/>
        </w:rPr>
        <w:t>considerando</w:t>
      </w:r>
    </w:p>
    <w:p w:rsidR="00BD69C4" w:rsidRPr="00BD69C4" w:rsidRDefault="00BD69C4" w:rsidP="00BD69C4">
      <w:pPr>
        <w:rPr>
          <w:lang w:val="es-ES_tradnl"/>
        </w:rPr>
      </w:pPr>
      <w:r w:rsidRPr="00BD69C4">
        <w:rPr>
          <w:i/>
          <w:iCs/>
          <w:lang w:val="es-ES_tradnl"/>
        </w:rPr>
        <w:t>a)</w:t>
      </w:r>
      <w:r w:rsidRPr="00BD69C4">
        <w:rPr>
          <w:i/>
          <w:iCs/>
          <w:lang w:val="es-ES_tradnl"/>
        </w:rPr>
        <w:tab/>
      </w:r>
      <w:r w:rsidRPr="00BD69C4">
        <w:rPr>
          <w:lang w:val="es-ES_tradnl"/>
        </w:rPr>
        <w:t>que en el Artículo 1 de la Constitución de la UIT se establece el objeto de la Unión;</w:t>
      </w:r>
    </w:p>
    <w:p w:rsidR="00BD69C4" w:rsidRPr="00BD69C4" w:rsidRDefault="00BD69C4" w:rsidP="00BD69C4">
      <w:pPr>
        <w:rPr>
          <w:lang w:val="es-ES_tradnl"/>
        </w:rPr>
      </w:pPr>
      <w:r w:rsidRPr="00BD69C4">
        <w:rPr>
          <w:i/>
          <w:iCs/>
          <w:lang w:val="es-ES_tradnl"/>
        </w:rPr>
        <w:t>b)</w:t>
      </w:r>
      <w:r w:rsidRPr="00BD69C4">
        <w:rPr>
          <w:lang w:val="es-ES_tradnl"/>
        </w:rPr>
        <w:tab/>
        <w:t>que en el Artículo 7 de la Constitución se estipula que el Consejo de la UIT actúa en nombre de la Conferencia de Plenipotenciarios;</w:t>
      </w:r>
    </w:p>
    <w:p w:rsidR="00BD69C4" w:rsidRPr="00BD69C4" w:rsidRDefault="00BD69C4" w:rsidP="00BD69C4">
      <w:pPr>
        <w:rPr>
          <w:lang w:val="es-ES_tradnl"/>
        </w:rPr>
      </w:pPr>
      <w:r w:rsidRPr="00BD69C4">
        <w:rPr>
          <w:i/>
          <w:iCs/>
          <w:lang w:val="es-ES_tradnl"/>
        </w:rPr>
        <w:t>c)</w:t>
      </w:r>
      <w:r w:rsidRPr="00BD69C4">
        <w:rPr>
          <w:lang w:val="es-ES_tradnl"/>
        </w:rPr>
        <w:tab/>
        <w:t>que en el Artículo 10 de la Constitución se estipula que, en el intervalo entre Conferencias de Plenipotenciarios, el Consejo, como órgano de gobierno de la Unión, actuará en nombre de la Conferencia de Plenipotenciarios, dentro de los límites de las facultades que ésta le delegue;</w:t>
      </w:r>
    </w:p>
    <w:p w:rsidR="00BD69C4" w:rsidRPr="00BD69C4" w:rsidRDefault="00BD69C4" w:rsidP="00BD69C4">
      <w:pPr>
        <w:rPr>
          <w:lang w:val="es-ES_tradnl"/>
        </w:rPr>
      </w:pPr>
      <w:r w:rsidRPr="00BD69C4">
        <w:rPr>
          <w:i/>
          <w:iCs/>
          <w:lang w:val="es-ES_tradnl"/>
        </w:rPr>
        <w:t>d)</w:t>
      </w:r>
      <w:r w:rsidRPr="00BD69C4">
        <w:rPr>
          <w:lang w:val="es-ES_tradnl"/>
        </w:rPr>
        <w:tab/>
        <w:t xml:space="preserve">que en la Resolución 71 (Rev. </w:t>
      </w:r>
      <w:proofErr w:type="spellStart"/>
      <w:r w:rsidRPr="00BD69C4">
        <w:rPr>
          <w:lang w:val="es-ES_tradnl"/>
        </w:rPr>
        <w:t>Busán</w:t>
      </w:r>
      <w:proofErr w:type="spellEnd"/>
      <w:r w:rsidRPr="00BD69C4">
        <w:rPr>
          <w:lang w:val="es-ES_tradnl"/>
        </w:rPr>
        <w:t>, 2014) de la presente Conferencia sobre el Plan Estratégico de la Unión para 2016-2019 se definen cuestiones clave, metas, estrategias y prioridades para toda la Unión, para cada uno de los Sectores y para la Secretaría General;</w:t>
      </w:r>
    </w:p>
    <w:p w:rsidR="00BD69C4" w:rsidRPr="00BD69C4" w:rsidRDefault="00BD69C4" w:rsidP="00022D64">
      <w:pPr>
        <w:rPr>
          <w:lang w:val="es-ES_tradnl"/>
        </w:rPr>
      </w:pPr>
      <w:r w:rsidRPr="00BD69C4">
        <w:rPr>
          <w:i/>
          <w:iCs/>
          <w:lang w:val="es-ES_tradnl"/>
        </w:rPr>
        <w:t>e)</w:t>
      </w:r>
      <w:r w:rsidRPr="00BD69C4">
        <w:rPr>
          <w:lang w:val="es-ES_tradnl"/>
        </w:rPr>
        <w:tab/>
        <w:t>que en su reunión de 2011 el Consejo de la UIT adoptó la Resolución</w:t>
      </w:r>
      <w:r w:rsidR="00022D64">
        <w:rPr>
          <w:lang w:val="es-ES_tradnl"/>
        </w:rPr>
        <w:t> </w:t>
      </w:r>
      <w:r w:rsidRPr="00BD69C4">
        <w:rPr>
          <w:lang w:val="es-ES_tradnl"/>
        </w:rPr>
        <w:t>1333 relativa a los principios rectores para la creación, gestión y disolución de Grupos de Trabajo del Consejo;</w:t>
      </w:r>
    </w:p>
    <w:p w:rsidR="00BD69C4" w:rsidRPr="00BD69C4" w:rsidRDefault="00BD69C4" w:rsidP="00BD69C4">
      <w:pPr>
        <w:rPr>
          <w:lang w:val="es-ES_tradnl"/>
        </w:rPr>
      </w:pPr>
      <w:r w:rsidRPr="00BD69C4">
        <w:rPr>
          <w:i/>
          <w:iCs/>
          <w:lang w:val="es-ES_tradnl"/>
        </w:rPr>
        <w:t>f)</w:t>
      </w:r>
      <w:r w:rsidRPr="00BD69C4">
        <w:rPr>
          <w:i/>
          <w:iCs/>
          <w:lang w:val="es-ES_tradnl"/>
        </w:rPr>
        <w:tab/>
      </w:r>
      <w:r w:rsidRPr="00BD69C4">
        <w:rPr>
          <w:lang w:val="es-ES_tradnl"/>
        </w:rPr>
        <w:t xml:space="preserve">la Resolución 70 (Rev. </w:t>
      </w:r>
      <w:proofErr w:type="spellStart"/>
      <w:r w:rsidRPr="00BD69C4">
        <w:rPr>
          <w:lang w:val="es-ES_tradnl"/>
        </w:rPr>
        <w:t>Busán</w:t>
      </w:r>
      <w:proofErr w:type="spellEnd"/>
      <w:r w:rsidRPr="00BD69C4">
        <w:rPr>
          <w:lang w:val="es-ES_tradnl"/>
        </w:rPr>
        <w:t>, 2014) de la presente Conferencia relativa a la incorporación de una política de género en la UIT y promoción de la igualdad de género y el empoderamiento de la mujer por medio de las tecnologías de la información y la comunicación,</w:t>
      </w:r>
    </w:p>
    <w:p w:rsidR="00BD69C4" w:rsidRPr="00BD69C4" w:rsidRDefault="00BD69C4" w:rsidP="00BD69C4">
      <w:pPr>
        <w:pStyle w:val="Call"/>
        <w:rPr>
          <w:lang w:val="es-ES_tradnl"/>
        </w:rPr>
      </w:pPr>
      <w:r w:rsidRPr="00BD69C4">
        <w:rPr>
          <w:lang w:val="es-ES_tradnl"/>
        </w:rPr>
        <w:t>considerando además</w:t>
      </w:r>
    </w:p>
    <w:p w:rsidR="00BD69C4" w:rsidRPr="00BD69C4" w:rsidRDefault="00BD69C4" w:rsidP="00BD69C4">
      <w:pPr>
        <w:rPr>
          <w:lang w:val="es-ES_tradnl"/>
        </w:rPr>
      </w:pPr>
      <w:r w:rsidRPr="00BD69C4">
        <w:rPr>
          <w:i/>
          <w:iCs/>
          <w:lang w:val="es-ES_tradnl"/>
        </w:rPr>
        <w:t>a)</w:t>
      </w:r>
      <w:r w:rsidRPr="00BD69C4">
        <w:rPr>
          <w:lang w:val="es-ES_tradnl"/>
        </w:rPr>
        <w:tab/>
        <w:t xml:space="preserve">que el actual calendario del Consejo y de los grupos de trabajo ha ocasionado una presión considerable sobre los recursos de los Estados Miembros y Miembros de Sector; </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9C4" w:rsidRPr="00BD69C4" w:rsidRDefault="00BD69C4" w:rsidP="00BD69C4">
      <w:pPr>
        <w:rPr>
          <w:lang w:val="es-ES_tradnl"/>
        </w:rPr>
      </w:pPr>
      <w:r w:rsidRPr="00BD69C4">
        <w:rPr>
          <w:i/>
          <w:iCs/>
          <w:lang w:val="es-ES_tradnl"/>
        </w:rPr>
        <w:lastRenderedPageBreak/>
        <w:t>b)</w:t>
      </w:r>
      <w:r w:rsidRPr="00BD69C4">
        <w:rPr>
          <w:lang w:val="es-ES_tradnl"/>
        </w:rPr>
        <w:tab/>
        <w:t>que las dificultades derivadas de la situación económica mundial también hacen que se agudice aún más la creciente demanda de actividades de la Unión y que se hagan patentes los limitados recursos que pueden obtenerse de los Estados Miembros y Miembros de Sector;</w:t>
      </w:r>
    </w:p>
    <w:p w:rsidR="00BD69C4" w:rsidRPr="00BD69C4" w:rsidRDefault="00BD69C4" w:rsidP="00BD69C4">
      <w:pPr>
        <w:rPr>
          <w:lang w:val="es-ES_tradnl"/>
        </w:rPr>
      </w:pPr>
      <w:r w:rsidRPr="00BD69C4">
        <w:rPr>
          <w:i/>
          <w:iCs/>
          <w:lang w:val="es-ES_tradnl"/>
        </w:rPr>
        <w:t>c)</w:t>
      </w:r>
      <w:r w:rsidRPr="00BD69C4">
        <w:rPr>
          <w:lang w:val="es-ES_tradnl"/>
        </w:rPr>
        <w:tab/>
        <w:t>que, ante la crisis económica a la que se enfrentan la Unión, los Estados Miembros y los Miembros de Sector, existe la necesidad urgente de encontrar mecanismos innovadores para racionalizar los costes internos, optimizar recursos y mejorar la eficacia,</w:t>
      </w:r>
    </w:p>
    <w:p w:rsidR="00BD69C4" w:rsidRPr="00BD69C4" w:rsidRDefault="00BD69C4" w:rsidP="00BD69C4">
      <w:pPr>
        <w:pStyle w:val="Call"/>
        <w:rPr>
          <w:lang w:val="es-ES_tradnl"/>
        </w:rPr>
      </w:pPr>
      <w:r w:rsidRPr="00BD69C4">
        <w:rPr>
          <w:lang w:val="es-ES_tradnl"/>
        </w:rPr>
        <w:t>reconociendo</w:t>
      </w:r>
    </w:p>
    <w:p w:rsidR="00BD69C4" w:rsidRPr="00BD69C4" w:rsidRDefault="00BD69C4" w:rsidP="00BD69C4">
      <w:pPr>
        <w:rPr>
          <w:lang w:val="es-ES_tradnl"/>
        </w:rPr>
      </w:pPr>
      <w:r w:rsidRPr="00BD69C4">
        <w:rPr>
          <w:lang w:val="es-ES_tradnl"/>
        </w:rPr>
        <w:t>que el Consejo siempre ha nombrado a candidatos cualificados y competentes para la dirección de los Grupos de Trabajo, pero que sigue siendo necesario promover y mejorar la distribución geográfica equitativa y el equilibrio de género,</w:t>
      </w:r>
    </w:p>
    <w:p w:rsidR="00BD69C4" w:rsidRPr="00BD69C4" w:rsidRDefault="00BD69C4" w:rsidP="00BD69C4">
      <w:pPr>
        <w:pStyle w:val="Call"/>
        <w:rPr>
          <w:lang w:val="es-ES_tradnl"/>
        </w:rPr>
      </w:pPr>
      <w:r w:rsidRPr="00BD69C4">
        <w:rPr>
          <w:lang w:val="es-ES_tradnl"/>
        </w:rPr>
        <w:t>decide</w:t>
      </w:r>
    </w:p>
    <w:p w:rsidR="00BD69C4" w:rsidRPr="00BD69C4" w:rsidRDefault="00BD69C4" w:rsidP="00022D64">
      <w:pPr>
        <w:rPr>
          <w:lang w:val="es-ES_tradnl"/>
        </w:rPr>
      </w:pPr>
      <w:r w:rsidRPr="00BD69C4">
        <w:rPr>
          <w:lang w:val="es-ES_tradnl"/>
        </w:rPr>
        <w:t>1</w:t>
      </w:r>
      <w:r w:rsidRPr="00BD69C4">
        <w:rPr>
          <w:lang w:val="es-ES_tradnl"/>
        </w:rPr>
        <w:tab/>
        <w:t>que el Consejo debe decidir acerca de la creación de grupos de trabajo sobre la base de los temas, objetivos, estrategias y prioridades fundamentales definidos en la Resolución 71 (Rev. </w:t>
      </w:r>
      <w:proofErr w:type="spellStart"/>
      <w:r w:rsidRPr="00BD69C4">
        <w:rPr>
          <w:lang w:val="es-ES_tradnl"/>
        </w:rPr>
        <w:t>Busán</w:t>
      </w:r>
      <w:proofErr w:type="spellEnd"/>
      <w:r w:rsidRPr="00BD69C4">
        <w:rPr>
          <w:lang w:val="es-ES_tradnl"/>
        </w:rPr>
        <w:t>,</w:t>
      </w:r>
      <w:r w:rsidR="00022D64">
        <w:rPr>
          <w:lang w:val="es-ES_tradnl"/>
        </w:rPr>
        <w:t xml:space="preserve"> </w:t>
      </w:r>
      <w:r w:rsidRPr="00BD69C4">
        <w:rPr>
          <w:lang w:val="es-ES_tradnl"/>
        </w:rPr>
        <w:t>2014)</w:t>
      </w:r>
      <w:r w:rsidR="00022D64">
        <w:rPr>
          <w:rStyle w:val="FootnoteReference"/>
          <w:lang w:val="es-ES_tradnl"/>
        </w:rPr>
        <w:footnoteReference w:customMarkFollows="1" w:id="2"/>
        <w:t>1</w:t>
      </w:r>
      <w:r w:rsidRPr="00BD69C4">
        <w:rPr>
          <w:lang w:val="es-ES_tradnl"/>
        </w:rPr>
        <w:t>;</w:t>
      </w:r>
    </w:p>
    <w:p w:rsidR="00BD69C4" w:rsidRPr="00BD69C4" w:rsidRDefault="00BD69C4" w:rsidP="00BD69C4">
      <w:pPr>
        <w:rPr>
          <w:lang w:val="es-ES_tradnl"/>
        </w:rPr>
      </w:pPr>
      <w:r w:rsidRPr="00BD69C4">
        <w:rPr>
          <w:lang w:val="es-ES_tradnl"/>
        </w:rPr>
        <w:t>2</w:t>
      </w:r>
      <w:r w:rsidRPr="00BD69C4">
        <w:rPr>
          <w:lang w:val="es-ES_tradnl"/>
        </w:rPr>
        <w:tab/>
        <w:t>que el Consejo debe decidir acerca de los mandatos de los grupos de trabajo y los procedimientos de trabajo de acuerdo con el Reglamento del Consejo;</w:t>
      </w:r>
    </w:p>
    <w:p w:rsidR="00BD69C4" w:rsidRPr="00BD69C4" w:rsidRDefault="00BD69C4" w:rsidP="00BD69C4">
      <w:pPr>
        <w:rPr>
          <w:lang w:val="es-ES_tradnl"/>
        </w:rPr>
      </w:pPr>
      <w:r w:rsidRPr="00BD69C4">
        <w:rPr>
          <w:lang w:val="es-ES_tradnl"/>
        </w:rPr>
        <w:t>3</w:t>
      </w:r>
      <w:r w:rsidRPr="00BD69C4">
        <w:rPr>
          <w:lang w:val="es-ES_tradnl"/>
        </w:rPr>
        <w:tab/>
        <w:t xml:space="preserve">que el Consejo debe decidir acerca de la dirección de los Grupos de Trabajo, teniendo en cuenta el </w:t>
      </w:r>
      <w:r w:rsidRPr="00BD69C4">
        <w:rPr>
          <w:i/>
          <w:iCs/>
          <w:lang w:val="es-ES_tradnl"/>
        </w:rPr>
        <w:t xml:space="preserve">reconociendo </w:t>
      </w:r>
      <w:r w:rsidRPr="00BD69C4">
        <w:rPr>
          <w:lang w:val="es-ES_tradnl"/>
        </w:rPr>
        <w:t>anterior, con miras a fomentar y mejorar, entre otras cosas, la distribución geográfica equitativa y el equilibrio de género;</w:t>
      </w:r>
    </w:p>
    <w:p w:rsidR="00BD69C4" w:rsidRPr="00BD69C4" w:rsidRDefault="00BD69C4" w:rsidP="00BD69C4">
      <w:pPr>
        <w:rPr>
          <w:lang w:val="es-ES_tradnl"/>
        </w:rPr>
      </w:pPr>
      <w:r w:rsidRPr="00BD69C4">
        <w:rPr>
          <w:lang w:val="es-ES_tradnl"/>
        </w:rPr>
        <w:t>4</w:t>
      </w:r>
      <w:r w:rsidRPr="00BD69C4">
        <w:rPr>
          <w:lang w:val="es-ES_tradnl"/>
        </w:rPr>
        <w:tab/>
        <w:t>que, en la medida de lo posible, el Consejo debe refundir los Grupos de Trabajo existentes para reducir su número y la duración de las reuniones con la finalidad de evitar la duplicación de esfuerzos y reducir al mínimo las repercusiones para el presupuesto;</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rPr>
          <w:lang w:val="es-ES_tradnl"/>
        </w:rPr>
      </w:pPr>
      <w:r w:rsidRPr="00BD69C4">
        <w:rPr>
          <w:lang w:val="es-ES_tradnl"/>
        </w:rPr>
        <w:lastRenderedPageBreak/>
        <w:t>5</w:t>
      </w:r>
      <w:r w:rsidRPr="00BD69C4">
        <w:rPr>
          <w:lang w:val="es-ES_tradnl"/>
        </w:rPr>
        <w:tab/>
        <w:t>que el Consejo, en la medida posible, debe integrar las reuniones de los grupos de trabajo en el marco del orden del día y la asignación de tiempo de las reuniones anuales del Consejo;</w:t>
      </w:r>
    </w:p>
    <w:p w:rsidR="00BD69C4" w:rsidRPr="00BD69C4" w:rsidRDefault="00BD69C4" w:rsidP="00BD69C4">
      <w:pPr>
        <w:rPr>
          <w:lang w:val="es-ES_tradnl"/>
        </w:rPr>
      </w:pPr>
      <w:r w:rsidRPr="00BD69C4">
        <w:rPr>
          <w:lang w:val="es-ES_tradnl"/>
        </w:rPr>
        <w:t>6</w:t>
      </w:r>
      <w:r w:rsidRPr="00BD69C4">
        <w:rPr>
          <w:lang w:val="es-ES_tradnl"/>
        </w:rPr>
        <w:tab/>
        <w:t xml:space="preserve">que, si no es posible aplicar el </w:t>
      </w:r>
      <w:r w:rsidRPr="00BD69C4">
        <w:rPr>
          <w:i/>
          <w:iCs/>
          <w:lang w:val="es-ES_tradnl"/>
        </w:rPr>
        <w:t>decide</w:t>
      </w:r>
      <w:r w:rsidRPr="00BD69C4">
        <w:rPr>
          <w:lang w:val="es-ES_tradnl"/>
        </w:rPr>
        <w:t xml:space="preserve"> 5 anterior, convendría organizar en el mismo lugar las reuniones de varios Grupos con el fin de reagruparlas para que se celebren consecutivamente o en paralelo;</w:t>
      </w:r>
    </w:p>
    <w:p w:rsidR="00BD69C4" w:rsidRPr="00BD69C4" w:rsidRDefault="00BD69C4" w:rsidP="00BD69C4">
      <w:pPr>
        <w:rPr>
          <w:lang w:val="es-ES_tradnl"/>
        </w:rPr>
      </w:pPr>
      <w:r w:rsidRPr="00BD69C4">
        <w:rPr>
          <w:lang w:val="es-ES_tradnl"/>
        </w:rPr>
        <w:t>7</w:t>
      </w:r>
      <w:r w:rsidRPr="00BD69C4">
        <w:rPr>
          <w:lang w:val="es-ES_tradnl"/>
        </w:rPr>
        <w:tab/>
        <w:t>que el Consejo examine los resultados de las medidas adoptadas al respecto en sus reuniones ordinarias ulteriores.</w:t>
      </w:r>
    </w:p>
    <w:p w:rsidR="006D1CEB" w:rsidRDefault="006D1CEB" w:rsidP="00587462">
      <w:pPr>
        <w:pStyle w:val="NormalendS2"/>
        <w:rPr>
          <w:lang w:val="es-ES_tradnl"/>
        </w:rPr>
      </w:pPr>
    </w:p>
    <w:p w:rsidR="000C15AB" w:rsidRPr="00EE7785" w:rsidRDefault="000C15AB" w:rsidP="00754E92">
      <w:pPr>
        <w:pStyle w:val="refbasdepage"/>
        <w:rPr>
          <w:lang w:val="es-ES_tradnl"/>
        </w:rPr>
      </w:pPr>
      <w:r w:rsidRPr="00EE7785">
        <w:rPr>
          <w:lang w:val="es-ES_tradnl"/>
        </w:rPr>
        <w:t>(Guadalajara, 2010) – (Rev. </w:t>
      </w:r>
      <w:proofErr w:type="spellStart"/>
      <w:r w:rsidRPr="00EE7785">
        <w:rPr>
          <w:lang w:val="es-ES_tradnl"/>
        </w:rPr>
        <w:t>Busán</w:t>
      </w:r>
      <w:proofErr w:type="spellEnd"/>
      <w:r w:rsidRPr="00EE7785">
        <w:rPr>
          <w:lang w:val="es-ES_tradnl"/>
        </w:rPr>
        <w:t>, 2014)</w:t>
      </w: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0C15AB" w:rsidRPr="00EE7785" w:rsidRDefault="000C15AB"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0C15AB" w:rsidRPr="00EE7785" w:rsidRDefault="000C15AB" w:rsidP="00587462">
      <w:pPr>
        <w:pStyle w:val="NormalendS2"/>
        <w:rPr>
          <w:lang w:val="es-ES_tradnl"/>
        </w:rPr>
      </w:pPr>
    </w:p>
    <w:p w:rsidR="000C15AB" w:rsidRPr="00EE7785" w:rsidRDefault="000C15AB" w:rsidP="00587462">
      <w:pPr>
        <w:pStyle w:val="NormalendS2"/>
        <w:rPr>
          <w:lang w:val="es-ES_tradnl"/>
        </w:rPr>
      </w:pPr>
    </w:p>
    <w:p w:rsidR="000C15AB" w:rsidRPr="00EE7785" w:rsidRDefault="000C15AB" w:rsidP="00587462">
      <w:pPr>
        <w:pStyle w:val="NormalendS2"/>
        <w:rPr>
          <w:lang w:val="es-ES_tradnl"/>
        </w:rPr>
      </w:pPr>
    </w:p>
    <w:p w:rsidR="00BD69C4" w:rsidRPr="00EE7785" w:rsidRDefault="00BD69C4" w:rsidP="00587462">
      <w:pPr>
        <w:pStyle w:val="NormalendS2"/>
        <w:rPr>
          <w:lang w:val="es-ES_tradnl"/>
        </w:rPr>
      </w:pPr>
    </w:p>
    <w:p w:rsidR="00BD69C4" w:rsidRPr="00EE7785" w:rsidRDefault="00BD69C4" w:rsidP="00587462">
      <w:pPr>
        <w:pStyle w:val="NormalendS2"/>
        <w:rPr>
          <w:lang w:val="es-ES_tradnl"/>
        </w:rPr>
      </w:pPr>
    </w:p>
    <w:p w:rsidR="00CA34FD" w:rsidRPr="00EE7785" w:rsidRDefault="00CA34FD">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EE7785">
        <w:rPr>
          <w:lang w:val="es-ES_tradnl"/>
        </w:rPr>
        <w:br w:type="page"/>
      </w:r>
    </w:p>
    <w:p w:rsidR="006D1CEB" w:rsidRPr="00CA34FD" w:rsidRDefault="00BD69C4" w:rsidP="000A3FBC">
      <w:pPr>
        <w:pStyle w:val="DecNo"/>
        <w:rPr>
          <w:lang w:val="es-ES_tradnl"/>
        </w:rPr>
      </w:pPr>
      <w:r w:rsidRPr="00EE7785">
        <w:rPr>
          <w:lang w:val="es-ES_tradnl"/>
        </w:rPr>
        <w:lastRenderedPageBreak/>
        <w:t xml:space="preserve">DECISIÓN </w:t>
      </w:r>
      <w:r w:rsidRPr="00EE7785">
        <w:rPr>
          <w:rStyle w:val="href"/>
          <w:lang w:val="es-ES_tradnl"/>
        </w:rPr>
        <w:t>12</w:t>
      </w:r>
      <w:r w:rsidRPr="00EE7785">
        <w:rPr>
          <w:lang w:val="es-ES_tradnl"/>
        </w:rPr>
        <w:t xml:space="preserve"> (Rev. Busán, 2014)</w:t>
      </w:r>
    </w:p>
    <w:p w:rsidR="006D1CEB" w:rsidRPr="00CA34FD" w:rsidRDefault="00CA34FD" w:rsidP="000A3FBC">
      <w:pPr>
        <w:pStyle w:val="Dectitle"/>
        <w:rPr>
          <w:lang w:val="es-ES_tradnl"/>
        </w:rPr>
      </w:pPr>
      <w:r w:rsidRPr="00901268">
        <w:rPr>
          <w:lang w:val="es-ES"/>
        </w:rPr>
        <w:t xml:space="preserve">Acceso gratuito en línea a las </w:t>
      </w:r>
      <w:r w:rsidR="008573C1" w:rsidRPr="00901268">
        <w:rPr>
          <w:lang w:val="es-ES"/>
        </w:rPr>
        <w:t>publicaciones</w:t>
      </w:r>
      <w:r w:rsidRPr="00901268">
        <w:rPr>
          <w:lang w:val="es-ES"/>
        </w:rPr>
        <w:t xml:space="preserve"> de la UIT</w:t>
      </w:r>
    </w:p>
    <w:p w:rsidR="00BD69C4" w:rsidRPr="00BD69C4" w:rsidRDefault="00BD69C4" w:rsidP="00BD69C4">
      <w:pPr>
        <w:pStyle w:val="Normalaftertitle"/>
        <w:rPr>
          <w:lang w:val="es-ES_tradnl"/>
        </w:rPr>
      </w:pPr>
      <w:r w:rsidRPr="00BD69C4">
        <w:rPr>
          <w:lang w:val="es-ES_tradnl"/>
        </w:rPr>
        <w:t>La Conferencia de Plenipotenciarios de la Unión Internacional de Telecomunicaciones (</w:t>
      </w:r>
      <w:proofErr w:type="spellStart"/>
      <w:r w:rsidRPr="00BD69C4">
        <w:rPr>
          <w:lang w:val="es-ES_tradnl"/>
        </w:rPr>
        <w:t>Busán</w:t>
      </w:r>
      <w:proofErr w:type="spellEnd"/>
      <w:r w:rsidRPr="00BD69C4">
        <w:rPr>
          <w:lang w:val="es-ES_tradnl"/>
        </w:rPr>
        <w:t>, 2014),</w:t>
      </w:r>
    </w:p>
    <w:p w:rsidR="00BD69C4" w:rsidRPr="001846AE" w:rsidRDefault="00BD69C4" w:rsidP="00BD69C4">
      <w:pPr>
        <w:pStyle w:val="Call"/>
        <w:rPr>
          <w:lang w:val="es-ES_tradnl"/>
        </w:rPr>
      </w:pPr>
      <w:r w:rsidRPr="001846AE">
        <w:rPr>
          <w:lang w:val="es-ES_tradnl"/>
        </w:rPr>
        <w:t>considerando</w:t>
      </w:r>
    </w:p>
    <w:p w:rsidR="00BD69C4" w:rsidRPr="00BD69C4" w:rsidRDefault="00BD69C4" w:rsidP="00BD69C4">
      <w:pPr>
        <w:rPr>
          <w:lang w:val="es-ES_tradnl"/>
        </w:rPr>
      </w:pPr>
      <w:r w:rsidRPr="00BD69C4">
        <w:rPr>
          <w:i/>
          <w:iCs/>
          <w:lang w:val="es-ES_tradnl"/>
        </w:rPr>
        <w:t>a)</w:t>
      </w:r>
      <w:r w:rsidRPr="00BD69C4">
        <w:rPr>
          <w:lang w:val="es-ES_tradnl"/>
        </w:rPr>
        <w:tab/>
        <w:t>que el Artículo 4 de la Constitución de la UIT define los Reglamentos Administrativos (es decir, el Reglamento de las Telecomunicaciones Internacionales y el Reglamento de Radiocomunicaciones) como instrumentos de la Unión, y que los Estados Miembros están obligados a cumplir las disposiciones de dichos Reglamentos;</w:t>
      </w:r>
    </w:p>
    <w:p w:rsidR="00BD69C4" w:rsidRPr="00BD69C4" w:rsidRDefault="00BD69C4" w:rsidP="00BD69C4">
      <w:pPr>
        <w:rPr>
          <w:lang w:val="es-ES_tradnl"/>
        </w:rPr>
      </w:pPr>
      <w:r w:rsidRPr="00BD69C4">
        <w:rPr>
          <w:i/>
          <w:iCs/>
          <w:lang w:val="es-ES_tradnl"/>
        </w:rPr>
        <w:t>b)</w:t>
      </w:r>
      <w:r w:rsidRPr="00BD69C4">
        <w:rPr>
          <w:lang w:val="es-ES_tradnl"/>
        </w:rPr>
        <w:tab/>
        <w:t xml:space="preserve">la Resolución 123 (Rev. </w:t>
      </w:r>
      <w:proofErr w:type="spellStart"/>
      <w:r w:rsidRPr="00BD69C4">
        <w:rPr>
          <w:lang w:val="es-ES_tradnl"/>
        </w:rPr>
        <w:t>Busán</w:t>
      </w:r>
      <w:proofErr w:type="spellEnd"/>
      <w:r w:rsidRPr="00BD69C4">
        <w:rPr>
          <w:lang w:val="es-ES_tradnl"/>
        </w:rPr>
        <w:t>, 2014) de esta Conferencia, relativa a la reducción de la disparidad entre los países en desarrollo</w:t>
      </w:r>
      <w:r w:rsidRPr="00BD69C4">
        <w:rPr>
          <w:rStyle w:val="FootnoteReference"/>
          <w:lang w:val="es-ES_tradnl"/>
        </w:rPr>
        <w:footnoteReference w:customMarkFollows="1" w:id="3"/>
        <w:t>1</w:t>
      </w:r>
      <w:r w:rsidRPr="00BD69C4">
        <w:rPr>
          <w:lang w:val="es-ES_tradnl"/>
        </w:rPr>
        <w:t xml:space="preserve"> y los desarrollados en materia de normalización, en la cual se reconoce que la aplicación de las Recomendaciones del Sector de Radiocomunicaciones (UIT-R) y del Sector de Normalización de las Telecomunicaciones (UIT-T) constituye un paso fundamental hacia la reducción de la disparidad en materia de normalización entre los países desarrollados y los países en desarrollo;</w:t>
      </w:r>
    </w:p>
    <w:p w:rsidR="00BD69C4" w:rsidRPr="00BD69C4" w:rsidRDefault="00BD69C4" w:rsidP="00022D64">
      <w:pPr>
        <w:tabs>
          <w:tab w:val="left" w:pos="709"/>
        </w:tabs>
        <w:rPr>
          <w:lang w:val="es-ES_tradnl"/>
        </w:rPr>
      </w:pPr>
      <w:r w:rsidRPr="00BD69C4">
        <w:rPr>
          <w:i/>
          <w:iCs/>
          <w:lang w:val="es-ES_tradnl"/>
        </w:rPr>
        <w:t>c)</w:t>
      </w:r>
      <w:r w:rsidRPr="00BD69C4">
        <w:rPr>
          <w:lang w:val="es-ES_tradnl"/>
        </w:rPr>
        <w:tab/>
        <w:t xml:space="preserve">la Resolución 64 (Rev. </w:t>
      </w:r>
      <w:proofErr w:type="spellStart"/>
      <w:r w:rsidRPr="00BD69C4">
        <w:rPr>
          <w:lang w:val="es-ES_tradnl"/>
        </w:rPr>
        <w:t>Busán</w:t>
      </w:r>
      <w:proofErr w:type="spellEnd"/>
      <w:r w:rsidRPr="00BD69C4">
        <w:rPr>
          <w:lang w:val="es-ES_tradnl"/>
        </w:rPr>
        <w:t>, 2014) de esta Conferencia y la Resolución</w:t>
      </w:r>
      <w:r w:rsidR="00F249C7">
        <w:rPr>
          <w:lang w:val="es-ES_tradnl"/>
        </w:rPr>
        <w:t> </w:t>
      </w:r>
      <w:r w:rsidRPr="00BD69C4">
        <w:rPr>
          <w:lang w:val="es-ES_tradnl"/>
        </w:rPr>
        <w:t>20 (Rev.</w:t>
      </w:r>
      <w:r w:rsidR="00022D64">
        <w:rPr>
          <w:lang w:val="es-ES_tradnl"/>
        </w:rPr>
        <w:t xml:space="preserve"> </w:t>
      </w:r>
      <w:proofErr w:type="spellStart"/>
      <w:r w:rsidRPr="00BD69C4">
        <w:rPr>
          <w:lang w:val="es-ES_tradnl"/>
        </w:rPr>
        <w:t>Hyderabad</w:t>
      </w:r>
      <w:proofErr w:type="spellEnd"/>
      <w:r w:rsidRPr="00BD69C4">
        <w:rPr>
          <w:lang w:val="es-ES_tradnl"/>
        </w:rPr>
        <w:t>,</w:t>
      </w:r>
      <w:r w:rsidR="00022D64">
        <w:rPr>
          <w:lang w:val="es-ES_tradnl"/>
        </w:rPr>
        <w:t xml:space="preserve"> </w:t>
      </w:r>
      <w:r w:rsidRPr="00BD69C4">
        <w:rPr>
          <w:lang w:val="es-ES_tradnl"/>
        </w:rPr>
        <w:t>2010) de la Conferencia Mundial de Desarrollo de las Telecomunicaciones (CMDT) sobre el acceso no discriminatorio a los modernos medios y servicios de telecomunicación y de las tecnologías de la información y la comunicación (TIC), en la que se observa que:</w:t>
      </w:r>
    </w:p>
    <w:p w:rsidR="00BD69C4" w:rsidRPr="00BD69C4" w:rsidRDefault="00BD69C4" w:rsidP="00BD69C4">
      <w:pPr>
        <w:pStyle w:val="enumlev1"/>
        <w:rPr>
          <w:lang w:val="es-ES_tradnl"/>
        </w:rPr>
      </w:pPr>
      <w:r w:rsidRPr="00BD69C4">
        <w:rPr>
          <w:lang w:val="es-ES_tradnl"/>
        </w:rPr>
        <w:t>–</w:t>
      </w:r>
      <w:r w:rsidRPr="00BD69C4">
        <w:rPr>
          <w:lang w:val="es-ES_tradnl"/>
        </w:rPr>
        <w:tab/>
        <w:t xml:space="preserve">el establecimiento de los medios y servicios modernos de telecomunicaciones/TIC se lleva fundamentalmente a cabo sobre la base de las </w:t>
      </w:r>
      <w:r w:rsidR="00022D64">
        <w:rPr>
          <w:lang w:val="es-ES_tradnl"/>
        </w:rPr>
        <w:t xml:space="preserve">Recomendaciones del UIT-R y del </w:t>
      </w:r>
      <w:r w:rsidRPr="00BD69C4">
        <w:rPr>
          <w:lang w:val="es-ES_tradnl"/>
        </w:rPr>
        <w:t>UIT-T;</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Pr>
          <w:lang w:val="es-ES_tradnl"/>
        </w:rPr>
        <w:br w:type="page"/>
      </w:r>
    </w:p>
    <w:p w:rsidR="00BD69C4" w:rsidRPr="00BD69C4" w:rsidRDefault="00BD69C4" w:rsidP="00BD69C4">
      <w:pPr>
        <w:pStyle w:val="enumlev1"/>
        <w:rPr>
          <w:lang w:val="es-ES_tradnl"/>
        </w:rPr>
      </w:pPr>
      <w:r w:rsidRPr="00BD69C4">
        <w:rPr>
          <w:lang w:val="es-ES_tradnl"/>
        </w:rPr>
        <w:lastRenderedPageBreak/>
        <w:t>–</w:t>
      </w:r>
      <w:r w:rsidRPr="00BD69C4">
        <w:rPr>
          <w:lang w:val="es-ES_tradnl"/>
        </w:rPr>
        <w:tab/>
        <w:t>las Recomendaciones del UIT</w:t>
      </w:r>
      <w:r w:rsidRPr="00BD69C4">
        <w:rPr>
          <w:lang w:val="es-ES_tradnl"/>
        </w:rPr>
        <w:noBreakHyphen/>
        <w:t>R y del UIT</w:t>
      </w:r>
      <w:r w:rsidRPr="00BD69C4">
        <w:rPr>
          <w:lang w:val="es-ES_tradnl"/>
        </w:rPr>
        <w:noBreakHyphen/>
        <w:t>T son fruto de la labor colectiva de todos los participantes en el proceso de normalización en el marco de la UIT, y se adoptan por consenso de los Miembros de la Unión;</w:t>
      </w:r>
    </w:p>
    <w:p w:rsidR="00BD69C4" w:rsidRPr="00BD69C4" w:rsidRDefault="00BD69C4" w:rsidP="00BD69C4">
      <w:pPr>
        <w:pStyle w:val="enumlev1"/>
        <w:rPr>
          <w:lang w:val="es-ES_tradnl"/>
        </w:rPr>
      </w:pPr>
      <w:r w:rsidRPr="00BD69C4">
        <w:rPr>
          <w:lang w:val="es-ES_tradnl"/>
        </w:rPr>
        <w:t>–</w:t>
      </w:r>
      <w:r w:rsidRPr="00BD69C4">
        <w:rPr>
          <w:lang w:val="es-ES_tradnl"/>
        </w:rPr>
        <w:tab/>
        <w:t>las limitaciones en el acceso a los equipos y servicios de telecomunicaciones/TIC, de los que depende el desarrollo de las telecomunicaciones/TIC nacionales y que se establecen sobre la base de las Recomendaciones del UIT</w:t>
      </w:r>
      <w:r w:rsidRPr="00BD69C4">
        <w:rPr>
          <w:lang w:val="es-ES_tradnl"/>
        </w:rPr>
        <w:noBreakHyphen/>
        <w:t>R y del UIT</w:t>
      </w:r>
      <w:r w:rsidRPr="00BD69C4">
        <w:rPr>
          <w:lang w:val="es-ES_tradnl"/>
        </w:rPr>
        <w:noBreakHyphen/>
        <w:t>T, suponen un obstáculo para el desarrollo armonioso y la compatibilidad de las telecomunicaciones/</w:t>
      </w:r>
      <w:r w:rsidR="00022D64">
        <w:rPr>
          <w:lang w:val="es-ES_tradnl"/>
        </w:rPr>
        <w:t xml:space="preserve"> </w:t>
      </w:r>
      <w:r w:rsidRPr="00BD69C4">
        <w:rPr>
          <w:lang w:val="es-ES_tradnl"/>
        </w:rPr>
        <w:t>TIC a escala mundial;</w:t>
      </w:r>
    </w:p>
    <w:p w:rsidR="00BD69C4" w:rsidRPr="00BD69C4" w:rsidRDefault="00BD69C4" w:rsidP="00BD69C4">
      <w:pPr>
        <w:rPr>
          <w:lang w:val="es-ES_tradnl"/>
        </w:rPr>
      </w:pPr>
      <w:r w:rsidRPr="00BD69C4">
        <w:rPr>
          <w:i/>
          <w:iCs/>
          <w:lang w:val="es-ES_tradnl"/>
        </w:rPr>
        <w:t>d)</w:t>
      </w:r>
      <w:r w:rsidRPr="00BD69C4">
        <w:rPr>
          <w:lang w:val="es-ES_tradnl"/>
        </w:rPr>
        <w:tab/>
        <w:t>la Resolución 9 (Rev.</w:t>
      </w:r>
      <w:r w:rsidRPr="00BD69C4">
        <w:rPr>
          <w:rFonts w:eastAsia="SimSun" w:cs="Arial"/>
          <w:sz w:val="22"/>
          <w:szCs w:val="22"/>
          <w:lang w:val="es-ES_tradnl" w:eastAsia="zh-CN"/>
        </w:rPr>
        <w:t xml:space="preserve"> </w:t>
      </w:r>
      <w:r w:rsidRPr="00BD69C4">
        <w:rPr>
          <w:lang w:val="es-ES_tradnl"/>
        </w:rPr>
        <w:t>Dubái, 2014) de la CMDT sobre la participación de los países, en particular de los países en desarrollo, en la gestión del espectro de frecuencias, en la que se reconoce la importancia de propiciar el acceso a la documentación relativa a las radiocomunicaciones para facilitar la tarea de los encargados de la gestión del espectro de frecuencias radioeléctricas;</w:t>
      </w:r>
    </w:p>
    <w:p w:rsidR="00BD69C4" w:rsidRPr="00BD69C4" w:rsidRDefault="00BD69C4" w:rsidP="00BD69C4">
      <w:pPr>
        <w:rPr>
          <w:lang w:val="es-ES_tradnl"/>
        </w:rPr>
      </w:pPr>
      <w:r w:rsidRPr="00BD69C4">
        <w:rPr>
          <w:i/>
          <w:iCs/>
          <w:lang w:val="es-ES_tradnl"/>
        </w:rPr>
        <w:t>e</w:t>
      </w:r>
      <w:r w:rsidRPr="00BD69C4">
        <w:rPr>
          <w:lang w:val="es-ES_tradnl"/>
        </w:rPr>
        <w:t>)</w:t>
      </w:r>
      <w:r w:rsidRPr="00BD69C4">
        <w:rPr>
          <w:lang w:val="es-ES_tradnl"/>
        </w:rPr>
        <w:tab/>
        <w:t>la Resolución 34 (Rev. Dubái, 2014) de la Conferencia Mundial de Desarrollo de las Telecomunicaciones sobre la función de las telecomunicaciones/TIC en la preparación, alerta temprana, rescate, mitigación, socorro y respuesta en situaciones de catástrofe, en la que se señala la importancia para la humanidad de las publicaciones de la UIT relativas a este tipo de actividades;</w:t>
      </w:r>
    </w:p>
    <w:p w:rsidR="00BD69C4" w:rsidRPr="00BD69C4" w:rsidRDefault="00BD69C4" w:rsidP="00AF5D92">
      <w:pPr>
        <w:rPr>
          <w:lang w:val="es-ES_tradnl"/>
        </w:rPr>
      </w:pPr>
      <w:r w:rsidRPr="00BD69C4">
        <w:rPr>
          <w:i/>
          <w:iCs/>
          <w:lang w:val="es-ES_tradnl"/>
        </w:rPr>
        <w:t>f)</w:t>
      </w:r>
      <w:r w:rsidRPr="00BD69C4">
        <w:rPr>
          <w:lang w:val="es-ES_tradnl"/>
        </w:rPr>
        <w:tab/>
        <w:t>la Resolución 47 (Rev. Dubái, 2014) de la CMDT sobre perfeccionamiento del conocimiento y aplicación efectiva de las Recomendaciones de la UIT en los países en desarrollo, en la cual se resuelve invitar a los Estados Miembros y a los Miembros de Sector a que emprendan actividades destinadas a mejorar el conocimiento y a aplicar de forma más efectiva las Recomendaciones del UIT-R y el UIT</w:t>
      </w:r>
      <w:r w:rsidRPr="00BD69C4">
        <w:rPr>
          <w:lang w:val="es-ES_tradnl"/>
        </w:rPr>
        <w:noBreakHyphen/>
        <w:t>T en los países en desarrollo;</w:t>
      </w:r>
    </w:p>
    <w:p w:rsidR="00BD69C4" w:rsidRPr="00BD69C4" w:rsidRDefault="00BD69C4" w:rsidP="00BD69C4">
      <w:pPr>
        <w:rPr>
          <w:lang w:val="es-ES_tradnl"/>
        </w:rPr>
      </w:pPr>
      <w:r w:rsidRPr="00BD69C4">
        <w:rPr>
          <w:i/>
          <w:iCs/>
          <w:lang w:val="es-ES_tradnl"/>
        </w:rPr>
        <w:t>g</w:t>
      </w:r>
      <w:r w:rsidRPr="00BD69C4">
        <w:rPr>
          <w:lang w:val="es-ES_tradnl"/>
        </w:rPr>
        <w:t>)</w:t>
      </w:r>
      <w:r w:rsidRPr="00BD69C4">
        <w:rPr>
          <w:lang w:val="es-ES_tradnl"/>
        </w:rPr>
        <w:tab/>
        <w:t>el Acuerdo 571 (2014) del Consejo, relativo al sobre acceso gratuito en línea a los Reglamentos Administrativos, las Resoluciones y Acuerdos del Consejo y otras publicaciones de la UIT;</w:t>
      </w:r>
    </w:p>
    <w:p w:rsidR="00BD69C4" w:rsidRPr="00BD69C4" w:rsidRDefault="00BD69C4" w:rsidP="00BD69C4">
      <w:pPr>
        <w:rPr>
          <w:lang w:val="es-ES_tradnl"/>
        </w:rPr>
      </w:pPr>
      <w:r w:rsidRPr="00BD69C4">
        <w:rPr>
          <w:i/>
          <w:iCs/>
          <w:lang w:val="es-ES_tradnl"/>
        </w:rPr>
        <w:t>h</w:t>
      </w:r>
      <w:r w:rsidRPr="00BD69C4">
        <w:rPr>
          <w:lang w:val="es-ES_tradnl"/>
        </w:rPr>
        <w:t>)</w:t>
      </w:r>
      <w:r w:rsidRPr="00BD69C4">
        <w:rPr>
          <w:lang w:val="es-ES_tradnl"/>
        </w:rPr>
        <w:tab/>
        <w:t>el Acuerdo 574 (2013) del Consejo sobre acceso gratuito en línea a los Informes Finales de las CMDT;</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9C4" w:rsidRPr="00BD69C4" w:rsidRDefault="00BD69C4" w:rsidP="008573C1">
      <w:pPr>
        <w:rPr>
          <w:lang w:val="es-ES_tradnl"/>
        </w:rPr>
      </w:pPr>
      <w:r w:rsidRPr="00BD69C4">
        <w:rPr>
          <w:i/>
          <w:iCs/>
          <w:lang w:val="es-ES_tradnl"/>
        </w:rPr>
        <w:lastRenderedPageBreak/>
        <w:t>i</w:t>
      </w:r>
      <w:r w:rsidRPr="00BD69C4">
        <w:rPr>
          <w:lang w:val="es-ES_tradnl"/>
        </w:rPr>
        <w:t>)</w:t>
      </w:r>
      <w:r w:rsidRPr="00BD69C4">
        <w:rPr>
          <w:lang w:val="es-ES_tradnl"/>
        </w:rPr>
        <w:tab/>
        <w:t>el Acuerdo 542 (2006) del Consejo, mediante el cual se aprobó el acceso público gratuito en línea a las Recomendaciones UIT-T por un periodo de prueba, que se confirmó de manera permanente en la Decisión</w:t>
      </w:r>
      <w:r w:rsidR="008573C1">
        <w:rPr>
          <w:lang w:val="es-ES_tradnl"/>
        </w:rPr>
        <w:t> </w:t>
      </w:r>
      <w:r w:rsidRPr="00BD69C4">
        <w:rPr>
          <w:lang w:val="es-ES_tradnl"/>
        </w:rPr>
        <w:t>12 (Guadalajara, 2010) de la Conferencia de Plenipotenciarios;</w:t>
      </w:r>
    </w:p>
    <w:p w:rsidR="00BD69C4" w:rsidRPr="00BD69C4" w:rsidRDefault="00BD69C4" w:rsidP="00BD69C4">
      <w:pPr>
        <w:rPr>
          <w:lang w:val="es-ES_tradnl"/>
        </w:rPr>
      </w:pPr>
      <w:r w:rsidRPr="00BD69C4">
        <w:rPr>
          <w:i/>
          <w:iCs/>
          <w:lang w:val="es-ES_tradnl"/>
        </w:rPr>
        <w:t>j</w:t>
      </w:r>
      <w:r w:rsidRPr="00BD69C4">
        <w:rPr>
          <w:lang w:val="es-ES_tradnl"/>
        </w:rPr>
        <w:t>)</w:t>
      </w:r>
      <w:r w:rsidRPr="00BD69C4">
        <w:rPr>
          <w:lang w:val="es-ES_tradnl"/>
        </w:rPr>
        <w:tab/>
        <w:t>que, de conformidad con el Documento C13/81 del Consejo, durante el periodo de prueba de acceso gratuito en línea, los ingresos procedentes de la venta del Reglamento de Radiocomunicaciones, en papel y DVD, en 2012 aumentaron un 60 por ciento en comparación con las ventas realizadas en todos los formatos (incluso en línea) durante el mismo periodo de 2008, año en que se publicó la anterior edición del Reglamento de Radiocomunicaciones;</w:t>
      </w:r>
    </w:p>
    <w:p w:rsidR="00BD69C4" w:rsidRPr="00BD69C4" w:rsidRDefault="00BD69C4" w:rsidP="00670DDA">
      <w:pPr>
        <w:rPr>
          <w:lang w:val="es-ES_tradnl"/>
        </w:rPr>
      </w:pPr>
      <w:r w:rsidRPr="00BD69C4">
        <w:rPr>
          <w:i/>
          <w:iCs/>
          <w:lang w:val="es-ES_tradnl"/>
        </w:rPr>
        <w:t>k</w:t>
      </w:r>
      <w:r w:rsidRPr="00BD69C4">
        <w:rPr>
          <w:lang w:val="es-ES_tradnl"/>
        </w:rPr>
        <w:t>)</w:t>
      </w:r>
      <w:r w:rsidRPr="00BD69C4">
        <w:rPr>
          <w:lang w:val="es-ES_tradnl"/>
        </w:rPr>
        <w:tab/>
        <w:t>que el acceso gratuito en línea público al Reglamento de Radiocomunicaciones, como se indica en los Documentos C13/21, C13/81 y</w:t>
      </w:r>
      <w:r w:rsidR="00670DDA">
        <w:rPr>
          <w:lang w:val="es-ES_tradnl"/>
        </w:rPr>
        <w:t> </w:t>
      </w:r>
      <w:r w:rsidRPr="00BD69C4">
        <w:rPr>
          <w:lang w:val="es-ES_tradnl"/>
        </w:rPr>
        <w:t>C14/21 del Consejo, no ha tenido consecuencias financieras negativas en 2012 y 2013;</w:t>
      </w:r>
    </w:p>
    <w:p w:rsidR="00BD69C4" w:rsidRPr="00BD69C4" w:rsidRDefault="00BD69C4" w:rsidP="00022D64">
      <w:pPr>
        <w:rPr>
          <w:lang w:val="es-ES_tradnl"/>
        </w:rPr>
      </w:pPr>
      <w:r w:rsidRPr="00BD69C4">
        <w:rPr>
          <w:i/>
          <w:iCs/>
          <w:lang w:val="es-ES_tradnl"/>
        </w:rPr>
        <w:t>l</w:t>
      </w:r>
      <w:r w:rsidRPr="00BD69C4">
        <w:rPr>
          <w:lang w:val="es-ES_tradnl"/>
        </w:rPr>
        <w:t>)</w:t>
      </w:r>
      <w:r w:rsidRPr="00BD69C4">
        <w:rPr>
          <w:lang w:val="es-ES_tradnl"/>
        </w:rPr>
        <w:tab/>
        <w:t>lo dispuesto en la Declaración de la CMSI+10 sobre la aplicación de los resultados de la CMSI y la Visión de la CMSI+10 para la CMSI después de</w:t>
      </w:r>
      <w:r w:rsidR="00022D64">
        <w:rPr>
          <w:lang w:val="es-ES_tradnl"/>
        </w:rPr>
        <w:t> </w:t>
      </w:r>
      <w:r w:rsidRPr="00BD69C4">
        <w:rPr>
          <w:lang w:val="es-ES_tradnl"/>
        </w:rPr>
        <w:t>2015, adoptada en el Evento de Alto Nivel de la CMSI+10, relativa a la importancia del acceso gratuito a las normas internacionales, que aumenta la eficiencia en la utilización de las telecomunicaciones/TIC en diversos ámbitos de actividad humana, comprendido el desarrollo de la sociedad de la información;</w:t>
      </w:r>
    </w:p>
    <w:p w:rsidR="00BD69C4" w:rsidRPr="00BD69C4" w:rsidRDefault="00BD69C4" w:rsidP="00BD69C4">
      <w:pPr>
        <w:rPr>
          <w:lang w:val="es-ES_tradnl"/>
        </w:rPr>
      </w:pPr>
      <w:r w:rsidRPr="00BD69C4">
        <w:rPr>
          <w:i/>
          <w:iCs/>
          <w:lang w:val="es-ES_tradnl"/>
        </w:rPr>
        <w:t>m)</w:t>
      </w:r>
      <w:r w:rsidRPr="00BD69C4">
        <w:rPr>
          <w:lang w:val="es-ES_tradnl"/>
        </w:rPr>
        <w:tab/>
        <w:t>que el acceso gratuito a los textos fundamentales de la Unión contribuye a cumplir el objeto básico de la UIT, según se define en el Artículo 1 de la Constitución de la UIT,</w:t>
      </w:r>
    </w:p>
    <w:p w:rsidR="00BD69C4" w:rsidRPr="00BD69C4" w:rsidRDefault="00BD69C4" w:rsidP="00BD69C4">
      <w:pPr>
        <w:pStyle w:val="Call"/>
        <w:rPr>
          <w:lang w:val="es-ES_tradnl"/>
        </w:rPr>
      </w:pPr>
      <w:r w:rsidRPr="00BD69C4">
        <w:rPr>
          <w:lang w:val="es-ES_tradnl"/>
        </w:rPr>
        <w:t>reconociendo</w:t>
      </w:r>
    </w:p>
    <w:p w:rsidR="00BD69C4" w:rsidRPr="00BD69C4" w:rsidRDefault="00BD69C4" w:rsidP="00BD69C4">
      <w:pPr>
        <w:rPr>
          <w:lang w:val="es-ES_tradnl"/>
        </w:rPr>
      </w:pPr>
      <w:r w:rsidRPr="00BD69C4">
        <w:rPr>
          <w:i/>
          <w:iCs/>
          <w:lang w:val="es-ES_tradnl"/>
        </w:rPr>
        <w:t>a)</w:t>
      </w:r>
      <w:r w:rsidRPr="00BD69C4">
        <w:rPr>
          <w:lang w:val="es-ES_tradnl"/>
        </w:rPr>
        <w:tab/>
        <w:t>las dificultades que plantea para muchos países, en particular los países en desarrollo, la participación en las actividades de las Comisiones de Estudio del UIT-R, el UIT-T y el Sector de Desarrollo de las Telecomunicaciones de la UIT (UIT-D);</w:t>
      </w:r>
    </w:p>
    <w:p w:rsidR="00BD69C4" w:rsidRPr="00BD69C4" w:rsidRDefault="00BD69C4" w:rsidP="00BD69C4">
      <w:pPr>
        <w:rPr>
          <w:lang w:val="es-ES_tradnl"/>
        </w:rPr>
      </w:pPr>
      <w:r w:rsidRPr="00BD69C4">
        <w:rPr>
          <w:i/>
          <w:iCs/>
          <w:lang w:val="es-ES_tradnl"/>
        </w:rPr>
        <w:t>b)</w:t>
      </w:r>
      <w:r w:rsidRPr="00BD69C4">
        <w:rPr>
          <w:lang w:val="es-ES_tradnl"/>
        </w:rPr>
        <w:tab/>
        <w:t xml:space="preserve">las diversas medidas adoptadas por el Consejo desde el año 2000 para permitir el acceso en línea gratuito a las Recomendaciones de la UIT y a los textos fundamentales de la Unión; </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9C4" w:rsidRPr="00BD69C4" w:rsidRDefault="00BD69C4" w:rsidP="00BD69C4">
      <w:pPr>
        <w:rPr>
          <w:lang w:val="es-ES_tradnl"/>
        </w:rPr>
      </w:pPr>
      <w:r w:rsidRPr="00BD69C4">
        <w:rPr>
          <w:i/>
          <w:iCs/>
          <w:lang w:val="es-ES_tradnl"/>
        </w:rPr>
        <w:lastRenderedPageBreak/>
        <w:t>c)</w:t>
      </w:r>
      <w:r w:rsidRPr="00BD69C4">
        <w:rPr>
          <w:lang w:val="es-ES_tradnl"/>
        </w:rPr>
        <w:tab/>
        <w:t>las numerosas peticiones formuladas por los Estados Miembros y Miembros de Sector en relación con el acceso en línea gratuito a las Recomendaciones del UIT-R y el UIT-T, los diversos Manuales de la UIT, los textos fundamentales de la Unión y las Reglas de Procedimiento;</w:t>
      </w:r>
    </w:p>
    <w:p w:rsidR="00BD69C4" w:rsidRPr="00BD69C4" w:rsidRDefault="00BD69C4" w:rsidP="00022D64">
      <w:pPr>
        <w:rPr>
          <w:lang w:val="es-ES_tradnl"/>
        </w:rPr>
      </w:pPr>
      <w:r w:rsidRPr="00BD69C4">
        <w:rPr>
          <w:i/>
          <w:iCs/>
          <w:lang w:val="es-ES_tradnl"/>
        </w:rPr>
        <w:t>d)</w:t>
      </w:r>
      <w:r w:rsidRPr="00BD69C4">
        <w:rPr>
          <w:lang w:val="es-ES_tradnl"/>
        </w:rPr>
        <w:tab/>
        <w:t>que, tras la aprobación de los Acuerdos 542, 571 y 574 del Consejo de la UIT, ha habido un incremento considerable de las descargas de todas las publicaciones a las que se puede acceder gratuitamente en línea gracias a esos Acuerdos, tal y como se ha informado anualmente al Consejo, lo que ha incrementado el interés público en las esferas de trabajo y resultados de la</w:t>
      </w:r>
      <w:r w:rsidR="00022D64">
        <w:rPr>
          <w:lang w:val="es-ES_tradnl"/>
        </w:rPr>
        <w:t> </w:t>
      </w:r>
      <w:r w:rsidRPr="00BD69C4">
        <w:rPr>
          <w:lang w:val="es-ES_tradnl"/>
        </w:rPr>
        <w:t>UIT y ha facilitado la participación más activa de diferentes organizaciones en la labor de la UIT;</w:t>
      </w:r>
    </w:p>
    <w:p w:rsidR="00BD69C4" w:rsidRPr="00BD69C4" w:rsidRDefault="00BD69C4" w:rsidP="00BD69C4">
      <w:pPr>
        <w:rPr>
          <w:lang w:val="es-ES_tradnl"/>
        </w:rPr>
      </w:pPr>
      <w:r w:rsidRPr="00BD69C4">
        <w:rPr>
          <w:i/>
          <w:iCs/>
          <w:lang w:val="es-ES_tradnl"/>
        </w:rPr>
        <w:t>e)</w:t>
      </w:r>
      <w:r w:rsidRPr="00BD69C4">
        <w:rPr>
          <w:lang w:val="es-ES_tradnl"/>
        </w:rPr>
        <w:tab/>
        <w:t>que las consecuencias financieras de proporcionar acceso gratuito en línea a estas publicaciones han resultado ser mínimas y han sido compensadas por el aumento del conocimiento de la labor llevada a cabo por la Unión en los tres Sectores;</w:t>
      </w:r>
    </w:p>
    <w:p w:rsidR="00BD69C4" w:rsidRPr="00BD69C4" w:rsidRDefault="00BD69C4" w:rsidP="00BD69C4">
      <w:pPr>
        <w:rPr>
          <w:lang w:val="es-ES_tradnl"/>
        </w:rPr>
      </w:pPr>
      <w:r w:rsidRPr="00BD69C4">
        <w:rPr>
          <w:i/>
          <w:iCs/>
          <w:lang w:val="es-ES_tradnl"/>
        </w:rPr>
        <w:t>f)</w:t>
      </w:r>
      <w:r w:rsidRPr="00BD69C4">
        <w:rPr>
          <w:lang w:val="es-ES_tradnl"/>
        </w:rPr>
        <w:tab/>
        <w:t>que, como resultado de la introducción del acceso en línea gratuito a las Recomendaciones UIT-R, aprobado por el Consejo en 2009,</w:t>
      </w:r>
      <w:r w:rsidRPr="00BD69C4">
        <w:rPr>
          <w:rFonts w:eastAsia="SimSun" w:cs="Arial"/>
          <w:sz w:val="22"/>
          <w:szCs w:val="22"/>
          <w:lang w:val="es-ES_tradnl" w:eastAsia="zh-CN"/>
        </w:rPr>
        <w:t xml:space="preserve"> </w:t>
      </w:r>
      <w:r w:rsidRPr="00BD69C4">
        <w:rPr>
          <w:lang w:val="es-ES_tradnl"/>
        </w:rPr>
        <w:t>el número de descargas de esas Recomendaciones prácticamente se triplicó entre 2008 y 2010, aumentando así los conocimientos y participación de expertos en radiocomunicaciones en los trabajos realizados en el UIT-R,</w:t>
      </w:r>
    </w:p>
    <w:p w:rsidR="00BD69C4" w:rsidRPr="00BD69C4" w:rsidRDefault="00BD69C4" w:rsidP="00BD69C4">
      <w:pPr>
        <w:pStyle w:val="Call"/>
        <w:rPr>
          <w:lang w:val="es-ES_tradnl"/>
        </w:rPr>
      </w:pPr>
      <w:r w:rsidRPr="00BD69C4">
        <w:rPr>
          <w:lang w:val="es-ES_tradnl"/>
        </w:rPr>
        <w:t>reconociendo además</w:t>
      </w:r>
    </w:p>
    <w:p w:rsidR="00BD69C4" w:rsidRPr="00BD69C4" w:rsidRDefault="00BD69C4" w:rsidP="00BD69C4">
      <w:pPr>
        <w:rPr>
          <w:lang w:val="es-ES_tradnl"/>
        </w:rPr>
      </w:pPr>
      <w:r w:rsidRPr="00BD69C4">
        <w:rPr>
          <w:i/>
          <w:iCs/>
          <w:lang w:val="es-ES_tradnl"/>
        </w:rPr>
        <w:t>a)</w:t>
      </w:r>
      <w:r w:rsidRPr="00BD69C4">
        <w:rPr>
          <w:lang w:val="es-ES_tradnl"/>
        </w:rPr>
        <w:tab/>
        <w:t>la tendencia general al acceso en línea gratuito a las normas relacionadas con las TIC;</w:t>
      </w:r>
    </w:p>
    <w:p w:rsidR="00BD69C4" w:rsidRPr="00BD69C4" w:rsidRDefault="00BD69C4" w:rsidP="00BD69C4">
      <w:pPr>
        <w:rPr>
          <w:lang w:val="es-ES_tradnl"/>
        </w:rPr>
      </w:pPr>
      <w:r w:rsidRPr="00BD69C4">
        <w:rPr>
          <w:i/>
          <w:iCs/>
          <w:lang w:val="es-ES_tradnl"/>
        </w:rPr>
        <w:t>b)</w:t>
      </w:r>
      <w:r w:rsidRPr="00BD69C4">
        <w:rPr>
          <w:lang w:val="es-ES_tradnl"/>
        </w:rPr>
        <w:tab/>
        <w:t>la necesidad estratégica de mejorar la visibilidad y accesibilidad de los resultados de la labor de la UIT;</w:t>
      </w:r>
    </w:p>
    <w:p w:rsidR="00BD69C4" w:rsidRPr="00BD69C4" w:rsidRDefault="00BD69C4" w:rsidP="00BD69C4">
      <w:pPr>
        <w:rPr>
          <w:lang w:val="es-ES_tradnl"/>
        </w:rPr>
      </w:pPr>
      <w:r w:rsidRPr="00BD69C4">
        <w:rPr>
          <w:i/>
          <w:iCs/>
          <w:lang w:val="es-ES_tradnl"/>
        </w:rPr>
        <w:t>c)</w:t>
      </w:r>
      <w:r w:rsidRPr="00BD69C4">
        <w:rPr>
          <w:lang w:val="es-ES_tradnl"/>
        </w:rPr>
        <w:tab/>
        <w:t>que se han cumplido los dos objetivos fijados para los periodos de prueba y las políticas de acceso en línea gratuito a las publicaciones de la UIT, a saber: la UIT ha logrado llegar a un mayor número de personas, y las consecuencias financieras sobre los ingresos de la UIT fueron menos importantes de lo previsto;</w:t>
      </w:r>
    </w:p>
    <w:p w:rsidR="00BD69C4" w:rsidRDefault="00BD69C4">
      <w:pPr>
        <w:tabs>
          <w:tab w:val="clear" w:pos="567"/>
          <w:tab w:val="clear" w:pos="1134"/>
          <w:tab w:val="clear" w:pos="1701"/>
          <w:tab w:val="clear" w:pos="2268"/>
          <w:tab w:val="clear" w:pos="2835"/>
        </w:tabs>
        <w:overflowPunct/>
        <w:autoSpaceDE/>
        <w:autoSpaceDN/>
        <w:adjustRightInd/>
        <w:spacing w:before="0"/>
        <w:jc w:val="left"/>
        <w:textAlignment w:val="auto"/>
        <w:rPr>
          <w:i/>
          <w:iCs/>
          <w:lang w:val="es-ES_tradnl"/>
        </w:rPr>
      </w:pPr>
      <w:r>
        <w:rPr>
          <w:i/>
          <w:iCs/>
          <w:lang w:val="es-ES_tradnl"/>
        </w:rPr>
        <w:br w:type="page"/>
      </w:r>
    </w:p>
    <w:p w:rsidR="00BD69C4" w:rsidRPr="00BD69C4" w:rsidRDefault="00BD69C4" w:rsidP="00BD69C4">
      <w:pPr>
        <w:rPr>
          <w:lang w:val="es-ES_tradnl"/>
        </w:rPr>
      </w:pPr>
      <w:r w:rsidRPr="00BD69C4">
        <w:rPr>
          <w:i/>
          <w:iCs/>
          <w:lang w:val="es-ES_tradnl"/>
        </w:rPr>
        <w:lastRenderedPageBreak/>
        <w:t>d)</w:t>
      </w:r>
      <w:r w:rsidRPr="00BD69C4">
        <w:rPr>
          <w:lang w:val="es-ES_tradnl"/>
        </w:rPr>
        <w:tab/>
        <w:t>que dar acceso en línea gratuito a las publicaciones de la UIT facilita la participación de los países en desarrollo en los trabajos realizados en la Unión, así como la divulgación de los mismos;</w:t>
      </w:r>
    </w:p>
    <w:p w:rsidR="00BD69C4" w:rsidRPr="00BD69C4" w:rsidRDefault="00BD69C4" w:rsidP="00BD69C4">
      <w:pPr>
        <w:rPr>
          <w:lang w:val="es-ES_tradnl"/>
        </w:rPr>
      </w:pPr>
      <w:r w:rsidRPr="00BD69C4">
        <w:rPr>
          <w:i/>
          <w:iCs/>
          <w:lang w:val="es-ES_tradnl"/>
        </w:rPr>
        <w:t>e)</w:t>
      </w:r>
      <w:r w:rsidRPr="00BD69C4">
        <w:rPr>
          <w:lang w:val="es-ES_tradnl"/>
        </w:rPr>
        <w:tab/>
        <w:t xml:space="preserve">que, en lo que respecta a los Instrumentos de la UIT destinados a convertirse en legislación nacional, los Estados Miembros tienen </w:t>
      </w:r>
      <w:r w:rsidRPr="00BD69C4">
        <w:rPr>
          <w:i/>
          <w:iCs/>
          <w:lang w:val="es-ES_tradnl"/>
        </w:rPr>
        <w:t>de facto</w:t>
      </w:r>
      <w:r w:rsidRPr="00BD69C4">
        <w:rPr>
          <w:lang w:val="es-ES_tradnl"/>
        </w:rPr>
        <w:t xml:space="preserve"> libertad para reproducir, traducir y publicar dichos textos en los sitios web gubernamentales oficiales, así como en el boletín oficial o publicaciones equivalentes, de conformidad con sus respectivas legislaciones nacionales,</w:t>
      </w:r>
    </w:p>
    <w:p w:rsidR="00BD69C4" w:rsidRPr="00BD69C4" w:rsidRDefault="00BD69C4" w:rsidP="00BD69C4">
      <w:pPr>
        <w:pStyle w:val="Call"/>
        <w:rPr>
          <w:lang w:val="es-ES_tradnl"/>
        </w:rPr>
      </w:pPr>
      <w:r w:rsidRPr="00BD69C4">
        <w:rPr>
          <w:lang w:val="es-ES_tradnl"/>
        </w:rPr>
        <w:t>observando</w:t>
      </w:r>
    </w:p>
    <w:p w:rsidR="00BD69C4" w:rsidRPr="00BD69C4" w:rsidRDefault="00BD69C4" w:rsidP="00BD69C4">
      <w:pPr>
        <w:rPr>
          <w:lang w:val="es-ES_tradnl"/>
        </w:rPr>
      </w:pPr>
      <w:r w:rsidRPr="00BD69C4">
        <w:rPr>
          <w:i/>
          <w:iCs/>
          <w:lang w:val="es-ES_tradnl"/>
        </w:rPr>
        <w:t>a)</w:t>
      </w:r>
      <w:r w:rsidRPr="00BD69C4">
        <w:rPr>
          <w:lang w:val="es-ES_tradnl"/>
        </w:rPr>
        <w:tab/>
        <w:t>que una mayor participación en las actividades de la UIT constituye un paso fundamental para la mejora de la capacitación y el desarrollo del potencial de las tecnologías de la información y la comunicación en los países en desarrollo, lo que redundará en la reducción de la brecha digital;</w:t>
      </w:r>
    </w:p>
    <w:p w:rsidR="00BD69C4" w:rsidRPr="00BD69C4" w:rsidRDefault="00BD69C4" w:rsidP="00BD69C4">
      <w:pPr>
        <w:rPr>
          <w:lang w:val="es-ES_tradnl"/>
        </w:rPr>
      </w:pPr>
      <w:r w:rsidRPr="00BD69C4">
        <w:rPr>
          <w:i/>
          <w:iCs/>
          <w:lang w:val="es-ES_tradnl"/>
        </w:rPr>
        <w:t>b)</w:t>
      </w:r>
      <w:r w:rsidRPr="00BD69C4">
        <w:rPr>
          <w:i/>
          <w:iCs/>
          <w:lang w:val="es-ES_tradnl"/>
        </w:rPr>
        <w:tab/>
      </w:r>
      <w:r w:rsidRPr="00BD69C4">
        <w:rPr>
          <w:lang w:val="es-ES_tradnl"/>
        </w:rPr>
        <w:t>que, a fin de aumentar, mejorar y facilitar la participación de los Estados Miembros y Miembros de Sector de los países en desarrollo en las actividades de la UIT, éstos tienen que ser capaces de interpretar y aplicar las publicaciones técnicas de la UIT, los textos fundamentales de la Unión y los instrumentos de la Unión;</w:t>
      </w:r>
    </w:p>
    <w:p w:rsidR="00BD69C4" w:rsidRPr="00BD69C4" w:rsidRDefault="00BD69C4" w:rsidP="00BD69C4">
      <w:pPr>
        <w:rPr>
          <w:lang w:val="es-ES_tradnl"/>
        </w:rPr>
      </w:pPr>
      <w:r w:rsidRPr="00BD69C4">
        <w:rPr>
          <w:i/>
          <w:iCs/>
          <w:lang w:val="es-ES_tradnl"/>
        </w:rPr>
        <w:t>c)</w:t>
      </w:r>
      <w:r w:rsidRPr="00BD69C4">
        <w:rPr>
          <w:lang w:val="es-ES_tradnl"/>
        </w:rPr>
        <w:tab/>
        <w:t>que una manera eficaz de garantizar que los países en desarrollo tengan acceso a las publicaciones de la UIT es dar acceso en línea gratuitamente a las mismas,</w:t>
      </w:r>
    </w:p>
    <w:p w:rsidR="00BD69C4" w:rsidRPr="00BD69C4" w:rsidRDefault="00BD69C4" w:rsidP="00BD69C4">
      <w:pPr>
        <w:pStyle w:val="Call"/>
        <w:spacing w:before="180"/>
        <w:rPr>
          <w:lang w:val="es-ES_tradnl"/>
        </w:rPr>
      </w:pPr>
      <w:r w:rsidRPr="00BD69C4">
        <w:rPr>
          <w:lang w:val="es-ES_tradnl"/>
        </w:rPr>
        <w:t>observando además</w:t>
      </w:r>
    </w:p>
    <w:p w:rsidR="00BD69C4" w:rsidRPr="00BD69C4" w:rsidRDefault="00BD69C4" w:rsidP="00BD69C4">
      <w:pPr>
        <w:rPr>
          <w:lang w:val="es-ES_tradnl"/>
        </w:rPr>
      </w:pPr>
      <w:r w:rsidRPr="00BD69C4">
        <w:rPr>
          <w:lang w:val="es-ES_tradnl"/>
        </w:rPr>
        <w:t>que, al facilitar el acceso en línea gratuito a las publicaciones de la UIT, se reducirá la demanda de copias impresas de esos documentos, lo cual responde tanto a la tendencia actual de la UIT de organizar reuniones sin hacer uso del papel como al objetivo general de las Naciones Unidas de reducir la utilización de papel y las emisiones de gases de efecto invernadero (GEI),</w:t>
      </w:r>
    </w:p>
    <w:p w:rsidR="00894A79" w:rsidRDefault="00894A79">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D69C4" w:rsidRDefault="00BD69C4" w:rsidP="00BD69C4">
      <w:pPr>
        <w:pStyle w:val="Call"/>
        <w:rPr>
          <w:lang w:val="es-ES_tradnl"/>
        </w:rPr>
      </w:pPr>
      <w:r w:rsidRPr="00BD69C4">
        <w:rPr>
          <w:lang w:val="es-ES_tradnl"/>
        </w:rPr>
        <w:lastRenderedPageBreak/>
        <w:t>decide</w:t>
      </w:r>
    </w:p>
    <w:p w:rsidR="00BD69C4" w:rsidRPr="00BD69C4" w:rsidRDefault="00BD69C4" w:rsidP="00022D64">
      <w:pPr>
        <w:rPr>
          <w:lang w:val="es-ES_tradnl"/>
        </w:rPr>
      </w:pPr>
      <w:r w:rsidRPr="00BD69C4">
        <w:rPr>
          <w:lang w:val="es-ES_tradnl"/>
        </w:rPr>
        <w:t>1</w:t>
      </w:r>
      <w:r w:rsidRPr="00BD69C4">
        <w:rPr>
          <w:lang w:val="es-ES_tradnl"/>
        </w:rPr>
        <w:tab/>
        <w:t>dar al público en general acceso en línea gratuito de manera permanente a las Recomendaciones e Informes del UIT</w:t>
      </w:r>
      <w:r w:rsidRPr="00BD69C4">
        <w:rPr>
          <w:lang w:val="es-ES_tradnl"/>
        </w:rPr>
        <w:noBreakHyphen/>
        <w:t>R, el UIT-T y el UIT</w:t>
      </w:r>
      <w:r w:rsidR="00022D64">
        <w:rPr>
          <w:lang w:val="es-ES_tradnl"/>
        </w:rPr>
        <w:noBreakHyphen/>
      </w:r>
      <w:r w:rsidRPr="00BD69C4">
        <w:rPr>
          <w:lang w:val="es-ES_tradnl"/>
        </w:rPr>
        <w:t>D, los Manuales del UIT-R sobre gestión del espectro de radiofrecuencias</w:t>
      </w:r>
      <w:r w:rsidRPr="00BD69C4">
        <w:rPr>
          <w:rStyle w:val="FootnoteReference"/>
          <w:lang w:val="es-ES_tradnl"/>
        </w:rPr>
        <w:footnoteReference w:customMarkFollows="1" w:id="4"/>
        <w:t>2</w:t>
      </w:r>
      <w:r w:rsidRPr="00BD69C4">
        <w:rPr>
          <w:lang w:val="es-ES_tradnl"/>
        </w:rPr>
        <w:t>, las publicaciones de la UIT relativas a la utilización de las telecomunicaciones/TIC para la preparación ante catástrofes, la alerta temprana, las operaciones de salvamento, mitigación, socorro y respuesta en caso de catástrofe, el Reglamento de las Telecomunicaciones Internacionales, el Reglamento de Radiocomunicaciones, las Reglas de Procedimiento, los textos fundamentales de la Unión (Constitución, Convenio, Reglamento General de las conferencias, asambleas y otras reuniones de la Unión, Decisiones, Resoluciones y Recomendaciones), las Actas Finales de las Conferencias de Plenipotenciarios, los Informes Finales de las CMDT, las Resoluciones y Acuerdos del Consejo de la UIT, las Actas Finales de las Conferencias Mundiales y Regionales de Radiocomunicaciones, así como las Actas Finales de las Conferencias Mundiales de Telecomunicaciones Internacionales;</w:t>
      </w:r>
    </w:p>
    <w:p w:rsidR="00BD69C4" w:rsidRPr="00BD69C4" w:rsidRDefault="00BD69C4" w:rsidP="00BD69C4">
      <w:pPr>
        <w:rPr>
          <w:lang w:val="es-ES_tradnl"/>
        </w:rPr>
      </w:pPr>
      <w:r w:rsidRPr="00BD69C4">
        <w:rPr>
          <w:lang w:val="es-ES_tradnl"/>
        </w:rPr>
        <w:t>2</w:t>
      </w:r>
      <w:r w:rsidRPr="00BD69C4">
        <w:rPr>
          <w:lang w:val="es-ES_tradnl"/>
        </w:rPr>
        <w:tab/>
        <w:t xml:space="preserve">que la demanda de copias impresas de todas las publicaciones indicadas en el </w:t>
      </w:r>
      <w:r w:rsidRPr="00BD69C4">
        <w:rPr>
          <w:i/>
          <w:iCs/>
          <w:lang w:val="es-ES_tradnl"/>
        </w:rPr>
        <w:t>decide</w:t>
      </w:r>
      <w:r w:rsidRPr="00BD69C4">
        <w:rPr>
          <w:lang w:val="es-ES_tradnl"/>
        </w:rPr>
        <w:t xml:space="preserve"> 1 anterior siga facturándose mediante una política de precios dual, en virtud de la cual los Estados Miembros, los Miembros de Sector y los Asociados abonarán el precio basado en la recuperación de costes, mientras que para todos los demás, es decir, los no miembros, se fijará un precio "de mercado"</w:t>
      </w:r>
      <w:r w:rsidRPr="00BD69C4">
        <w:rPr>
          <w:rStyle w:val="FootnoteReference"/>
          <w:lang w:val="es-ES_tradnl"/>
        </w:rPr>
        <w:footnoteReference w:customMarkFollows="1" w:id="5"/>
        <w:t>3</w:t>
      </w:r>
      <w:r w:rsidRPr="00BD69C4">
        <w:rPr>
          <w:lang w:val="es-ES_tradnl"/>
        </w:rPr>
        <w:t>,</w:t>
      </w:r>
    </w:p>
    <w:p w:rsidR="00894A79" w:rsidRDefault="00894A79">
      <w:pPr>
        <w:tabs>
          <w:tab w:val="clear" w:pos="567"/>
          <w:tab w:val="clear" w:pos="1134"/>
          <w:tab w:val="clear" w:pos="1701"/>
          <w:tab w:val="clear" w:pos="2268"/>
          <w:tab w:val="clear" w:pos="2835"/>
        </w:tabs>
        <w:overflowPunct/>
        <w:autoSpaceDE/>
        <w:autoSpaceDN/>
        <w:adjustRightInd/>
        <w:spacing w:before="0"/>
        <w:jc w:val="left"/>
        <w:textAlignment w:val="auto"/>
        <w:rPr>
          <w:i/>
          <w:lang w:val="es-ES_tradnl"/>
        </w:rPr>
      </w:pPr>
      <w:r>
        <w:rPr>
          <w:lang w:val="es-ES_tradnl"/>
        </w:rPr>
        <w:br w:type="page"/>
      </w:r>
    </w:p>
    <w:p w:rsidR="00BD69C4" w:rsidRPr="00BD69C4" w:rsidRDefault="00BD69C4" w:rsidP="00BD69C4">
      <w:pPr>
        <w:pStyle w:val="Call"/>
        <w:rPr>
          <w:lang w:val="es-ES_tradnl"/>
        </w:rPr>
      </w:pPr>
      <w:r w:rsidRPr="00BD69C4">
        <w:rPr>
          <w:lang w:val="es-ES_tradnl"/>
        </w:rPr>
        <w:lastRenderedPageBreak/>
        <w:t>encarga al Secretario General</w:t>
      </w:r>
    </w:p>
    <w:p w:rsidR="00BD69C4" w:rsidRPr="00BD69C4" w:rsidRDefault="00BD69C4" w:rsidP="00BD69C4">
      <w:pPr>
        <w:rPr>
          <w:lang w:val="es-ES_tradnl"/>
        </w:rPr>
      </w:pPr>
      <w:r w:rsidRPr="00BD69C4">
        <w:rPr>
          <w:lang w:val="es-ES_tradnl"/>
        </w:rPr>
        <w:t>que prepare un Informe de carácter permanente sobre la venta y las descargas gratu</w:t>
      </w:r>
      <w:r w:rsidR="00022D64">
        <w:rPr>
          <w:lang w:val="es-ES_tradnl"/>
        </w:rPr>
        <w:t xml:space="preserve">itas de las publicaciones de la </w:t>
      </w:r>
      <w:r w:rsidRPr="00BD69C4">
        <w:rPr>
          <w:lang w:val="es-ES_tradnl"/>
        </w:rPr>
        <w:t>UIT, los programas informáticos y las bases de datos, y que presente ese Informe anualmente al Consejo, detallando los siguientes puntos:</w:t>
      </w:r>
    </w:p>
    <w:p w:rsidR="00BD69C4" w:rsidRPr="00BD69C4" w:rsidRDefault="00BD69C4" w:rsidP="00BD69C4">
      <w:pPr>
        <w:pStyle w:val="enumlev1"/>
        <w:rPr>
          <w:lang w:val="es-ES_tradnl"/>
        </w:rPr>
      </w:pPr>
      <w:r w:rsidRPr="00BD69C4">
        <w:rPr>
          <w:lang w:val="es-ES_tradnl"/>
        </w:rPr>
        <w:t>–</w:t>
      </w:r>
      <w:r w:rsidRPr="00BD69C4">
        <w:rPr>
          <w:lang w:val="es-ES_tradnl"/>
        </w:rPr>
        <w:tab/>
        <w:t>ventas totales y descargas gratuitas anuales en los últimos cinco años a partir de 2009;</w:t>
      </w:r>
    </w:p>
    <w:p w:rsidR="00BD69C4" w:rsidRPr="00BD69C4" w:rsidRDefault="00BD69C4" w:rsidP="00BD69C4">
      <w:pPr>
        <w:pStyle w:val="enumlev1"/>
        <w:rPr>
          <w:lang w:val="es-ES_tradnl"/>
        </w:rPr>
      </w:pPr>
      <w:r w:rsidRPr="00BD69C4">
        <w:rPr>
          <w:lang w:val="es-ES_tradnl"/>
        </w:rPr>
        <w:t>–</w:t>
      </w:r>
      <w:r w:rsidRPr="00BD69C4">
        <w:rPr>
          <w:lang w:val="es-ES_tradnl"/>
        </w:rPr>
        <w:tab/>
        <w:t>comparación entre las ventas de copias impresas y descargas gratuitas de copias electrónicas, por año;</w:t>
      </w:r>
    </w:p>
    <w:p w:rsidR="00BD69C4" w:rsidRPr="00BD69C4" w:rsidRDefault="00BD69C4" w:rsidP="00BD69C4">
      <w:pPr>
        <w:pStyle w:val="enumlev1"/>
        <w:rPr>
          <w:lang w:val="es-ES_tradnl"/>
        </w:rPr>
      </w:pPr>
      <w:r w:rsidRPr="00BD69C4">
        <w:rPr>
          <w:lang w:val="es-ES_tradnl"/>
        </w:rPr>
        <w:t>–</w:t>
      </w:r>
      <w:r w:rsidRPr="00BD69C4">
        <w:rPr>
          <w:lang w:val="es-ES_tradnl"/>
        </w:rPr>
        <w:tab/>
        <w:t>ventas y descargas gratuitas por país y categoría de Miembros,</w:t>
      </w:r>
    </w:p>
    <w:p w:rsidR="00BD69C4" w:rsidRPr="00BD69C4" w:rsidRDefault="00BD69C4" w:rsidP="00BD69C4">
      <w:pPr>
        <w:pStyle w:val="Call"/>
        <w:rPr>
          <w:lang w:val="es-ES_tradnl"/>
        </w:rPr>
      </w:pPr>
      <w:r w:rsidRPr="00BD69C4">
        <w:rPr>
          <w:lang w:val="es-ES_tradnl"/>
        </w:rPr>
        <w:t>encarga al Consejo</w:t>
      </w:r>
    </w:p>
    <w:p w:rsidR="00BD69C4" w:rsidRPr="00BD69C4" w:rsidRDefault="00BD69C4" w:rsidP="00BD69C4">
      <w:pPr>
        <w:rPr>
          <w:lang w:val="es-ES_tradnl" w:bidi="he-IL"/>
        </w:rPr>
      </w:pPr>
      <w:r w:rsidRPr="00BD69C4">
        <w:rPr>
          <w:lang w:val="es-ES_tradnl" w:bidi="he-IL"/>
        </w:rPr>
        <w:t>que examine el Informe del Secretario General y adopte políticas para seguir mejorando el acceso a las publicaciones, programas informáticos y bases de datos de la UIT.</w:t>
      </w:r>
    </w:p>
    <w:p w:rsidR="00BD69C4" w:rsidRPr="00BD69C4" w:rsidRDefault="00BD69C4" w:rsidP="00BD69C4">
      <w:pPr>
        <w:rPr>
          <w:lang w:val="es-ES_tradnl"/>
        </w:rPr>
      </w:pPr>
    </w:p>
    <w:p w:rsidR="009821F0" w:rsidRPr="00EE7785" w:rsidRDefault="009821F0" w:rsidP="00754E92">
      <w:pPr>
        <w:pStyle w:val="refbasdepage"/>
        <w:rPr>
          <w:lang w:val="es-ES_tradnl"/>
        </w:rPr>
      </w:pPr>
      <w:r w:rsidRPr="00EE7785">
        <w:rPr>
          <w:lang w:val="es-ES_tradnl"/>
        </w:rPr>
        <w:t>(Guadalajara, 2010) – (Rev. </w:t>
      </w:r>
      <w:proofErr w:type="spellStart"/>
      <w:r w:rsidRPr="00EE7785">
        <w:rPr>
          <w:lang w:val="es-ES_tradnl"/>
        </w:rPr>
        <w:t>Busán</w:t>
      </w:r>
      <w:proofErr w:type="spellEnd"/>
      <w:r w:rsidRPr="00EE7785">
        <w:rPr>
          <w:lang w:val="es-ES_tradnl"/>
        </w:rPr>
        <w:t>, 2014)</w:t>
      </w:r>
    </w:p>
    <w:p w:rsidR="00BD69C4" w:rsidRPr="00EE7785" w:rsidRDefault="00BD69C4" w:rsidP="00BD69C4">
      <w:pPr>
        <w:rPr>
          <w:lang w:val="es-ES_tradnl"/>
        </w:rPr>
      </w:pPr>
    </w:p>
    <w:p w:rsidR="001F57BC" w:rsidRPr="00EE7785" w:rsidRDefault="001F57BC" w:rsidP="007656AE">
      <w:pPr>
        <w:rPr>
          <w:lang w:val="es-ES_tradnl"/>
        </w:rPr>
      </w:pPr>
    </w:p>
    <w:p w:rsidR="00BD69C4" w:rsidRPr="00EE7785" w:rsidRDefault="00BD69C4" w:rsidP="007656AE">
      <w:pPr>
        <w:rPr>
          <w:lang w:val="es-ES_tradnl"/>
        </w:rPr>
      </w:pPr>
    </w:p>
    <w:p w:rsidR="00BD69C4" w:rsidRPr="00EE7785" w:rsidRDefault="00BD69C4" w:rsidP="007656AE">
      <w:pPr>
        <w:rPr>
          <w:lang w:val="es-ES_tradnl"/>
        </w:rPr>
      </w:pPr>
    </w:p>
    <w:p w:rsidR="00BD69C4" w:rsidRPr="00EE7785" w:rsidRDefault="00BD69C4" w:rsidP="007656AE">
      <w:pPr>
        <w:rPr>
          <w:lang w:val="es-ES_tradnl"/>
        </w:rPr>
      </w:pPr>
    </w:p>
    <w:p w:rsidR="00BD69C4" w:rsidRPr="00EE7785" w:rsidRDefault="00BD69C4" w:rsidP="007656AE">
      <w:pPr>
        <w:rPr>
          <w:lang w:val="es-ES_tradnl"/>
        </w:rPr>
      </w:pPr>
    </w:p>
    <w:p w:rsidR="00670DDA" w:rsidRPr="00EE7785" w:rsidRDefault="00670DDA" w:rsidP="007656AE">
      <w:pPr>
        <w:rPr>
          <w:lang w:val="es-ES_tradnl"/>
        </w:rPr>
      </w:pPr>
    </w:p>
    <w:p w:rsidR="009821F0" w:rsidRPr="00EE7785" w:rsidRDefault="009821F0" w:rsidP="007656AE">
      <w:pPr>
        <w:rPr>
          <w:lang w:val="es-ES_tradnl"/>
        </w:rPr>
      </w:pPr>
    </w:p>
    <w:p w:rsidR="009821F0" w:rsidRPr="00EE7785" w:rsidRDefault="009821F0" w:rsidP="007656AE">
      <w:pPr>
        <w:rPr>
          <w:lang w:val="es-ES_tradnl"/>
        </w:rPr>
      </w:pPr>
    </w:p>
    <w:p w:rsidR="009821F0" w:rsidRPr="00EE7785" w:rsidRDefault="009821F0" w:rsidP="007656AE">
      <w:pPr>
        <w:rPr>
          <w:lang w:val="es-ES_tradnl"/>
        </w:rPr>
      </w:pPr>
    </w:p>
    <w:p w:rsidR="009821F0" w:rsidRPr="00EE7785" w:rsidRDefault="009821F0" w:rsidP="007656AE">
      <w:pPr>
        <w:rPr>
          <w:lang w:val="es-ES_tradnl"/>
        </w:rPr>
      </w:pPr>
    </w:p>
    <w:p w:rsidR="007656AE" w:rsidRPr="00EE7785" w:rsidRDefault="007656AE" w:rsidP="007656AE">
      <w:pPr>
        <w:rPr>
          <w:lang w:val="es-ES_tradnl"/>
        </w:rPr>
      </w:pPr>
    </w:p>
    <w:p w:rsidR="00BD69C4" w:rsidRPr="00EE7785" w:rsidRDefault="00BD69C4" w:rsidP="00BD69C4">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EE7785">
        <w:rPr>
          <w:lang w:val="es-ES_tradnl"/>
        </w:rPr>
        <w:br w:type="page"/>
      </w:r>
    </w:p>
    <w:p w:rsidR="00BD69C4" w:rsidRPr="00BD69C4" w:rsidRDefault="00BD69C4" w:rsidP="00BD69C4">
      <w:pPr>
        <w:pStyle w:val="DecNo"/>
        <w:spacing w:before="360"/>
        <w:rPr>
          <w:lang w:val="es-ES_tradnl"/>
        </w:rPr>
      </w:pPr>
      <w:r w:rsidRPr="00BD69C4">
        <w:rPr>
          <w:lang w:val="es-ES_tradnl"/>
        </w:rPr>
        <w:lastRenderedPageBreak/>
        <w:t xml:space="preserve">Decisión </w:t>
      </w:r>
      <w:r w:rsidRPr="00894A79">
        <w:rPr>
          <w:rStyle w:val="href"/>
          <w:lang w:val="es-ES_tradnl"/>
        </w:rPr>
        <w:t>13</w:t>
      </w:r>
      <w:r w:rsidRPr="00BD69C4">
        <w:rPr>
          <w:lang w:val="es-ES_tradnl"/>
        </w:rPr>
        <w:t xml:space="preserve"> (Busán, 2014)</w:t>
      </w:r>
    </w:p>
    <w:p w:rsidR="00BD69C4" w:rsidRPr="00BD69C4" w:rsidRDefault="00BD69C4" w:rsidP="00BD69C4">
      <w:pPr>
        <w:pStyle w:val="Dectitle"/>
        <w:rPr>
          <w:lang w:val="es-ES_tradnl"/>
        </w:rPr>
      </w:pPr>
      <w:r w:rsidRPr="00BD69C4">
        <w:rPr>
          <w:lang w:val="es-ES_tradnl"/>
        </w:rPr>
        <w:t>Mecanismo de supervisión de los programas</w:t>
      </w:r>
      <w:r w:rsidRPr="00BD69C4">
        <w:rPr>
          <w:lang w:val="es-ES_tradnl"/>
        </w:rPr>
        <w:br/>
        <w:t>y proyectos de la UIT</w:t>
      </w:r>
    </w:p>
    <w:p w:rsidR="00BD69C4" w:rsidRPr="00BD69C4" w:rsidRDefault="00BD69C4" w:rsidP="00BD69C4">
      <w:pPr>
        <w:spacing w:before="240"/>
        <w:rPr>
          <w:szCs w:val="24"/>
          <w:lang w:val="es-ES_tradnl"/>
        </w:rPr>
      </w:pPr>
      <w:r w:rsidRPr="00BD69C4">
        <w:rPr>
          <w:lang w:val="es-ES_tradnl"/>
        </w:rPr>
        <w:t>La Conferencia de Plenipotenciarios de la Unión Internacional de Telecomunicaciones</w:t>
      </w:r>
      <w:r w:rsidRPr="00BD69C4">
        <w:rPr>
          <w:szCs w:val="24"/>
          <w:lang w:val="es-ES_tradnl"/>
        </w:rPr>
        <w:t xml:space="preserve"> (</w:t>
      </w:r>
      <w:proofErr w:type="spellStart"/>
      <w:r w:rsidRPr="00BD69C4">
        <w:rPr>
          <w:szCs w:val="24"/>
          <w:lang w:val="es-ES_tradnl"/>
        </w:rPr>
        <w:t>Busán</w:t>
      </w:r>
      <w:proofErr w:type="spellEnd"/>
      <w:r w:rsidRPr="00BD69C4">
        <w:rPr>
          <w:szCs w:val="24"/>
          <w:lang w:val="es-ES_tradnl"/>
        </w:rPr>
        <w:t>, 2014),</w:t>
      </w:r>
    </w:p>
    <w:p w:rsidR="00BD69C4" w:rsidRPr="00BD69C4" w:rsidRDefault="00BD69C4" w:rsidP="00BD69C4">
      <w:pPr>
        <w:pStyle w:val="Call"/>
        <w:spacing w:before="80"/>
        <w:rPr>
          <w:lang w:val="es-ES_tradnl"/>
        </w:rPr>
      </w:pPr>
      <w:r w:rsidRPr="00BD69C4">
        <w:rPr>
          <w:lang w:val="es-ES_tradnl"/>
        </w:rPr>
        <w:t>teniendo presente</w:t>
      </w:r>
    </w:p>
    <w:p w:rsidR="00BD69C4" w:rsidRPr="00BD69C4" w:rsidRDefault="00BD69C4" w:rsidP="00BD69C4">
      <w:pPr>
        <w:spacing w:before="80"/>
        <w:rPr>
          <w:lang w:val="es-ES_tradnl"/>
        </w:rPr>
      </w:pPr>
      <w:r w:rsidRPr="00BD69C4">
        <w:rPr>
          <w:lang w:val="es-ES_tradnl"/>
        </w:rPr>
        <w:t>que la Conferencia de Plenipotenciarios establece el Plan Estratégico para la Unión como base para el presupuesto de la Unión y fija los correspondientes límites financieros,</w:t>
      </w:r>
    </w:p>
    <w:p w:rsidR="00BD69C4" w:rsidRPr="00BD69C4" w:rsidRDefault="00BD69C4" w:rsidP="00BD69C4">
      <w:pPr>
        <w:pStyle w:val="Call"/>
        <w:spacing w:before="80"/>
        <w:rPr>
          <w:szCs w:val="24"/>
          <w:lang w:val="es-ES_tradnl"/>
        </w:rPr>
      </w:pPr>
      <w:r w:rsidRPr="00BD69C4">
        <w:rPr>
          <w:lang w:val="es-ES_tradnl"/>
        </w:rPr>
        <w:t>reconociendo</w:t>
      </w:r>
    </w:p>
    <w:p w:rsidR="00BD69C4" w:rsidRPr="00BD69C4" w:rsidRDefault="00BD69C4" w:rsidP="00BD69C4">
      <w:pPr>
        <w:spacing w:before="80"/>
        <w:rPr>
          <w:lang w:val="es-ES_tradnl"/>
        </w:rPr>
      </w:pPr>
      <w:r w:rsidRPr="00BD69C4">
        <w:rPr>
          <w:i/>
          <w:iCs/>
          <w:lang w:val="es-ES_tradnl"/>
        </w:rPr>
        <w:t>a)</w:t>
      </w:r>
      <w:r w:rsidRPr="00BD69C4">
        <w:rPr>
          <w:lang w:val="es-ES_tradnl"/>
        </w:rPr>
        <w:tab/>
        <w:t>que el Consejo velará por la coordinación eficaz de las actividades de la Unión y ejercerá un control financiero efectivo sobre la Secretaría General y los tres Sectores;</w:t>
      </w:r>
    </w:p>
    <w:p w:rsidR="00BD69C4" w:rsidRPr="00BD69C4" w:rsidRDefault="00BD69C4" w:rsidP="00BD69C4">
      <w:pPr>
        <w:spacing w:before="80"/>
        <w:rPr>
          <w:szCs w:val="24"/>
          <w:lang w:val="es-ES_tradnl"/>
        </w:rPr>
      </w:pPr>
      <w:r w:rsidRPr="00BD69C4">
        <w:rPr>
          <w:i/>
          <w:iCs/>
          <w:szCs w:val="24"/>
          <w:lang w:val="es-ES_tradnl"/>
        </w:rPr>
        <w:t>b)</w:t>
      </w:r>
      <w:r w:rsidRPr="00BD69C4">
        <w:rPr>
          <w:szCs w:val="24"/>
          <w:lang w:val="es-ES_tradnl"/>
        </w:rPr>
        <w:tab/>
        <w:t>que es necesario garantizar la sostenibilidad financiera de la Unión,</w:t>
      </w:r>
    </w:p>
    <w:p w:rsidR="00BD69C4" w:rsidRPr="00BD69C4" w:rsidRDefault="00BD69C4" w:rsidP="00BD69C4">
      <w:pPr>
        <w:pStyle w:val="Call"/>
        <w:spacing w:before="80"/>
        <w:rPr>
          <w:szCs w:val="24"/>
          <w:lang w:val="es-ES_tradnl"/>
        </w:rPr>
      </w:pPr>
      <w:r w:rsidRPr="00BD69C4">
        <w:rPr>
          <w:lang w:val="es-ES_tradnl"/>
        </w:rPr>
        <w:t>decide</w:t>
      </w:r>
    </w:p>
    <w:p w:rsidR="00BD69C4" w:rsidRPr="00BD69C4" w:rsidRDefault="00BD69C4" w:rsidP="00BD69C4">
      <w:pPr>
        <w:spacing w:before="80"/>
        <w:rPr>
          <w:lang w:val="es-ES_tradnl"/>
        </w:rPr>
      </w:pPr>
      <w:r w:rsidRPr="00BD69C4">
        <w:rPr>
          <w:lang w:val="es-ES_tradnl"/>
        </w:rPr>
        <w:t>que se informe periódicamente al Consejo acerca de los programas y proyectos en curso de la UIT, incluidos los detalles en cuanto a objetivos, resultados, financiación y donantes, y ello a partir de la reunión de 2015 del Consejo,</w:t>
      </w:r>
    </w:p>
    <w:p w:rsidR="00BD69C4" w:rsidRPr="00BD69C4" w:rsidRDefault="00BD69C4" w:rsidP="00BD69C4">
      <w:pPr>
        <w:pStyle w:val="Call"/>
        <w:keepNext w:val="0"/>
        <w:keepLines w:val="0"/>
        <w:spacing w:before="80"/>
        <w:rPr>
          <w:szCs w:val="24"/>
          <w:lang w:val="es-ES_tradnl"/>
        </w:rPr>
      </w:pPr>
      <w:r w:rsidRPr="00BD69C4">
        <w:rPr>
          <w:lang w:val="es-ES_tradnl"/>
        </w:rPr>
        <w:t>encarga al Secretario General</w:t>
      </w:r>
    </w:p>
    <w:p w:rsidR="00BD69C4" w:rsidRPr="00BD69C4" w:rsidRDefault="00BD69C4" w:rsidP="00BD69C4">
      <w:pPr>
        <w:spacing w:before="80"/>
        <w:rPr>
          <w:lang w:val="es-ES_tradnl"/>
        </w:rPr>
      </w:pPr>
      <w:r w:rsidRPr="00BD69C4">
        <w:rPr>
          <w:lang w:val="es-ES_tradnl"/>
        </w:rPr>
        <w:t>1</w:t>
      </w:r>
      <w:r w:rsidRPr="00BD69C4">
        <w:rPr>
          <w:lang w:val="es-ES_tradnl"/>
        </w:rPr>
        <w:tab/>
        <w:t>que amplíe la actual base de datos en línea de proyectos del UIT-D con objeto de incluir a todos los Sectores de la UIT y a la Secretaría General para permitir un mejor seguimiento a lo largo de sus ciclos y, en particular, los objetivos alcanzados y análisis de los costos, y garantice a las partes interesadas un acceso abierto a dicha base de datos;</w:t>
      </w:r>
    </w:p>
    <w:p w:rsidR="00BD69C4" w:rsidRPr="00BD69C4" w:rsidRDefault="00BD69C4" w:rsidP="00BD69C4">
      <w:pPr>
        <w:spacing w:before="80"/>
        <w:rPr>
          <w:lang w:val="es-ES_tradnl"/>
        </w:rPr>
      </w:pPr>
      <w:r w:rsidRPr="00BD69C4">
        <w:rPr>
          <w:lang w:val="es-ES_tradnl"/>
        </w:rPr>
        <w:t>2</w:t>
      </w:r>
      <w:r w:rsidRPr="00BD69C4">
        <w:rPr>
          <w:lang w:val="es-ES_tradnl"/>
        </w:rPr>
        <w:tab/>
        <w:t>que examine la manera en que se podría compartir también la información sobre programas con los Miembros a fin de aumentar la transparencia y la sostenibilidad financiera de la Unión;</w:t>
      </w:r>
    </w:p>
    <w:p w:rsidR="00BD69C4" w:rsidRPr="00BD69C4" w:rsidRDefault="00BD69C4" w:rsidP="00BD69C4">
      <w:pPr>
        <w:spacing w:before="80"/>
        <w:rPr>
          <w:lang w:val="es-ES_tradnl"/>
        </w:rPr>
      </w:pPr>
      <w:r w:rsidRPr="00BD69C4">
        <w:rPr>
          <w:lang w:val="es-ES_tradnl"/>
        </w:rPr>
        <w:t>3</w:t>
      </w:r>
      <w:r w:rsidRPr="00BD69C4">
        <w:rPr>
          <w:lang w:val="es-ES_tradnl"/>
        </w:rPr>
        <w:tab/>
        <w:t>que indique claramente los costos de los programas y proyectos de la UIT en todos los informes pertinentes relativos al presupuesto.</w:t>
      </w:r>
    </w:p>
    <w:p w:rsidR="007656AE" w:rsidRPr="00EE7785" w:rsidRDefault="007656AE" w:rsidP="00754E92">
      <w:pPr>
        <w:pStyle w:val="refbasdepage"/>
        <w:rPr>
          <w:lang w:val="es-ES_tradnl"/>
        </w:rPr>
      </w:pPr>
      <w:r w:rsidRPr="00EE7785">
        <w:rPr>
          <w:lang w:val="es-ES_tradnl"/>
        </w:rPr>
        <w:t>(</w:t>
      </w:r>
      <w:proofErr w:type="spellStart"/>
      <w:r w:rsidRPr="00EE7785">
        <w:rPr>
          <w:lang w:val="es-ES_tradnl"/>
        </w:rPr>
        <w:t>Busán</w:t>
      </w:r>
      <w:proofErr w:type="spellEnd"/>
      <w:r w:rsidRPr="00EE7785">
        <w:rPr>
          <w:lang w:val="es-ES_tradnl"/>
        </w:rPr>
        <w:t>, 2014)</w:t>
      </w:r>
    </w:p>
    <w:p w:rsidR="00BD69C4" w:rsidRPr="00EE7785" w:rsidRDefault="00BD69C4" w:rsidP="00BD69C4">
      <w:pPr>
        <w:tabs>
          <w:tab w:val="clear" w:pos="567"/>
          <w:tab w:val="clear" w:pos="1134"/>
          <w:tab w:val="clear" w:pos="1701"/>
          <w:tab w:val="clear" w:pos="2268"/>
          <w:tab w:val="clear" w:pos="2835"/>
        </w:tabs>
        <w:overflowPunct/>
        <w:autoSpaceDE/>
        <w:autoSpaceDN/>
        <w:adjustRightInd/>
        <w:spacing w:before="0"/>
        <w:jc w:val="left"/>
        <w:textAlignment w:val="auto"/>
        <w:rPr>
          <w:caps/>
          <w:sz w:val="34"/>
          <w:lang w:val="es-ES_tradnl"/>
        </w:rPr>
      </w:pPr>
      <w:r w:rsidRPr="00EE7785">
        <w:rPr>
          <w:lang w:val="es-ES_tradnl"/>
        </w:rPr>
        <w:br w:type="page"/>
      </w:r>
    </w:p>
    <w:p w:rsidR="00BD69C4" w:rsidRPr="00BD69C4" w:rsidRDefault="00BD69C4" w:rsidP="00BD69C4">
      <w:pPr>
        <w:pStyle w:val="DecNo"/>
        <w:rPr>
          <w:lang w:val="es-ES_tradnl"/>
        </w:rPr>
      </w:pPr>
      <w:r w:rsidRPr="00BD69C4">
        <w:rPr>
          <w:lang w:val="es-ES_tradnl"/>
        </w:rPr>
        <w:lastRenderedPageBreak/>
        <w:t xml:space="preserve">Decisión </w:t>
      </w:r>
      <w:r w:rsidRPr="00894A79">
        <w:rPr>
          <w:rStyle w:val="href"/>
          <w:lang w:val="es-ES_tradnl"/>
        </w:rPr>
        <w:t>14</w:t>
      </w:r>
      <w:r w:rsidRPr="00BD69C4">
        <w:rPr>
          <w:lang w:val="es-ES_tradnl"/>
        </w:rPr>
        <w:t xml:space="preserve"> (Busán, 2014)</w:t>
      </w:r>
    </w:p>
    <w:p w:rsidR="00BD69C4" w:rsidRPr="00BD69C4" w:rsidRDefault="00BD69C4" w:rsidP="00831EB1">
      <w:pPr>
        <w:pStyle w:val="Dectitle"/>
        <w:rPr>
          <w:lang w:val="es-ES_tradnl"/>
        </w:rPr>
      </w:pPr>
      <w:r w:rsidRPr="00BD69C4">
        <w:rPr>
          <w:lang w:val="es-ES_tradnl"/>
        </w:rPr>
        <w:t>Utilización de hiperenlaces</w:t>
      </w:r>
      <w:r w:rsidR="00831EB1">
        <w:rPr>
          <w:lang w:val="es-ES_tradnl"/>
        </w:rPr>
        <w:t xml:space="preserve"> </w:t>
      </w:r>
      <w:r w:rsidRPr="00BD69C4">
        <w:rPr>
          <w:lang w:val="es-ES_tradnl"/>
        </w:rPr>
        <w:t>en los documentos</w:t>
      </w:r>
      <w:r w:rsidR="00831EB1">
        <w:rPr>
          <w:lang w:val="es-ES_tradnl"/>
        </w:rPr>
        <w:br/>
      </w:r>
      <w:r w:rsidRPr="00BD69C4">
        <w:rPr>
          <w:lang w:val="es-ES_tradnl"/>
        </w:rPr>
        <w:t>de la UIT</w:t>
      </w:r>
    </w:p>
    <w:p w:rsidR="00BD69C4" w:rsidRPr="00BD69C4" w:rsidRDefault="00BD69C4" w:rsidP="00BD69C4">
      <w:pPr>
        <w:pStyle w:val="Normalaftertitle"/>
        <w:rPr>
          <w:lang w:val="es-ES_tradnl"/>
        </w:rPr>
      </w:pPr>
      <w:r w:rsidRPr="00BD69C4">
        <w:rPr>
          <w:lang w:val="es-ES_tradnl"/>
        </w:rPr>
        <w:t>La Conferencia de Plenipotenciarios de la Unión Internacional de Telecomunicaciones (</w:t>
      </w:r>
      <w:proofErr w:type="spellStart"/>
      <w:r w:rsidRPr="00BD69C4">
        <w:rPr>
          <w:lang w:val="es-ES_tradnl"/>
        </w:rPr>
        <w:t>Busán</w:t>
      </w:r>
      <w:proofErr w:type="spellEnd"/>
      <w:r w:rsidRPr="00BD69C4">
        <w:rPr>
          <w:lang w:val="es-ES_tradnl"/>
        </w:rPr>
        <w:t>, 2014),</w:t>
      </w:r>
    </w:p>
    <w:p w:rsidR="00BD69C4" w:rsidRPr="00BD69C4" w:rsidRDefault="00BD69C4" w:rsidP="00BD69C4">
      <w:pPr>
        <w:pStyle w:val="Call"/>
        <w:rPr>
          <w:lang w:val="es-ES_tradnl" w:eastAsia="zh-CN"/>
        </w:rPr>
      </w:pPr>
      <w:r w:rsidRPr="00BD69C4">
        <w:rPr>
          <w:lang w:val="es-ES_tradnl" w:eastAsia="zh-CN"/>
        </w:rPr>
        <w:t>considerando</w:t>
      </w:r>
    </w:p>
    <w:p w:rsidR="00BD69C4" w:rsidRPr="00BD69C4" w:rsidRDefault="00BD69C4" w:rsidP="00BD69C4">
      <w:pPr>
        <w:rPr>
          <w:lang w:val="es-ES_tradnl"/>
        </w:rPr>
      </w:pPr>
      <w:r w:rsidRPr="00BD69C4">
        <w:rPr>
          <w:lang w:val="es-ES_tradnl"/>
        </w:rPr>
        <w:t>el Documento C09/36, que contiene un Informe del Secretario General sobre la utilización de hiperenlaces en los documentos de la UIT,</w:t>
      </w:r>
    </w:p>
    <w:p w:rsidR="00BD69C4" w:rsidRPr="001846AE" w:rsidRDefault="00BD69C4" w:rsidP="00BD69C4">
      <w:pPr>
        <w:pStyle w:val="Call"/>
        <w:rPr>
          <w:lang w:val="es-ES_tradnl"/>
        </w:rPr>
      </w:pPr>
      <w:r w:rsidRPr="001846AE">
        <w:rPr>
          <w:lang w:val="es-ES_tradnl"/>
        </w:rPr>
        <w:t>teniendo en cuenta</w:t>
      </w:r>
    </w:p>
    <w:p w:rsidR="00BD69C4" w:rsidRPr="00BD69C4" w:rsidRDefault="00BD69C4" w:rsidP="00BD69C4">
      <w:pPr>
        <w:rPr>
          <w:lang w:val="es-ES_tradnl"/>
        </w:rPr>
      </w:pPr>
      <w:r w:rsidRPr="00BD69C4">
        <w:rPr>
          <w:lang w:val="es-ES_tradnl"/>
        </w:rPr>
        <w:t>el apoyo del Consejo de la UIT</w:t>
      </w:r>
      <w:r w:rsidRPr="00BD69C4">
        <w:rPr>
          <w:rStyle w:val="FootnoteReference"/>
          <w:lang w:val="es-ES_tradnl"/>
        </w:rPr>
        <w:footnoteReference w:customMarkFollows="1" w:id="6"/>
        <w:t>1</w:t>
      </w:r>
      <w:r w:rsidRPr="00BD69C4">
        <w:rPr>
          <w:lang w:val="es-ES_tradnl"/>
        </w:rPr>
        <w:t xml:space="preserve"> a las Recomendaciones del citado Informe,</w:t>
      </w:r>
    </w:p>
    <w:p w:rsidR="00BD69C4" w:rsidRPr="00BD69C4" w:rsidRDefault="00BD69C4" w:rsidP="00BD69C4">
      <w:pPr>
        <w:pStyle w:val="Call"/>
        <w:rPr>
          <w:lang w:val="es-ES_tradnl"/>
        </w:rPr>
      </w:pPr>
      <w:r w:rsidRPr="00BD69C4">
        <w:rPr>
          <w:lang w:val="es-ES_tradnl"/>
        </w:rPr>
        <w:t>decide</w:t>
      </w:r>
    </w:p>
    <w:p w:rsidR="00BD69C4" w:rsidRPr="00BD69C4" w:rsidRDefault="00BD69C4" w:rsidP="00BD69C4">
      <w:pPr>
        <w:rPr>
          <w:lang w:val="es-ES_tradnl"/>
        </w:rPr>
      </w:pPr>
      <w:r w:rsidRPr="00BD69C4">
        <w:rPr>
          <w:lang w:val="es-ES_tradnl"/>
        </w:rPr>
        <w:t>que los documentos finales presentados para su aprobación no contengan hiperenlaces salvo, en su caso, hiperenlaces internos a documentos o partes de documentos que sean estables y hayan sido aprobados por el órgano competente de la Unión, y que la inclusión de un hiperenlace interno en un documento presentado para su aprobación no debería dar lugar a la aprobación implícita del contenido del hiperenlace en cuestión sino que su aprobación debe ser explícita (este procedimiento no se aplica a las Comisiones de Estudio).</w:t>
      </w:r>
    </w:p>
    <w:p w:rsidR="00BD69C4" w:rsidRPr="00BD69C4" w:rsidRDefault="00BD69C4" w:rsidP="00BD69C4">
      <w:pPr>
        <w:rPr>
          <w:lang w:val="es-ES_tradnl"/>
        </w:rPr>
      </w:pPr>
    </w:p>
    <w:p w:rsidR="007656AE" w:rsidRPr="000C15AB" w:rsidRDefault="007656AE" w:rsidP="00754E92">
      <w:pPr>
        <w:pStyle w:val="refbasdepage"/>
        <w:rPr>
          <w:lang w:val="en-US"/>
        </w:rPr>
      </w:pPr>
      <w:r w:rsidRPr="001E2954">
        <w:rPr>
          <w:lang w:val="en-US"/>
        </w:rPr>
        <w:t>(</w:t>
      </w:r>
      <w:proofErr w:type="spellStart"/>
      <w:r w:rsidRPr="001E2954">
        <w:rPr>
          <w:lang w:val="en-US"/>
        </w:rPr>
        <w:t>Busán</w:t>
      </w:r>
      <w:proofErr w:type="spellEnd"/>
      <w:r w:rsidRPr="001E2954">
        <w:rPr>
          <w:lang w:val="en-US"/>
        </w:rPr>
        <w:t>, 2014)</w:t>
      </w:r>
    </w:p>
    <w:p w:rsidR="00267A4B" w:rsidRDefault="00267A4B" w:rsidP="007656AE">
      <w:pPr>
        <w:rPr>
          <w:lang w:val="es-ES_tradnl"/>
        </w:rPr>
      </w:pPr>
    </w:p>
    <w:p w:rsidR="007656AE" w:rsidRDefault="007656AE" w:rsidP="007656AE">
      <w:pPr>
        <w:rPr>
          <w:lang w:val="es-ES_tradnl"/>
        </w:rPr>
      </w:pPr>
    </w:p>
    <w:p w:rsidR="00831EB1" w:rsidRDefault="00831EB1" w:rsidP="007656AE">
      <w:pPr>
        <w:rPr>
          <w:lang w:val="es-ES_tradnl"/>
        </w:rPr>
      </w:pPr>
    </w:p>
    <w:p w:rsidR="00831EB1" w:rsidRDefault="00831EB1" w:rsidP="007656AE">
      <w:pPr>
        <w:rPr>
          <w:lang w:val="es-ES_tradnl"/>
        </w:rPr>
      </w:pPr>
    </w:p>
    <w:p w:rsidR="007656AE" w:rsidRDefault="007656AE" w:rsidP="007656AE">
      <w:pPr>
        <w:rPr>
          <w:lang w:val="es-ES_tradnl"/>
        </w:rPr>
      </w:pPr>
    </w:p>
    <w:p w:rsidR="00831EB1" w:rsidRDefault="00831EB1" w:rsidP="007656AE">
      <w:pPr>
        <w:rPr>
          <w:lang w:val="es-ES_tradnl"/>
        </w:rPr>
      </w:pPr>
    </w:p>
    <w:sectPr w:rsidR="00831EB1" w:rsidSect="00B15ABC">
      <w:headerReference w:type="even" r:id="rId12"/>
      <w:type w:val="oddPage"/>
      <w:pgSz w:w="11913" w:h="16834" w:code="9"/>
      <w:pgMar w:top="1418" w:right="1134" w:bottom="1134" w:left="1418" w:header="720" w:footer="720" w:gutter="0"/>
      <w:paperSrc w:first="15" w:other="15"/>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E05" w:rsidRDefault="00576E05">
      <w:r>
        <w:separator/>
      </w:r>
    </w:p>
  </w:endnote>
  <w:endnote w:type="continuationSeparator" w:id="0">
    <w:p w:rsidR="00576E05" w:rsidRDefault="0057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E05" w:rsidRDefault="00576E05">
      <w:r>
        <w:t>____________________</w:t>
      </w:r>
    </w:p>
  </w:footnote>
  <w:footnote w:type="continuationSeparator" w:id="0">
    <w:p w:rsidR="00576E05" w:rsidRDefault="00576E05">
      <w:r>
        <w:continuationSeparator/>
      </w:r>
    </w:p>
  </w:footnote>
  <w:footnote w:id="1">
    <w:p w:rsidR="00BD69C4" w:rsidRPr="00BD69C4" w:rsidRDefault="00BD69C4" w:rsidP="00BD69C4">
      <w:pPr>
        <w:pStyle w:val="FootnoteText"/>
        <w:ind w:left="284" w:hanging="284"/>
        <w:rPr>
          <w:lang w:val="es-ES_tradnl"/>
        </w:rPr>
      </w:pPr>
      <w:r w:rsidRPr="00BD69C4">
        <w:rPr>
          <w:rStyle w:val="FootnoteReference"/>
          <w:lang w:val="es-ES_tradnl"/>
        </w:rPr>
        <w:t>1</w:t>
      </w:r>
      <w:r w:rsidRPr="00BD69C4">
        <w:rPr>
          <w:lang w:val="es-ES_tradnl"/>
        </w:rPr>
        <w:tab/>
        <w:t>En caso necesario, podría aplicarse el concepto de actividades autorizadas y no financiadas como medio para subrayar algunas actividades dentro del programa general de trabajo estipulado por los órganos rectores de la Unión, así como las actividades de apoyo que se consideren esenciales para llevar a la práctica las actividades autorizadas, pero que no tengan cabida dentro de los límites financieros establecidos por la Conferencia de Plenipotenciarios. El Secretario General estaría autorizado a incurrir en gastos para dichas actividades, a condición de que se logren ahorros o se generen ingresos adicionales.</w:t>
      </w:r>
    </w:p>
  </w:footnote>
  <w:footnote w:id="2">
    <w:p w:rsidR="00022D64" w:rsidRPr="00022D64" w:rsidRDefault="00022D64">
      <w:pPr>
        <w:pStyle w:val="FootnoteText"/>
        <w:rPr>
          <w:lang w:val="es-ES_tradnl"/>
        </w:rPr>
      </w:pPr>
      <w:r w:rsidRPr="00022D64">
        <w:rPr>
          <w:rStyle w:val="FootnoteReference"/>
          <w:lang w:val="es-ES_tradnl"/>
        </w:rPr>
        <w:t>1</w:t>
      </w:r>
      <w:r w:rsidRPr="00022D64">
        <w:rPr>
          <w:lang w:val="es-ES_tradnl"/>
        </w:rPr>
        <w:t xml:space="preserve"> </w:t>
      </w:r>
      <w:r>
        <w:rPr>
          <w:lang w:val="es-ES_tradnl"/>
        </w:rPr>
        <w:tab/>
      </w:r>
      <w:r w:rsidRPr="00BD69C4">
        <w:rPr>
          <w:lang w:val="es-ES_tradnl"/>
        </w:rPr>
        <w:t>Teniendo en cuenta las decisiones de la Conferencia de Plenipotenciarios.</w:t>
      </w:r>
    </w:p>
  </w:footnote>
  <w:footnote w:id="3">
    <w:p w:rsidR="00BD69C4" w:rsidRPr="00BD69C4" w:rsidRDefault="00BD69C4" w:rsidP="00BD69C4">
      <w:pPr>
        <w:pStyle w:val="FootnoteText"/>
        <w:rPr>
          <w:lang w:val="es-ES_tradnl"/>
        </w:rPr>
      </w:pPr>
      <w:r w:rsidRPr="00BD69C4">
        <w:rPr>
          <w:rStyle w:val="FootnoteReference"/>
          <w:lang w:val="es-ES_tradnl"/>
        </w:rPr>
        <w:t>1</w:t>
      </w:r>
      <w:r w:rsidRPr="00BD69C4">
        <w:rPr>
          <w:lang w:val="es-ES_tradnl"/>
        </w:rPr>
        <w:t xml:space="preserve"> </w:t>
      </w:r>
      <w:r w:rsidRPr="00BD69C4">
        <w:rPr>
          <w:lang w:val="es-ES_tradnl"/>
        </w:rPr>
        <w:tab/>
        <w:t>Este término comprende los países menos adelantados, los pequeños Estados insulares en desarrollo, los países en desarrollo sin litoral y los países con economías en transición.</w:t>
      </w:r>
    </w:p>
  </w:footnote>
  <w:footnote w:id="4">
    <w:p w:rsidR="00BD69C4" w:rsidRPr="00BD69C4" w:rsidRDefault="00BD69C4" w:rsidP="00BD69C4">
      <w:pPr>
        <w:pStyle w:val="FootnoteText"/>
        <w:rPr>
          <w:lang w:val="es-ES_tradnl"/>
        </w:rPr>
      </w:pPr>
      <w:r w:rsidRPr="00BD69C4">
        <w:rPr>
          <w:rStyle w:val="FootnoteReference"/>
          <w:lang w:val="es-ES_tradnl"/>
        </w:rPr>
        <w:t>2</w:t>
      </w:r>
      <w:r w:rsidRPr="00BD69C4">
        <w:rPr>
          <w:lang w:val="es-ES_tradnl"/>
        </w:rPr>
        <w:t xml:space="preserve"> </w:t>
      </w:r>
      <w:r w:rsidRPr="00BD69C4">
        <w:rPr>
          <w:lang w:val="es-ES_tradnl"/>
        </w:rPr>
        <w:tab/>
        <w:t>Se trata, entre otros, de los Manuales del UIT-R sobre Gestión nacional del espectro, Técnicas informatizadas para la gestión del espectro y Comprobación técnica del espectro.</w:t>
      </w:r>
    </w:p>
  </w:footnote>
  <w:footnote w:id="5">
    <w:p w:rsidR="00BD69C4" w:rsidRPr="00BD69C4" w:rsidRDefault="00BD69C4" w:rsidP="00BD69C4">
      <w:pPr>
        <w:pStyle w:val="FootnoteText"/>
        <w:rPr>
          <w:lang w:val="es-ES_tradnl"/>
        </w:rPr>
      </w:pPr>
      <w:r w:rsidRPr="00BD69C4">
        <w:rPr>
          <w:rStyle w:val="FootnoteReference"/>
          <w:lang w:val="es-ES_tradnl"/>
        </w:rPr>
        <w:t>3</w:t>
      </w:r>
      <w:r w:rsidRPr="00BD69C4">
        <w:rPr>
          <w:lang w:val="es-ES_tradnl"/>
        </w:rPr>
        <w:t xml:space="preserve"> </w:t>
      </w:r>
      <w:r w:rsidRPr="00BD69C4">
        <w:rPr>
          <w:lang w:val="es-ES_tradnl"/>
        </w:rPr>
        <w:tab/>
        <w:t>Se entiende por "precio del mercado" el precio determinado por la División de Ventas y Comercialización para aumentar al máximo los ingresos en concepto de ventas, evitando que sea excesivamente elevado y desaliente a posibles compradores.</w:t>
      </w:r>
    </w:p>
  </w:footnote>
  <w:footnote w:id="6">
    <w:p w:rsidR="00BD69C4" w:rsidRPr="00BD69C4" w:rsidRDefault="00BD69C4" w:rsidP="00BD69C4">
      <w:pPr>
        <w:pStyle w:val="FootnoteText"/>
        <w:rPr>
          <w:lang w:val="es-ES_tradnl"/>
        </w:rPr>
      </w:pPr>
      <w:r w:rsidRPr="00BD69C4">
        <w:rPr>
          <w:rStyle w:val="FootnoteReference"/>
          <w:lang w:val="es-ES_tradnl"/>
        </w:rPr>
        <w:t>1</w:t>
      </w:r>
      <w:r w:rsidRPr="00BD69C4">
        <w:rPr>
          <w:lang w:val="es-ES_tradnl"/>
        </w:rPr>
        <w:t xml:space="preserve"> </w:t>
      </w:r>
      <w:r w:rsidRPr="00BD69C4">
        <w:rPr>
          <w:lang w:val="es-ES_tradnl"/>
        </w:rPr>
        <w:tab/>
        <w:t>Véase el § 12.3 del Documento C09/90 de 22 de octubre de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1FF" w:rsidRDefault="005441FF" w:rsidP="00EE4946">
    <w:pPr>
      <w:pStyle w:val="Header"/>
      <w:tabs>
        <w:tab w:val="center" w:pos="4820"/>
        <w:tab w:val="right" w:pos="9639"/>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EE4946">
      <w:rPr>
        <w:rStyle w:val="PageNumber"/>
        <w:b/>
        <w:bCs/>
        <w:noProof/>
        <w:szCs w:val="22"/>
      </w:rPr>
      <w:t>4</w:t>
    </w:r>
    <w:r w:rsidRPr="00EE2B2D">
      <w:rPr>
        <w:rStyle w:val="PageNumber"/>
        <w:b/>
        <w:bCs/>
        <w:szCs w:val="22"/>
      </w:rPr>
      <w:fldChar w:fldCharType="end"/>
    </w: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D630E2">
      <w:rPr>
        <w:b/>
        <w:bCs/>
        <w:noProof/>
        <w:szCs w:val="22"/>
      </w:rPr>
      <w:t>3</w:t>
    </w:r>
    <w:r w:rsidRPr="00F55D58">
      <w:rPr>
        <w:b/>
        <w:bCs/>
        <w:szCs w:val="22"/>
      </w:rPr>
      <w:fldChar w:fldCharType="end"/>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B90" w:rsidRPr="001270A8" w:rsidRDefault="005441FF" w:rsidP="00C836B7">
    <w:pPr>
      <w:pStyle w:val="Header"/>
      <w:tabs>
        <w:tab w:val="center" w:pos="4678"/>
        <w:tab w:val="right" w:pos="9356"/>
      </w:tabs>
      <w:jc w:val="left"/>
    </w:pP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994C3A">
      <w:rPr>
        <w:b/>
        <w:bCs/>
        <w:noProof/>
        <w:szCs w:val="22"/>
      </w:rPr>
      <w:t>12</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94C3A">
      <w:rPr>
        <w:rStyle w:val="PageNumber"/>
        <w:b/>
        <w:bCs/>
        <w:noProof/>
        <w:szCs w:val="22"/>
      </w:rPr>
      <w:t>227</w:t>
    </w:r>
    <w:r w:rsidRPr="00EE2B2D">
      <w:rPr>
        <w:rStyle w:val="PageNumbe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946" w:rsidRDefault="00EE4946" w:rsidP="00C836B7">
    <w:pPr>
      <w:pStyle w:val="Header"/>
      <w:tabs>
        <w:tab w:val="center" w:pos="4678"/>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94C3A">
      <w:rPr>
        <w:rStyle w:val="PageNumber"/>
        <w:b/>
        <w:bCs/>
        <w:noProof/>
        <w:szCs w:val="22"/>
      </w:rPr>
      <w:t>226</w:t>
    </w:r>
    <w:r w:rsidRPr="00EE2B2D">
      <w:rPr>
        <w:rStyle w:val="PageNumber"/>
        <w:b/>
        <w:bCs/>
        <w:szCs w:val="22"/>
      </w:rPr>
      <w:fldChar w:fldCharType="end"/>
    </w:r>
    <w:r>
      <w:rPr>
        <w:b/>
        <w:bCs/>
        <w:szCs w:val="22"/>
      </w:rPr>
      <w:tab/>
      <w:t xml:space="preserve">Dec.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994C3A">
      <w:rPr>
        <w:b/>
        <w:bCs/>
        <w:noProof/>
        <w:szCs w:val="22"/>
      </w:rPr>
      <w:t>12</w:t>
    </w:r>
    <w:r w:rsidRPr="00F55D58">
      <w:rPr>
        <w:b/>
        <w:bCs/>
        <w:szCs w:val="22"/>
      </w:rPr>
      <w:fldChar w:fldCharType="end"/>
    </w:r>
    <w:r>
      <w:rPr>
        <w:b/>
        <w:bCs/>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22D64"/>
    <w:rsid w:val="000507C1"/>
    <w:rsid w:val="00051C59"/>
    <w:rsid w:val="00053B97"/>
    <w:rsid w:val="00082EB9"/>
    <w:rsid w:val="0008540E"/>
    <w:rsid w:val="00094B4F"/>
    <w:rsid w:val="000A1015"/>
    <w:rsid w:val="000B03F9"/>
    <w:rsid w:val="000B0A77"/>
    <w:rsid w:val="000B0D6C"/>
    <w:rsid w:val="000B5BB9"/>
    <w:rsid w:val="000B7152"/>
    <w:rsid w:val="000C15AB"/>
    <w:rsid w:val="000C4701"/>
    <w:rsid w:val="000C67F4"/>
    <w:rsid w:val="000E4C7A"/>
    <w:rsid w:val="000E5E15"/>
    <w:rsid w:val="000F5A9A"/>
    <w:rsid w:val="000F73D1"/>
    <w:rsid w:val="001001C5"/>
    <w:rsid w:val="00105EFE"/>
    <w:rsid w:val="00106777"/>
    <w:rsid w:val="0011489E"/>
    <w:rsid w:val="00114BA3"/>
    <w:rsid w:val="00115DEC"/>
    <w:rsid w:val="00123F09"/>
    <w:rsid w:val="00124CB1"/>
    <w:rsid w:val="001270A8"/>
    <w:rsid w:val="00136175"/>
    <w:rsid w:val="00140FF0"/>
    <w:rsid w:val="00142F28"/>
    <w:rsid w:val="00146057"/>
    <w:rsid w:val="0016633C"/>
    <w:rsid w:val="00166BF2"/>
    <w:rsid w:val="00171990"/>
    <w:rsid w:val="001846AE"/>
    <w:rsid w:val="00195B70"/>
    <w:rsid w:val="001A0EEB"/>
    <w:rsid w:val="001A16ED"/>
    <w:rsid w:val="001B18AB"/>
    <w:rsid w:val="001B70D1"/>
    <w:rsid w:val="001C3804"/>
    <w:rsid w:val="001C4040"/>
    <w:rsid w:val="001D3322"/>
    <w:rsid w:val="001E01A5"/>
    <w:rsid w:val="001E18AB"/>
    <w:rsid w:val="001E1C8F"/>
    <w:rsid w:val="001E2954"/>
    <w:rsid w:val="001F57BC"/>
    <w:rsid w:val="002115E0"/>
    <w:rsid w:val="00215F12"/>
    <w:rsid w:val="00232B31"/>
    <w:rsid w:val="00235A3B"/>
    <w:rsid w:val="00243BE4"/>
    <w:rsid w:val="00257188"/>
    <w:rsid w:val="002578B4"/>
    <w:rsid w:val="00267A4B"/>
    <w:rsid w:val="00267D12"/>
    <w:rsid w:val="00281792"/>
    <w:rsid w:val="0028799E"/>
    <w:rsid w:val="002962A8"/>
    <w:rsid w:val="002A56C0"/>
    <w:rsid w:val="002A72D0"/>
    <w:rsid w:val="002B73F8"/>
    <w:rsid w:val="002F36B9"/>
    <w:rsid w:val="002F5FA2"/>
    <w:rsid w:val="003126B0"/>
    <w:rsid w:val="00314127"/>
    <w:rsid w:val="00314C12"/>
    <w:rsid w:val="003261C3"/>
    <w:rsid w:val="003453DA"/>
    <w:rsid w:val="00357754"/>
    <w:rsid w:val="003578E4"/>
    <w:rsid w:val="00361097"/>
    <w:rsid w:val="00373A0D"/>
    <w:rsid w:val="00375076"/>
    <w:rsid w:val="00375BBA"/>
    <w:rsid w:val="003826EA"/>
    <w:rsid w:val="00395CE4"/>
    <w:rsid w:val="003A3938"/>
    <w:rsid w:val="003A5FFB"/>
    <w:rsid w:val="003A6796"/>
    <w:rsid w:val="003A7FB6"/>
    <w:rsid w:val="003B3751"/>
    <w:rsid w:val="003F0763"/>
    <w:rsid w:val="003F5771"/>
    <w:rsid w:val="004014B0"/>
    <w:rsid w:val="004059B0"/>
    <w:rsid w:val="00411C30"/>
    <w:rsid w:val="00426AC1"/>
    <w:rsid w:val="004321DC"/>
    <w:rsid w:val="00435AA4"/>
    <w:rsid w:val="00435EA8"/>
    <w:rsid w:val="004360BB"/>
    <w:rsid w:val="00440E21"/>
    <w:rsid w:val="0045533C"/>
    <w:rsid w:val="004606DA"/>
    <w:rsid w:val="004614F0"/>
    <w:rsid w:val="00463092"/>
    <w:rsid w:val="004676C0"/>
    <w:rsid w:val="00474E00"/>
    <w:rsid w:val="004835DB"/>
    <w:rsid w:val="0049102F"/>
    <w:rsid w:val="00491D2D"/>
    <w:rsid w:val="00494797"/>
    <w:rsid w:val="004B0C10"/>
    <w:rsid w:val="004C19D7"/>
    <w:rsid w:val="004C297B"/>
    <w:rsid w:val="004C73C9"/>
    <w:rsid w:val="004E01FA"/>
    <w:rsid w:val="004E6764"/>
    <w:rsid w:val="004F041D"/>
    <w:rsid w:val="004F1C55"/>
    <w:rsid w:val="00504FE5"/>
    <w:rsid w:val="00507348"/>
    <w:rsid w:val="00522C97"/>
    <w:rsid w:val="005356FD"/>
    <w:rsid w:val="005441FF"/>
    <w:rsid w:val="00547D75"/>
    <w:rsid w:val="00551C8B"/>
    <w:rsid w:val="00554E24"/>
    <w:rsid w:val="00555A0F"/>
    <w:rsid w:val="0056472E"/>
    <w:rsid w:val="00567130"/>
    <w:rsid w:val="0057034B"/>
    <w:rsid w:val="00576E05"/>
    <w:rsid w:val="00581E8F"/>
    <w:rsid w:val="00586A98"/>
    <w:rsid w:val="005927A4"/>
    <w:rsid w:val="00596B48"/>
    <w:rsid w:val="005B10E8"/>
    <w:rsid w:val="005B5026"/>
    <w:rsid w:val="005B5E00"/>
    <w:rsid w:val="005C3315"/>
    <w:rsid w:val="005D3B26"/>
    <w:rsid w:val="005E1CC3"/>
    <w:rsid w:val="005E2408"/>
    <w:rsid w:val="005F05C8"/>
    <w:rsid w:val="00604079"/>
    <w:rsid w:val="00617BE4"/>
    <w:rsid w:val="00620233"/>
    <w:rsid w:val="006404B0"/>
    <w:rsid w:val="0066499C"/>
    <w:rsid w:val="00670DDA"/>
    <w:rsid w:val="006A7108"/>
    <w:rsid w:val="006B2035"/>
    <w:rsid w:val="006B40DA"/>
    <w:rsid w:val="006C5D5D"/>
    <w:rsid w:val="006D1CEB"/>
    <w:rsid w:val="006D1DAD"/>
    <w:rsid w:val="006E215D"/>
    <w:rsid w:val="006E57C8"/>
    <w:rsid w:val="006E70E1"/>
    <w:rsid w:val="006F565E"/>
    <w:rsid w:val="00701ABB"/>
    <w:rsid w:val="00711035"/>
    <w:rsid w:val="007130ED"/>
    <w:rsid w:val="007140CF"/>
    <w:rsid w:val="0071582A"/>
    <w:rsid w:val="00722595"/>
    <w:rsid w:val="0073319E"/>
    <w:rsid w:val="00733C8A"/>
    <w:rsid w:val="00737F2E"/>
    <w:rsid w:val="00745A37"/>
    <w:rsid w:val="00750829"/>
    <w:rsid w:val="007538C9"/>
    <w:rsid w:val="00753F63"/>
    <w:rsid w:val="007542C4"/>
    <w:rsid w:val="00754C0B"/>
    <w:rsid w:val="00754E92"/>
    <w:rsid w:val="00755067"/>
    <w:rsid w:val="007561B6"/>
    <w:rsid w:val="007648ED"/>
    <w:rsid w:val="007649DA"/>
    <w:rsid w:val="00765553"/>
    <w:rsid w:val="007656AE"/>
    <w:rsid w:val="00777B8B"/>
    <w:rsid w:val="00794795"/>
    <w:rsid w:val="007949EA"/>
    <w:rsid w:val="00796849"/>
    <w:rsid w:val="007A59C3"/>
    <w:rsid w:val="007B0E06"/>
    <w:rsid w:val="007B30FC"/>
    <w:rsid w:val="007C3643"/>
    <w:rsid w:val="007E00D2"/>
    <w:rsid w:val="007E2AD4"/>
    <w:rsid w:val="00810AD6"/>
    <w:rsid w:val="0082780C"/>
    <w:rsid w:val="00831EB1"/>
    <w:rsid w:val="008333C7"/>
    <w:rsid w:val="00833E0F"/>
    <w:rsid w:val="008404FD"/>
    <w:rsid w:val="00841AB4"/>
    <w:rsid w:val="00846DBA"/>
    <w:rsid w:val="00850AEF"/>
    <w:rsid w:val="008573C1"/>
    <w:rsid w:val="00860C6A"/>
    <w:rsid w:val="00862891"/>
    <w:rsid w:val="00870AB2"/>
    <w:rsid w:val="00875048"/>
    <w:rsid w:val="00875BE1"/>
    <w:rsid w:val="00877715"/>
    <w:rsid w:val="0088124E"/>
    <w:rsid w:val="00894A79"/>
    <w:rsid w:val="00895CE3"/>
    <w:rsid w:val="0089603F"/>
    <w:rsid w:val="00897970"/>
    <w:rsid w:val="008B5A71"/>
    <w:rsid w:val="008C33A5"/>
    <w:rsid w:val="008D3BE2"/>
    <w:rsid w:val="008D4D98"/>
    <w:rsid w:val="008D579C"/>
    <w:rsid w:val="008E2A7B"/>
    <w:rsid w:val="008E6E9B"/>
    <w:rsid w:val="008F2C56"/>
    <w:rsid w:val="008F3C99"/>
    <w:rsid w:val="00900D5B"/>
    <w:rsid w:val="009236FE"/>
    <w:rsid w:val="009247FE"/>
    <w:rsid w:val="00927CD5"/>
    <w:rsid w:val="00940E00"/>
    <w:rsid w:val="00945D4B"/>
    <w:rsid w:val="00950E0F"/>
    <w:rsid w:val="009630FA"/>
    <w:rsid w:val="00967103"/>
    <w:rsid w:val="00967670"/>
    <w:rsid w:val="00970996"/>
    <w:rsid w:val="009800CC"/>
    <w:rsid w:val="009821F0"/>
    <w:rsid w:val="00994C3A"/>
    <w:rsid w:val="009A078E"/>
    <w:rsid w:val="009A2B30"/>
    <w:rsid w:val="009A4211"/>
    <w:rsid w:val="009A47A2"/>
    <w:rsid w:val="009E425E"/>
    <w:rsid w:val="009E4322"/>
    <w:rsid w:val="009F4384"/>
    <w:rsid w:val="009F442D"/>
    <w:rsid w:val="009F50DA"/>
    <w:rsid w:val="00A00C73"/>
    <w:rsid w:val="00A06D56"/>
    <w:rsid w:val="00A314A2"/>
    <w:rsid w:val="00A619C5"/>
    <w:rsid w:val="00A808E1"/>
    <w:rsid w:val="00A8262F"/>
    <w:rsid w:val="00A84B32"/>
    <w:rsid w:val="00A84B3A"/>
    <w:rsid w:val="00A93B71"/>
    <w:rsid w:val="00AB0B32"/>
    <w:rsid w:val="00AB2D04"/>
    <w:rsid w:val="00AB5C39"/>
    <w:rsid w:val="00AB75A9"/>
    <w:rsid w:val="00AD1C5C"/>
    <w:rsid w:val="00AD566F"/>
    <w:rsid w:val="00AF5D92"/>
    <w:rsid w:val="00B15ABC"/>
    <w:rsid w:val="00B1733E"/>
    <w:rsid w:val="00B25A86"/>
    <w:rsid w:val="00B304B9"/>
    <w:rsid w:val="00B55E1A"/>
    <w:rsid w:val="00B57988"/>
    <w:rsid w:val="00B62032"/>
    <w:rsid w:val="00B65F8C"/>
    <w:rsid w:val="00B7263B"/>
    <w:rsid w:val="00B73F47"/>
    <w:rsid w:val="00B7638A"/>
    <w:rsid w:val="00B80DF9"/>
    <w:rsid w:val="00B840D8"/>
    <w:rsid w:val="00B96467"/>
    <w:rsid w:val="00BA154E"/>
    <w:rsid w:val="00BA37CE"/>
    <w:rsid w:val="00BA4692"/>
    <w:rsid w:val="00BC6FDB"/>
    <w:rsid w:val="00BC7DE8"/>
    <w:rsid w:val="00BD69C4"/>
    <w:rsid w:val="00BE0966"/>
    <w:rsid w:val="00BF43BA"/>
    <w:rsid w:val="00BF5722"/>
    <w:rsid w:val="00BF6268"/>
    <w:rsid w:val="00BF720B"/>
    <w:rsid w:val="00C04511"/>
    <w:rsid w:val="00C16846"/>
    <w:rsid w:val="00C34851"/>
    <w:rsid w:val="00C42A5B"/>
    <w:rsid w:val="00C56038"/>
    <w:rsid w:val="00C6729F"/>
    <w:rsid w:val="00C72664"/>
    <w:rsid w:val="00C836B7"/>
    <w:rsid w:val="00C86F24"/>
    <w:rsid w:val="00CA34FD"/>
    <w:rsid w:val="00CA38C9"/>
    <w:rsid w:val="00CB4984"/>
    <w:rsid w:val="00CB5DD7"/>
    <w:rsid w:val="00CB77D5"/>
    <w:rsid w:val="00CC14F0"/>
    <w:rsid w:val="00CE1B90"/>
    <w:rsid w:val="00CE3B0F"/>
    <w:rsid w:val="00CE40BB"/>
    <w:rsid w:val="00CF1C71"/>
    <w:rsid w:val="00CF510F"/>
    <w:rsid w:val="00D07696"/>
    <w:rsid w:val="00D11956"/>
    <w:rsid w:val="00D119BC"/>
    <w:rsid w:val="00D15A98"/>
    <w:rsid w:val="00D500DC"/>
    <w:rsid w:val="00D54B39"/>
    <w:rsid w:val="00D630E2"/>
    <w:rsid w:val="00D64FF3"/>
    <w:rsid w:val="00D657A2"/>
    <w:rsid w:val="00D760C8"/>
    <w:rsid w:val="00D83FFD"/>
    <w:rsid w:val="00D8451F"/>
    <w:rsid w:val="00D8617D"/>
    <w:rsid w:val="00D92563"/>
    <w:rsid w:val="00D92D12"/>
    <w:rsid w:val="00DC7C10"/>
    <w:rsid w:val="00DD26B1"/>
    <w:rsid w:val="00DD5177"/>
    <w:rsid w:val="00DE16B8"/>
    <w:rsid w:val="00DE20DF"/>
    <w:rsid w:val="00DE4CC2"/>
    <w:rsid w:val="00DF23FC"/>
    <w:rsid w:val="00DF39CD"/>
    <w:rsid w:val="00E0094D"/>
    <w:rsid w:val="00E00F66"/>
    <w:rsid w:val="00E10A17"/>
    <w:rsid w:val="00E13427"/>
    <w:rsid w:val="00E1374D"/>
    <w:rsid w:val="00E20134"/>
    <w:rsid w:val="00E24CB2"/>
    <w:rsid w:val="00E327EA"/>
    <w:rsid w:val="00E32981"/>
    <w:rsid w:val="00E3536D"/>
    <w:rsid w:val="00E44456"/>
    <w:rsid w:val="00E553B9"/>
    <w:rsid w:val="00E56E57"/>
    <w:rsid w:val="00E6599B"/>
    <w:rsid w:val="00E726DE"/>
    <w:rsid w:val="00E844D5"/>
    <w:rsid w:val="00E871C2"/>
    <w:rsid w:val="00EA1BAA"/>
    <w:rsid w:val="00ED401C"/>
    <w:rsid w:val="00EE333B"/>
    <w:rsid w:val="00EE4946"/>
    <w:rsid w:val="00EE7785"/>
    <w:rsid w:val="00EF2642"/>
    <w:rsid w:val="00EF3681"/>
    <w:rsid w:val="00F05D84"/>
    <w:rsid w:val="00F10790"/>
    <w:rsid w:val="00F10E7C"/>
    <w:rsid w:val="00F13C1E"/>
    <w:rsid w:val="00F16F17"/>
    <w:rsid w:val="00F20BC2"/>
    <w:rsid w:val="00F249C7"/>
    <w:rsid w:val="00F342E4"/>
    <w:rsid w:val="00F35330"/>
    <w:rsid w:val="00F41C91"/>
    <w:rsid w:val="00F433A4"/>
    <w:rsid w:val="00F4421A"/>
    <w:rsid w:val="00F44B1A"/>
    <w:rsid w:val="00F47316"/>
    <w:rsid w:val="00F55DA5"/>
    <w:rsid w:val="00F95ABE"/>
    <w:rsid w:val="00F9756D"/>
    <w:rsid w:val="00FB5F12"/>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72E"/>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5441FF"/>
    <w:pPr>
      <w:tabs>
        <w:tab w:val="clear" w:pos="567"/>
        <w:tab w:val="clear" w:pos="1134"/>
        <w:tab w:val="clear" w:pos="1701"/>
        <w:tab w:val="clear" w:pos="2268"/>
        <w:tab w:val="clear" w:pos="2835"/>
      </w:tabs>
      <w:spacing w:before="0"/>
      <w:jc w:val="center"/>
    </w:pPr>
    <w:rPr>
      <w:sz w:val="22"/>
    </w:rPr>
  </w:style>
  <w:style w:type="character" w:styleId="FootnoteReference">
    <w:name w:val="footnote reference"/>
    <w:aliases w:val="Appel note de bas de p,Footnote Reference/,Footnote symbol,Ref,de nota al pie"/>
    <w:basedOn w:val="DefaultParagraphFont"/>
    <w:rsid w:val="003A6796"/>
    <w:rPr>
      <w:rFonts w:ascii="Calibri" w:hAnsi="Calibri"/>
      <w:position w:val="6"/>
      <w:sz w:val="20"/>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3A6796"/>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link w:val="enumlev1Char"/>
    <w:rsid w:val="00AD566F"/>
    <w:pPr>
      <w:spacing w:before="86"/>
      <w:ind w:left="567" w:hanging="567"/>
    </w:pPr>
  </w:style>
  <w:style w:type="paragraph" w:customStyle="1" w:styleId="enumlev2">
    <w:name w:val="enumlev2"/>
    <w:basedOn w:val="enumlev1"/>
    <w:link w:val="enumlev2Char"/>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link w:val="NormalaftertitleChar"/>
    <w:rsid w:val="0056472E"/>
    <w:pPr>
      <w:spacing w:before="240"/>
    </w:pPr>
  </w:style>
  <w:style w:type="paragraph" w:customStyle="1" w:styleId="AnnexNo">
    <w:name w:val="Annex_No"/>
    <w:basedOn w:val="Normal"/>
    <w:next w:val="Annexref"/>
    <w:link w:val="AnnexNoChar"/>
    <w:rsid w:val="0088124E"/>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88124E"/>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link w:val="CallChar"/>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257188"/>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57188"/>
  </w:style>
  <w:style w:type="paragraph" w:customStyle="1" w:styleId="Chaptitle">
    <w:name w:val="Chap_title"/>
    <w:basedOn w:val="Arttitle"/>
    <w:next w:val="Normal"/>
    <w:rsid w:val="00AD566F"/>
  </w:style>
  <w:style w:type="paragraph" w:customStyle="1" w:styleId="Reasons">
    <w:name w:val="Reasons"/>
    <w:basedOn w:val="Normal"/>
    <w:qFormat/>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rsid w:val="00AD566F"/>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2B73F8"/>
  </w:style>
  <w:style w:type="paragraph" w:customStyle="1" w:styleId="DecNo">
    <w:name w:val="Dec_No"/>
    <w:basedOn w:val="ResNo"/>
    <w:next w:val="Dectitle"/>
    <w:qFormat/>
    <w:rsid w:val="002B73F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1A16ED"/>
    <w:pPr>
      <w:framePr w:hSpace="180" w:wrap="around" w:hAnchor="margin" w:y="-675"/>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5441FF"/>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2B73F8"/>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3A6796"/>
    <w:rPr>
      <w:rFonts w:ascii="Calibri" w:hAnsi="Calibri"/>
      <w:sz w:val="26"/>
      <w:lang w:val="en-GB" w:eastAsia="en-US"/>
    </w:rPr>
  </w:style>
  <w:style w:type="character" w:customStyle="1" w:styleId="enumlev1Char">
    <w:name w:val="enumlev1 Char"/>
    <w:basedOn w:val="DefaultParagraphFont"/>
    <w:link w:val="enumlev1"/>
    <w:rsid w:val="006D1CEB"/>
    <w:rPr>
      <w:rFonts w:ascii="Calibri" w:hAnsi="Calibri"/>
      <w:sz w:val="24"/>
      <w:lang w:val="en-GB" w:eastAsia="en-US"/>
    </w:rPr>
  </w:style>
  <w:style w:type="character" w:customStyle="1" w:styleId="enumlev2Char">
    <w:name w:val="enumlev2 Char"/>
    <w:basedOn w:val="enumlev1Char"/>
    <w:link w:val="enumlev2"/>
    <w:rsid w:val="006D1CEB"/>
    <w:rPr>
      <w:rFonts w:ascii="Calibri" w:hAnsi="Calibri"/>
      <w:sz w:val="24"/>
      <w:lang w:val="en-GB" w:eastAsia="en-US"/>
    </w:rPr>
  </w:style>
  <w:style w:type="character" w:customStyle="1" w:styleId="NormalaftertitleChar">
    <w:name w:val="Normal after title Char"/>
    <w:basedOn w:val="DefaultParagraphFont"/>
    <w:link w:val="Normalaftertitle"/>
    <w:locked/>
    <w:rsid w:val="0056472E"/>
    <w:rPr>
      <w:rFonts w:ascii="Calibri" w:hAnsi="Calibri"/>
      <w:sz w:val="30"/>
      <w:lang w:val="en-GB" w:eastAsia="en-US"/>
    </w:rPr>
  </w:style>
  <w:style w:type="character" w:customStyle="1" w:styleId="AnnexNoChar">
    <w:name w:val="Annex_No Char"/>
    <w:basedOn w:val="DefaultParagraphFont"/>
    <w:link w:val="AnnexNo"/>
    <w:rsid w:val="0088124E"/>
    <w:rPr>
      <w:rFonts w:ascii="Calibri" w:hAnsi="Calibri"/>
      <w:caps/>
      <w:sz w:val="34"/>
      <w:lang w:val="en-GB" w:eastAsia="en-US"/>
    </w:rPr>
  </w:style>
  <w:style w:type="character" w:customStyle="1" w:styleId="CallChar">
    <w:name w:val="Call Char"/>
    <w:basedOn w:val="DefaultParagraphFont"/>
    <w:link w:val="Call"/>
    <w:locked/>
    <w:rsid w:val="006D1CEB"/>
    <w:rPr>
      <w:rFonts w:ascii="Calibri" w:hAnsi="Calibri"/>
      <w:i/>
      <w:sz w:val="24"/>
      <w:lang w:val="en-GB" w:eastAsia="en-US"/>
    </w:rPr>
  </w:style>
  <w:style w:type="character" w:customStyle="1" w:styleId="href">
    <w:name w:val="href"/>
    <w:basedOn w:val="DefaultParagraphFont"/>
    <w:rsid w:val="006D1CEB"/>
    <w:rPr>
      <w:color w:val="auto"/>
    </w:rPr>
  </w:style>
  <w:style w:type="table" w:styleId="TableGrid">
    <w:name w:val="Table Grid"/>
    <w:basedOn w:val="TableNormal"/>
    <w:rsid w:val="00491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basdepage">
    <w:name w:val="ref_basdepage"/>
    <w:basedOn w:val="Normal"/>
    <w:rsid w:val="004614F0"/>
    <w:pPr>
      <w:pBdr>
        <w:top w:val="single" w:sz="4" w:space="1" w:color="auto"/>
        <w:bottom w:val="single" w:sz="4" w:space="1" w:color="auto"/>
      </w:pBdr>
      <w:tabs>
        <w:tab w:val="clear" w:pos="567"/>
        <w:tab w:val="clear" w:pos="1701"/>
        <w:tab w:val="clear" w:pos="2835"/>
        <w:tab w:val="left" w:pos="1871"/>
      </w:tabs>
      <w:spacing w:before="480"/>
    </w:pPr>
    <w:rPr>
      <w:i/>
      <w:iCs/>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D44EB-E240-40A8-9F80-20B3B5E2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5879</Words>
  <Characters>33514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39315</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(PP-14)</dc:subject>
  <dc:creator/>
  <cp:lastModifiedBy/>
  <cp:revision>1</cp:revision>
  <dcterms:created xsi:type="dcterms:W3CDTF">2015-03-02T07:51:00Z</dcterms:created>
  <dcterms:modified xsi:type="dcterms:W3CDTF">2015-04-13T11:30:00Z</dcterms:modified>
  <cp:category>Conference document</cp:category>
</cp:coreProperties>
</file>