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6946"/>
        <w:gridCol w:w="3085"/>
      </w:tblGrid>
      <w:tr w:rsidR="00BF32F2" w:rsidRPr="0054133A" w14:paraId="54DD472F" w14:textId="77777777" w:rsidTr="00DB336C">
        <w:trPr>
          <w:cantSplit/>
          <w:trHeight w:hRule="exact" w:val="1418"/>
          <w:jc w:val="center"/>
        </w:trPr>
        <w:tc>
          <w:tcPr>
            <w:tcW w:w="10031" w:type="dxa"/>
            <w:gridSpan w:val="2"/>
            <w:tcMar>
              <w:left w:w="0" w:type="dxa"/>
              <w:right w:w="0" w:type="dxa"/>
            </w:tcMar>
            <w:vAlign w:val="center"/>
          </w:tcPr>
          <w:p w14:paraId="1394F73B" w14:textId="77777777" w:rsidR="00BF32F2" w:rsidRPr="0054133A" w:rsidRDefault="00682039" w:rsidP="00BF32F2">
            <w:pPr>
              <w:spacing w:before="0" w:line="240" w:lineRule="atLeast"/>
              <w:rPr>
                <w:rFonts w:cstheme="minorHAnsi"/>
                <w:lang w:val="es-ES"/>
              </w:rPr>
            </w:pPr>
            <w:r w:rsidRPr="0054133A">
              <w:rPr>
                <w:rFonts w:cstheme="minorHAnsi"/>
                <w:noProof/>
                <w:lang w:val="es-ES"/>
              </w:rPr>
              <w:drawing>
                <wp:inline distT="0" distB="0" distL="0" distR="0" wp14:anchorId="3091070D" wp14:editId="46C84C79">
                  <wp:extent cx="6660000" cy="971793"/>
                  <wp:effectExtent l="0" t="0" r="7620" b="0"/>
                  <wp:docPr id="1394562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562956" name="Picture 1394562956"/>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0000" cy="971793"/>
                          </a:xfrm>
                          <a:prstGeom prst="rect">
                            <a:avLst/>
                          </a:prstGeom>
                        </pic:spPr>
                      </pic:pic>
                    </a:graphicData>
                  </a:graphic>
                </wp:inline>
              </w:drawing>
            </w:r>
          </w:p>
        </w:tc>
      </w:tr>
      <w:tr w:rsidR="00277985" w:rsidRPr="0054133A" w14:paraId="5CB17DF5" w14:textId="77777777" w:rsidTr="005A329F">
        <w:trPr>
          <w:cantSplit/>
          <w:trHeight w:val="283"/>
          <w:jc w:val="center"/>
        </w:trPr>
        <w:tc>
          <w:tcPr>
            <w:tcW w:w="10031" w:type="dxa"/>
            <w:gridSpan w:val="2"/>
            <w:tcBorders>
              <w:bottom w:val="single" w:sz="12" w:space="0" w:color="71716F"/>
            </w:tcBorders>
          </w:tcPr>
          <w:p w14:paraId="4800AB1E" w14:textId="77777777" w:rsidR="00277985" w:rsidRPr="0054133A" w:rsidRDefault="00277985" w:rsidP="00BF32F2">
            <w:pPr>
              <w:spacing w:before="0" w:line="240" w:lineRule="atLeast"/>
              <w:rPr>
                <w:rFonts w:cstheme="minorHAnsi"/>
                <w:b/>
                <w:smallCaps/>
                <w:szCs w:val="24"/>
                <w:lang w:val="es-ES"/>
              </w:rPr>
            </w:pPr>
            <w:bookmarkStart w:id="0" w:name="dhead"/>
          </w:p>
        </w:tc>
      </w:tr>
      <w:tr w:rsidR="00255FA1" w:rsidRPr="0054133A" w14:paraId="69B53B1E" w14:textId="77777777" w:rsidTr="00DB336C">
        <w:trPr>
          <w:cantSplit/>
          <w:trHeight w:val="255"/>
          <w:jc w:val="center"/>
        </w:trPr>
        <w:tc>
          <w:tcPr>
            <w:tcW w:w="6946" w:type="dxa"/>
            <w:tcBorders>
              <w:top w:val="single" w:sz="12" w:space="0" w:color="71716F"/>
            </w:tcBorders>
          </w:tcPr>
          <w:p w14:paraId="2039F49A" w14:textId="77777777" w:rsidR="00255FA1" w:rsidRPr="0054133A" w:rsidRDefault="00255FA1" w:rsidP="003C1B77">
            <w:pPr>
              <w:spacing w:before="0"/>
              <w:rPr>
                <w:b/>
                <w:bCs/>
                <w:lang w:val="es-ES"/>
              </w:rPr>
            </w:pPr>
          </w:p>
        </w:tc>
        <w:tc>
          <w:tcPr>
            <w:tcW w:w="3085" w:type="dxa"/>
            <w:tcBorders>
              <w:top w:val="single" w:sz="12" w:space="0" w:color="71716F"/>
            </w:tcBorders>
          </w:tcPr>
          <w:p w14:paraId="6A696E31" w14:textId="77777777" w:rsidR="00255FA1" w:rsidRPr="0054133A" w:rsidRDefault="00255FA1" w:rsidP="00BF32F2">
            <w:pPr>
              <w:spacing w:before="0"/>
              <w:rPr>
                <w:lang w:val="es-ES"/>
              </w:rPr>
            </w:pPr>
          </w:p>
        </w:tc>
      </w:tr>
      <w:bookmarkEnd w:id="0"/>
      <w:tr w:rsidR="00075113" w:rsidRPr="0054133A" w14:paraId="235C9686" w14:textId="77777777" w:rsidTr="00DB336C">
        <w:trPr>
          <w:cantSplit/>
          <w:jc w:val="center"/>
        </w:trPr>
        <w:tc>
          <w:tcPr>
            <w:tcW w:w="6946" w:type="dxa"/>
          </w:tcPr>
          <w:p w14:paraId="68A9EEA0" w14:textId="77777777" w:rsidR="00075113" w:rsidRPr="0054133A" w:rsidRDefault="00075113" w:rsidP="00075113">
            <w:pPr>
              <w:pStyle w:val="Committee"/>
              <w:framePr w:hSpace="0" w:wrap="auto" w:hAnchor="text" w:yAlign="inline"/>
              <w:spacing w:after="0" w:line="240" w:lineRule="auto"/>
              <w:rPr>
                <w:lang w:val="es-ES"/>
              </w:rPr>
            </w:pPr>
          </w:p>
        </w:tc>
        <w:tc>
          <w:tcPr>
            <w:tcW w:w="3085" w:type="dxa"/>
          </w:tcPr>
          <w:p w14:paraId="5A344C36" w14:textId="0B22AE8F" w:rsidR="00075113" w:rsidRPr="0054133A" w:rsidRDefault="00075113" w:rsidP="003C1B77">
            <w:pPr>
              <w:spacing w:before="0"/>
              <w:rPr>
                <w:lang w:val="es-ES"/>
              </w:rPr>
            </w:pPr>
          </w:p>
        </w:tc>
      </w:tr>
      <w:tr w:rsidR="00075113" w:rsidRPr="0054133A" w14:paraId="78004F6B" w14:textId="77777777" w:rsidTr="00DB336C">
        <w:trPr>
          <w:cantSplit/>
          <w:jc w:val="center"/>
        </w:trPr>
        <w:tc>
          <w:tcPr>
            <w:tcW w:w="6946" w:type="dxa"/>
          </w:tcPr>
          <w:p w14:paraId="32076387" w14:textId="77777777" w:rsidR="00075113" w:rsidRPr="0054133A" w:rsidRDefault="00075113" w:rsidP="00075113">
            <w:pPr>
              <w:spacing w:before="0"/>
              <w:rPr>
                <w:b/>
                <w:bCs/>
                <w:lang w:val="es-ES"/>
              </w:rPr>
            </w:pPr>
          </w:p>
        </w:tc>
        <w:tc>
          <w:tcPr>
            <w:tcW w:w="3085" w:type="dxa"/>
          </w:tcPr>
          <w:p w14:paraId="60820B81" w14:textId="4E0E06AB" w:rsidR="00075113" w:rsidRPr="0054133A" w:rsidRDefault="003C1B77" w:rsidP="00075113">
            <w:pPr>
              <w:spacing w:before="0"/>
              <w:rPr>
                <w:b/>
                <w:bCs/>
                <w:lang w:val="es-ES"/>
              </w:rPr>
            </w:pPr>
            <w:r w:rsidRPr="0054133A">
              <w:rPr>
                <w:b/>
                <w:bCs/>
                <w:lang w:val="es-ES"/>
              </w:rPr>
              <w:t>29 de abril de 2026</w:t>
            </w:r>
          </w:p>
        </w:tc>
      </w:tr>
      <w:tr w:rsidR="00075113" w:rsidRPr="0054133A" w14:paraId="3963BB5D" w14:textId="77777777" w:rsidTr="00DB336C">
        <w:trPr>
          <w:cantSplit/>
          <w:jc w:val="center"/>
        </w:trPr>
        <w:tc>
          <w:tcPr>
            <w:tcW w:w="6946" w:type="dxa"/>
          </w:tcPr>
          <w:p w14:paraId="3EF3A9DE" w14:textId="77777777" w:rsidR="00075113" w:rsidRPr="0054133A" w:rsidRDefault="00075113" w:rsidP="00075113">
            <w:pPr>
              <w:spacing w:before="0"/>
              <w:rPr>
                <w:b/>
                <w:bCs/>
                <w:lang w:val="es-ES"/>
              </w:rPr>
            </w:pPr>
          </w:p>
        </w:tc>
        <w:tc>
          <w:tcPr>
            <w:tcW w:w="3085" w:type="dxa"/>
          </w:tcPr>
          <w:p w14:paraId="24C87601" w14:textId="77777777" w:rsidR="00075113" w:rsidRPr="0054133A" w:rsidRDefault="00075113" w:rsidP="003C1B77">
            <w:pPr>
              <w:spacing w:before="0"/>
              <w:rPr>
                <w:b/>
                <w:bCs/>
                <w:lang w:val="es-ES"/>
              </w:rPr>
            </w:pPr>
            <w:r w:rsidRPr="0054133A">
              <w:rPr>
                <w:b/>
                <w:bCs/>
                <w:lang w:val="es-ES"/>
              </w:rPr>
              <w:t>Original: inglés</w:t>
            </w:r>
          </w:p>
        </w:tc>
      </w:tr>
      <w:tr w:rsidR="00075113" w:rsidRPr="0054133A" w14:paraId="1F30108C" w14:textId="77777777" w:rsidTr="005A329F">
        <w:trPr>
          <w:cantSplit/>
          <w:jc w:val="center"/>
        </w:trPr>
        <w:tc>
          <w:tcPr>
            <w:tcW w:w="10031" w:type="dxa"/>
            <w:gridSpan w:val="2"/>
          </w:tcPr>
          <w:p w14:paraId="42179EB3" w14:textId="77777777" w:rsidR="00075113" w:rsidRPr="0054133A" w:rsidRDefault="00075113" w:rsidP="003C1B77">
            <w:pPr>
              <w:spacing w:before="0"/>
              <w:rPr>
                <w:b/>
                <w:bCs/>
                <w:lang w:val="es-ES"/>
              </w:rPr>
            </w:pPr>
          </w:p>
        </w:tc>
      </w:tr>
    </w:tbl>
    <w:p w14:paraId="32F3F4AD" w14:textId="77777777" w:rsidR="0054133A" w:rsidRPr="0054133A" w:rsidRDefault="0054133A" w:rsidP="0054133A">
      <w:pPr>
        <w:pStyle w:val="OpNo"/>
        <w:rPr>
          <w:lang w:val="es-ES"/>
        </w:rPr>
      </w:pPr>
      <w:r w:rsidRPr="0054133A">
        <w:rPr>
          <w:lang w:val="es-ES"/>
        </w:rPr>
        <w:t>PROYECTO DE OPINIÓN 5</w:t>
      </w:r>
    </w:p>
    <w:p w14:paraId="53FE72B4" w14:textId="56D8F455" w:rsidR="0054133A" w:rsidRPr="0054133A" w:rsidRDefault="0054133A" w:rsidP="0054133A">
      <w:pPr>
        <w:pStyle w:val="Optitle0"/>
        <w:rPr>
          <w:lang w:val="es-ES"/>
        </w:rPr>
      </w:pPr>
      <w:r w:rsidRPr="0054133A">
        <w:rPr>
          <w:lang w:val="es-ES"/>
        </w:rPr>
        <w:t xml:space="preserve">El fortalecimiento de los ecosistemas de innovación centrados </w:t>
      </w:r>
      <w:r w:rsidRPr="0054133A">
        <w:rPr>
          <w:lang w:val="es-ES"/>
        </w:rPr>
        <w:br/>
        <w:t>en las TIC y del espíritu empresarial</w:t>
      </w:r>
    </w:p>
    <w:p w14:paraId="638345C5" w14:textId="77777777" w:rsidR="0054133A" w:rsidRPr="0054133A" w:rsidRDefault="0054133A" w:rsidP="0054133A">
      <w:pPr>
        <w:pStyle w:val="Normalaftertitle"/>
        <w:rPr>
          <w:lang w:val="es-ES"/>
        </w:rPr>
      </w:pPr>
      <w:r w:rsidRPr="0054133A">
        <w:rPr>
          <w:lang w:val="es-ES"/>
        </w:rPr>
        <w:t>El séptimo Foro Mundial de Política de Telecomunicaciones/TIC (Nassau, 2026),</w:t>
      </w:r>
    </w:p>
    <w:p w14:paraId="3E18835D" w14:textId="77777777" w:rsidR="0054133A" w:rsidRPr="0054133A" w:rsidRDefault="0054133A" w:rsidP="0054133A">
      <w:pPr>
        <w:pStyle w:val="Call"/>
        <w:rPr>
          <w:lang w:val="es-ES"/>
        </w:rPr>
      </w:pPr>
      <w:r w:rsidRPr="0054133A">
        <w:rPr>
          <w:lang w:val="es-ES"/>
        </w:rPr>
        <w:t>recordando</w:t>
      </w:r>
    </w:p>
    <w:p w14:paraId="4D7456BC" w14:textId="0F79E091" w:rsidR="0054133A" w:rsidRPr="0054133A" w:rsidRDefault="0054133A" w:rsidP="00E754F5">
      <w:pPr>
        <w:jc w:val="both"/>
        <w:rPr>
          <w:lang w:val="es-ES"/>
        </w:rPr>
      </w:pPr>
      <w:r w:rsidRPr="0054133A">
        <w:rPr>
          <w:i/>
          <w:iCs/>
          <w:lang w:val="es-ES"/>
        </w:rPr>
        <w:t>a)</w:t>
      </w:r>
      <w:r w:rsidRPr="0054133A">
        <w:rPr>
          <w:lang w:val="es-ES"/>
        </w:rPr>
        <w:tab/>
        <w:t>la Resolución</w:t>
      </w:r>
      <w:r>
        <w:rPr>
          <w:lang w:val="es-ES"/>
        </w:rPr>
        <w:t> </w:t>
      </w:r>
      <w:r w:rsidRPr="0054133A">
        <w:rPr>
          <w:lang w:val="es-ES"/>
        </w:rPr>
        <w:t>80/173 de la Asamblea General de las Naciones Unidas (AGNU), sobre el documento final de la reunión de alto nivel sobre el examen general de la aplicación de los resultados de la Cumbre Mundial sobre la Sociedad de la Información (CMSI+20);</w:t>
      </w:r>
    </w:p>
    <w:p w14:paraId="03303CDF" w14:textId="111D10AF" w:rsidR="0054133A" w:rsidRPr="0054133A" w:rsidRDefault="0054133A" w:rsidP="00E754F5">
      <w:pPr>
        <w:jc w:val="both"/>
        <w:rPr>
          <w:lang w:val="es-ES"/>
        </w:rPr>
      </w:pPr>
      <w:r w:rsidRPr="0054133A">
        <w:rPr>
          <w:i/>
          <w:iCs/>
          <w:lang w:val="es-ES"/>
        </w:rPr>
        <w:t>b)</w:t>
      </w:r>
      <w:r w:rsidRPr="0054133A">
        <w:rPr>
          <w:lang w:val="es-ES"/>
        </w:rPr>
        <w:tab/>
        <w:t>la Resolución</w:t>
      </w:r>
      <w:r>
        <w:rPr>
          <w:lang w:val="es-ES"/>
        </w:rPr>
        <w:t> </w:t>
      </w:r>
      <w:r w:rsidRPr="0054133A">
        <w:rPr>
          <w:lang w:val="es-ES"/>
        </w:rPr>
        <w:t>79/1 de la</w:t>
      </w:r>
      <w:r>
        <w:rPr>
          <w:lang w:val="es-ES"/>
        </w:rPr>
        <w:t> </w:t>
      </w:r>
      <w:r w:rsidRPr="0054133A">
        <w:rPr>
          <w:lang w:val="es-ES"/>
        </w:rPr>
        <w:t>AGNU, sobre el Pacto para el Futuro;</w:t>
      </w:r>
    </w:p>
    <w:p w14:paraId="6C9BF0EE" w14:textId="31138CE1" w:rsidR="0054133A" w:rsidRPr="0054133A" w:rsidRDefault="0054133A" w:rsidP="00E754F5">
      <w:pPr>
        <w:jc w:val="both"/>
        <w:rPr>
          <w:lang w:val="es-ES"/>
        </w:rPr>
      </w:pPr>
      <w:r w:rsidRPr="0054133A">
        <w:rPr>
          <w:i/>
          <w:iCs/>
          <w:lang w:val="es-ES"/>
        </w:rPr>
        <w:t>c)</w:t>
      </w:r>
      <w:r w:rsidRPr="0054133A">
        <w:rPr>
          <w:lang w:val="es-ES"/>
        </w:rPr>
        <w:tab/>
        <w:t>la Resolución</w:t>
      </w:r>
      <w:r>
        <w:rPr>
          <w:lang w:val="es-ES"/>
        </w:rPr>
        <w:t> </w:t>
      </w:r>
      <w:r w:rsidRPr="0054133A">
        <w:rPr>
          <w:lang w:val="es-ES"/>
        </w:rPr>
        <w:t>70/1 de la</w:t>
      </w:r>
      <w:r>
        <w:rPr>
          <w:lang w:val="es-ES"/>
        </w:rPr>
        <w:t> </w:t>
      </w:r>
      <w:r w:rsidRPr="0054133A">
        <w:rPr>
          <w:lang w:val="es-ES"/>
        </w:rPr>
        <w:t xml:space="preserve">AGNU, </w:t>
      </w:r>
      <w:r w:rsidRPr="0054133A">
        <w:rPr>
          <w:i/>
          <w:iCs/>
          <w:lang w:val="es-ES"/>
        </w:rPr>
        <w:t>Transformar nuestro mundo: la Agenda</w:t>
      </w:r>
      <w:r w:rsidR="007424AD">
        <w:rPr>
          <w:i/>
          <w:iCs/>
          <w:lang w:val="es-ES"/>
        </w:rPr>
        <w:t> </w:t>
      </w:r>
      <w:r w:rsidRPr="0054133A">
        <w:rPr>
          <w:i/>
          <w:iCs/>
          <w:lang w:val="es-ES"/>
        </w:rPr>
        <w:t>2030 para el Desarrollo Sostenible</w:t>
      </w:r>
      <w:r w:rsidRPr="0054133A">
        <w:rPr>
          <w:lang w:val="es-ES"/>
        </w:rPr>
        <w:t>, en particular los Objetivos de Desarrollo Sostenible</w:t>
      </w:r>
      <w:r>
        <w:rPr>
          <w:lang w:val="es-ES"/>
        </w:rPr>
        <w:t> </w:t>
      </w:r>
      <w:r w:rsidRPr="0054133A">
        <w:rPr>
          <w:lang w:val="es-ES"/>
        </w:rPr>
        <w:t xml:space="preserve">8, sobre </w:t>
      </w:r>
      <w:r w:rsidR="008543D4">
        <w:rPr>
          <w:lang w:val="es-ES"/>
        </w:rPr>
        <w:t>promover el crecimiento económico sostenido, inclusivo y sostenible, el empleo pleno y productivo y el trabajo decente para todos</w:t>
      </w:r>
      <w:r w:rsidRPr="0054133A">
        <w:rPr>
          <w:lang w:val="es-ES"/>
        </w:rPr>
        <w:t xml:space="preserve">, y 9, sobre </w:t>
      </w:r>
      <w:r w:rsidR="008543D4">
        <w:rPr>
          <w:lang w:val="es-ES"/>
        </w:rPr>
        <w:t>construir infraestructuras resilientes, promover la industrialización inclusiva y sostenible y fomentar la innovación</w:t>
      </w:r>
      <w:r w:rsidRPr="0054133A">
        <w:rPr>
          <w:lang w:val="es-ES"/>
        </w:rPr>
        <w:t>;</w:t>
      </w:r>
    </w:p>
    <w:p w14:paraId="3576C3F7" w14:textId="1EFEEEB3" w:rsidR="0054133A" w:rsidRPr="0054133A" w:rsidRDefault="0054133A" w:rsidP="00E754F5">
      <w:pPr>
        <w:jc w:val="both"/>
        <w:rPr>
          <w:lang w:val="es-ES"/>
        </w:rPr>
      </w:pPr>
      <w:r w:rsidRPr="0054133A">
        <w:rPr>
          <w:i/>
          <w:iCs/>
          <w:lang w:val="es-ES"/>
        </w:rPr>
        <w:t>d)</w:t>
      </w:r>
      <w:r w:rsidRPr="0054133A">
        <w:rPr>
          <w:lang w:val="es-ES"/>
        </w:rPr>
        <w:tab/>
        <w:t>la Resolución</w:t>
      </w:r>
      <w:r>
        <w:rPr>
          <w:lang w:val="es-ES"/>
        </w:rPr>
        <w:t> </w:t>
      </w:r>
      <w:r w:rsidRPr="0054133A">
        <w:rPr>
          <w:lang w:val="es-ES"/>
        </w:rPr>
        <w:t>198 (Rev.</w:t>
      </w:r>
      <w:r>
        <w:rPr>
          <w:lang w:val="es-ES"/>
        </w:rPr>
        <w:t> </w:t>
      </w:r>
      <w:r w:rsidRPr="0054133A">
        <w:rPr>
          <w:lang w:val="es-ES"/>
        </w:rPr>
        <w:t>Bucarest,</w:t>
      </w:r>
      <w:r>
        <w:rPr>
          <w:lang w:val="es-ES"/>
        </w:rPr>
        <w:t> </w:t>
      </w:r>
      <w:r w:rsidRPr="0054133A">
        <w:rPr>
          <w:lang w:val="es-ES"/>
        </w:rPr>
        <w:t>2022) de la Conferencia de Plenipotenciarios, sobre el empoderamiento de la juventud a través de las telecomunicaciones/tecnologías de la información y la comunicación (TIC);</w:t>
      </w:r>
    </w:p>
    <w:p w14:paraId="28489BB2" w14:textId="0B5988BE" w:rsidR="0054133A" w:rsidRPr="0054133A" w:rsidRDefault="0054133A" w:rsidP="00E754F5">
      <w:pPr>
        <w:jc w:val="both"/>
        <w:rPr>
          <w:lang w:val="es-ES"/>
        </w:rPr>
      </w:pPr>
      <w:r w:rsidRPr="0054133A">
        <w:rPr>
          <w:i/>
          <w:iCs/>
          <w:lang w:val="es-ES"/>
        </w:rPr>
        <w:t>e)</w:t>
      </w:r>
      <w:r w:rsidRPr="0054133A">
        <w:rPr>
          <w:lang w:val="es-ES"/>
        </w:rPr>
        <w:tab/>
        <w:t>la Resolución</w:t>
      </w:r>
      <w:r>
        <w:rPr>
          <w:lang w:val="es-ES"/>
        </w:rPr>
        <w:t> </w:t>
      </w:r>
      <w:r w:rsidRPr="0054133A">
        <w:rPr>
          <w:lang w:val="es-ES"/>
        </w:rPr>
        <w:t>205 (Rev.</w:t>
      </w:r>
      <w:r>
        <w:rPr>
          <w:lang w:val="es-ES"/>
        </w:rPr>
        <w:t> </w:t>
      </w:r>
      <w:r w:rsidRPr="0054133A">
        <w:rPr>
          <w:lang w:val="es-ES"/>
        </w:rPr>
        <w:t>Bucarest,</w:t>
      </w:r>
      <w:r>
        <w:rPr>
          <w:lang w:val="es-ES"/>
        </w:rPr>
        <w:t> </w:t>
      </w:r>
      <w:r w:rsidRPr="0054133A">
        <w:rPr>
          <w:lang w:val="es-ES"/>
        </w:rPr>
        <w:t>2022) de la Conferencia de Plenipotenciarios, sobre el papel de la</w:t>
      </w:r>
      <w:r>
        <w:rPr>
          <w:lang w:val="es-ES"/>
        </w:rPr>
        <w:t> </w:t>
      </w:r>
      <w:r w:rsidRPr="0054133A">
        <w:rPr>
          <w:lang w:val="es-ES"/>
        </w:rPr>
        <w:t>UIT en el fomento de la innovación centrada en las telecomunicaciones/TIC para impulsar la economía y la sociedad digitales;</w:t>
      </w:r>
    </w:p>
    <w:p w14:paraId="0489C1A7" w14:textId="2A6B23A4" w:rsidR="0054133A" w:rsidRPr="0054133A" w:rsidRDefault="0054133A" w:rsidP="00E754F5">
      <w:pPr>
        <w:jc w:val="both"/>
        <w:rPr>
          <w:lang w:val="es-ES"/>
        </w:rPr>
      </w:pPr>
      <w:r w:rsidRPr="0054133A">
        <w:rPr>
          <w:i/>
          <w:iCs/>
          <w:lang w:val="es-ES"/>
        </w:rPr>
        <w:t>f)</w:t>
      </w:r>
      <w:r w:rsidRPr="0054133A">
        <w:rPr>
          <w:lang w:val="es-ES"/>
        </w:rPr>
        <w:tab/>
        <w:t>la Resolución</w:t>
      </w:r>
      <w:r>
        <w:rPr>
          <w:lang w:val="es-ES"/>
        </w:rPr>
        <w:t> </w:t>
      </w:r>
      <w:r w:rsidRPr="0054133A">
        <w:rPr>
          <w:lang w:val="es-ES"/>
        </w:rPr>
        <w:t>209 (Rev.</w:t>
      </w:r>
      <w:r>
        <w:rPr>
          <w:lang w:val="es-ES"/>
        </w:rPr>
        <w:t> </w:t>
      </w:r>
      <w:r w:rsidRPr="0054133A">
        <w:rPr>
          <w:lang w:val="es-ES"/>
        </w:rPr>
        <w:t>Bucarest,</w:t>
      </w:r>
      <w:r>
        <w:rPr>
          <w:lang w:val="es-ES"/>
        </w:rPr>
        <w:t> </w:t>
      </w:r>
      <w:r w:rsidRPr="0054133A">
        <w:rPr>
          <w:lang w:val="es-ES"/>
        </w:rPr>
        <w:t>2022) de la Conferencia de Plenipotenciarios, sobre el fomento de la participación de las pequeñas y medianas empresas en los trabajos de la Unión,</w:t>
      </w:r>
    </w:p>
    <w:p w14:paraId="33D6C9CF" w14:textId="77777777" w:rsidR="0054133A" w:rsidRPr="0054133A" w:rsidRDefault="0054133A" w:rsidP="0054133A">
      <w:pPr>
        <w:pStyle w:val="Call"/>
        <w:rPr>
          <w:lang w:val="es-ES"/>
        </w:rPr>
      </w:pPr>
      <w:r w:rsidRPr="0054133A">
        <w:rPr>
          <w:lang w:val="es-ES"/>
        </w:rPr>
        <w:t>reconociendo</w:t>
      </w:r>
    </w:p>
    <w:p w14:paraId="5208CF22" w14:textId="3EBC3AFE" w:rsidR="0054133A" w:rsidRPr="0054133A" w:rsidRDefault="0054133A" w:rsidP="00E754F5">
      <w:pPr>
        <w:jc w:val="both"/>
        <w:rPr>
          <w:lang w:val="es-ES"/>
        </w:rPr>
      </w:pPr>
      <w:r w:rsidRPr="0054133A">
        <w:rPr>
          <w:i/>
          <w:iCs/>
          <w:lang w:val="es-ES"/>
        </w:rPr>
        <w:t>a)</w:t>
      </w:r>
      <w:r w:rsidRPr="0054133A">
        <w:rPr>
          <w:lang w:val="es-ES"/>
        </w:rPr>
        <w:tab/>
        <w:t>que los ecosistemas de innovación centrados en las</w:t>
      </w:r>
      <w:r>
        <w:rPr>
          <w:lang w:val="es-ES"/>
        </w:rPr>
        <w:t> </w:t>
      </w:r>
      <w:r w:rsidRPr="0054133A">
        <w:rPr>
          <w:lang w:val="es-ES"/>
        </w:rPr>
        <w:t>TIC pueden fomentar el desarrollo socioeconómico y la revitalización de las comunidades, hacer frente a los retos medioambientales e impulsar el desarrollo sostenible, al tiempo que incrementan la inclusividad, generan economías de escala y reducen la brecha digital;</w:t>
      </w:r>
    </w:p>
    <w:p w14:paraId="36FF2963" w14:textId="1594F8A5" w:rsidR="0054133A" w:rsidRPr="0054133A" w:rsidRDefault="0054133A" w:rsidP="00F43A73">
      <w:pPr>
        <w:jc w:val="both"/>
        <w:rPr>
          <w:lang w:val="es-ES"/>
        </w:rPr>
      </w:pPr>
      <w:r w:rsidRPr="0054133A">
        <w:rPr>
          <w:i/>
          <w:iCs/>
          <w:lang w:val="es-ES"/>
        </w:rPr>
        <w:t>b)</w:t>
      </w:r>
      <w:r w:rsidRPr="0054133A">
        <w:rPr>
          <w:lang w:val="es-ES"/>
        </w:rPr>
        <w:tab/>
        <w:t>que, en su condición de nativos digitales, los jóvenes han de desempeñar funciones importantes en los ecosistemas de innovación centrados en las</w:t>
      </w:r>
      <w:r>
        <w:rPr>
          <w:lang w:val="es-ES"/>
        </w:rPr>
        <w:t> </w:t>
      </w:r>
      <w:r w:rsidRPr="0054133A">
        <w:rPr>
          <w:lang w:val="es-ES"/>
        </w:rPr>
        <w:t>TIC y en el espíritu empresarial;</w:t>
      </w:r>
    </w:p>
    <w:p w14:paraId="75E3933A" w14:textId="78CA5C11" w:rsidR="0054133A" w:rsidRPr="0054133A" w:rsidRDefault="0054133A" w:rsidP="00E754F5">
      <w:pPr>
        <w:jc w:val="both"/>
        <w:rPr>
          <w:lang w:val="es-ES"/>
        </w:rPr>
      </w:pPr>
      <w:r w:rsidRPr="0054133A">
        <w:rPr>
          <w:i/>
          <w:iCs/>
          <w:lang w:val="es-ES"/>
        </w:rPr>
        <w:lastRenderedPageBreak/>
        <w:t>c)</w:t>
      </w:r>
      <w:r w:rsidRPr="0054133A">
        <w:rPr>
          <w:lang w:val="es-ES"/>
        </w:rPr>
        <w:tab/>
        <w:t>que el apoyo a los ecosistemas de innovación centrados en las</w:t>
      </w:r>
      <w:r>
        <w:rPr>
          <w:lang w:val="es-ES"/>
        </w:rPr>
        <w:t> </w:t>
      </w:r>
      <w:r w:rsidRPr="0054133A">
        <w:rPr>
          <w:lang w:val="es-ES"/>
        </w:rPr>
        <w:t>TIC y al espíritu empresarial, incluso mediante la promoción de un entorno propicio, resulta fundamental para la transformación y la inclusión digitales;</w:t>
      </w:r>
    </w:p>
    <w:p w14:paraId="36941739" w14:textId="259F6A35" w:rsidR="0054133A" w:rsidRPr="0054133A" w:rsidRDefault="0054133A" w:rsidP="00E754F5">
      <w:pPr>
        <w:jc w:val="both"/>
        <w:rPr>
          <w:lang w:val="es-ES"/>
        </w:rPr>
      </w:pPr>
      <w:r w:rsidRPr="0054133A">
        <w:rPr>
          <w:i/>
          <w:iCs/>
          <w:lang w:val="es-ES"/>
        </w:rPr>
        <w:t>d)</w:t>
      </w:r>
      <w:r w:rsidRPr="0054133A">
        <w:rPr>
          <w:lang w:val="es-ES"/>
        </w:rPr>
        <w:tab/>
        <w:t>que los emprendedores de empresas emergentes y las micro, pequeñas y medianas empresas (mipymes), especialmente los de países en desarrollo y de zonas no atendidas, e insuficientemente atendidas, pueden enfrentarse a retos en materia de innovación centrada en las</w:t>
      </w:r>
      <w:r>
        <w:rPr>
          <w:lang w:val="es-ES"/>
        </w:rPr>
        <w:t> </w:t>
      </w:r>
      <w:r w:rsidRPr="0054133A">
        <w:rPr>
          <w:lang w:val="es-ES"/>
        </w:rPr>
        <w:t>TIC, y que dichos retos deberían abordarse de manera holística;</w:t>
      </w:r>
    </w:p>
    <w:p w14:paraId="6A4BC8FC" w14:textId="63003BE1" w:rsidR="0054133A" w:rsidRPr="0054133A" w:rsidRDefault="0054133A" w:rsidP="00E754F5">
      <w:pPr>
        <w:jc w:val="both"/>
        <w:rPr>
          <w:lang w:val="es-ES"/>
        </w:rPr>
      </w:pPr>
      <w:r w:rsidRPr="0054133A">
        <w:rPr>
          <w:i/>
          <w:iCs/>
          <w:lang w:val="es-ES"/>
        </w:rPr>
        <w:t>e)</w:t>
      </w:r>
      <w:r w:rsidRPr="0054133A">
        <w:rPr>
          <w:lang w:val="es-ES"/>
        </w:rPr>
        <w:tab/>
        <w:t>que las brechas digitales constituyen un obstáculo esencial para el espíritu empresarial en el ámbito de las telecomunicaciones/TIC y para la innovación centrada en las</w:t>
      </w:r>
      <w:r>
        <w:rPr>
          <w:lang w:val="es-ES"/>
        </w:rPr>
        <w:t> </w:t>
      </w:r>
      <w:r w:rsidRPr="0054133A">
        <w:rPr>
          <w:lang w:val="es-ES"/>
        </w:rPr>
        <w:t>TIC;</w:t>
      </w:r>
    </w:p>
    <w:p w14:paraId="786A5F3C" w14:textId="56974122" w:rsidR="0054133A" w:rsidRPr="0054133A" w:rsidRDefault="0054133A" w:rsidP="00E754F5">
      <w:pPr>
        <w:jc w:val="both"/>
        <w:rPr>
          <w:lang w:val="es-ES"/>
        </w:rPr>
      </w:pPr>
      <w:r w:rsidRPr="0054133A">
        <w:rPr>
          <w:i/>
          <w:iCs/>
          <w:lang w:val="es-ES"/>
        </w:rPr>
        <w:t>f)</w:t>
      </w:r>
      <w:r w:rsidRPr="0054133A">
        <w:rPr>
          <w:lang w:val="es-ES"/>
        </w:rPr>
        <w:tab/>
        <w:t>que la</w:t>
      </w:r>
      <w:r>
        <w:rPr>
          <w:lang w:val="es-ES"/>
        </w:rPr>
        <w:t> </w:t>
      </w:r>
      <w:r w:rsidRPr="0054133A">
        <w:rPr>
          <w:lang w:val="es-ES"/>
        </w:rPr>
        <w:t>UIT viene contribuyendo al desarrollo sostenible de la economía digital mundial mediante la promoción del acceso a las telecomunicaciones/TIC y de su desarrollo, el impulso de la normalización de las telecomunicaciones/TIC y el fomento de asociaciones,</w:t>
      </w:r>
    </w:p>
    <w:p w14:paraId="23D46C05" w14:textId="77777777" w:rsidR="0054133A" w:rsidRPr="0054133A" w:rsidRDefault="0054133A" w:rsidP="0054133A">
      <w:pPr>
        <w:pStyle w:val="Call"/>
        <w:rPr>
          <w:lang w:val="es-ES"/>
        </w:rPr>
      </w:pPr>
      <w:r w:rsidRPr="0054133A">
        <w:rPr>
          <w:lang w:val="es-ES"/>
        </w:rPr>
        <w:t>considerando</w:t>
      </w:r>
    </w:p>
    <w:p w14:paraId="2740D2F6" w14:textId="45D967FF" w:rsidR="0054133A" w:rsidRPr="0054133A" w:rsidRDefault="0054133A" w:rsidP="00E754F5">
      <w:pPr>
        <w:jc w:val="both"/>
        <w:rPr>
          <w:lang w:val="es-ES"/>
        </w:rPr>
      </w:pPr>
      <w:r w:rsidRPr="0054133A">
        <w:rPr>
          <w:lang w:val="es-ES"/>
        </w:rPr>
        <w:t>que</w:t>
      </w:r>
      <w:r w:rsidRPr="0054133A">
        <w:rPr>
          <w:i/>
          <w:iCs/>
          <w:lang w:val="es-ES"/>
        </w:rPr>
        <w:t xml:space="preserve"> </w:t>
      </w:r>
      <w:r w:rsidRPr="0054133A">
        <w:rPr>
          <w:lang w:val="es-ES"/>
        </w:rPr>
        <w:t>las partes interesadas, entre ellas los gobiernos, el sector privado, la sociedad civil, la comunidad técnica y las instituciones académicas, así como las organizaciones internacionales, han de desempeñar funciones importantes en un ecosistema que aliente y respalde la innovación centrada en las</w:t>
      </w:r>
      <w:r>
        <w:rPr>
          <w:lang w:val="es-ES"/>
        </w:rPr>
        <w:t> </w:t>
      </w:r>
      <w:r w:rsidRPr="0054133A">
        <w:rPr>
          <w:lang w:val="es-ES"/>
        </w:rPr>
        <w:t>TIC y el espíritu empresarial,</w:t>
      </w:r>
    </w:p>
    <w:p w14:paraId="7CE9E45B" w14:textId="77777777" w:rsidR="0054133A" w:rsidRPr="0054133A" w:rsidRDefault="0054133A" w:rsidP="0054133A">
      <w:pPr>
        <w:pStyle w:val="Call"/>
        <w:rPr>
          <w:lang w:val="es-ES"/>
        </w:rPr>
      </w:pPr>
      <w:r w:rsidRPr="0054133A">
        <w:rPr>
          <w:lang w:val="es-ES"/>
        </w:rPr>
        <w:t>opina</w:t>
      </w:r>
    </w:p>
    <w:p w14:paraId="33EA71B8" w14:textId="77777777" w:rsidR="0054133A" w:rsidRPr="00F43A73" w:rsidRDefault="0054133A" w:rsidP="00E754F5">
      <w:pPr>
        <w:jc w:val="both"/>
        <w:rPr>
          <w:spacing w:val="-3"/>
          <w:lang w:val="es-ES"/>
        </w:rPr>
      </w:pPr>
      <w:r w:rsidRPr="00F43A73">
        <w:rPr>
          <w:spacing w:val="-3"/>
          <w:lang w:val="es-ES"/>
        </w:rPr>
        <w:t>1</w:t>
      </w:r>
      <w:r w:rsidRPr="00F43A73">
        <w:rPr>
          <w:spacing w:val="-3"/>
          <w:lang w:val="es-ES"/>
        </w:rPr>
        <w:tab/>
        <w:t>que las telecomunicaciones/TIC constituyen factores propiciadores fundamentales del espíritu empresarial y ofrecen oportunidades considerables de crecimiento, innovación y desarrollo sostenible;</w:t>
      </w:r>
    </w:p>
    <w:p w14:paraId="441960A8" w14:textId="47BA8F08" w:rsidR="0054133A" w:rsidRPr="0054133A" w:rsidRDefault="0054133A" w:rsidP="00E754F5">
      <w:pPr>
        <w:jc w:val="both"/>
        <w:rPr>
          <w:lang w:val="es-ES"/>
        </w:rPr>
      </w:pPr>
      <w:r w:rsidRPr="0054133A">
        <w:rPr>
          <w:lang w:val="es-ES"/>
        </w:rPr>
        <w:t>2</w:t>
      </w:r>
      <w:r w:rsidRPr="0054133A">
        <w:rPr>
          <w:lang w:val="es-ES"/>
        </w:rPr>
        <w:tab/>
        <w:t>que el fortalecimiento de los ecosistemas de innovación centrados en las</w:t>
      </w:r>
      <w:r>
        <w:rPr>
          <w:lang w:val="es-ES"/>
        </w:rPr>
        <w:t> </w:t>
      </w:r>
      <w:r w:rsidRPr="0054133A">
        <w:rPr>
          <w:lang w:val="es-ES"/>
        </w:rPr>
        <w:t>TIC y del espíritu empresarial comporta la activación de factores fundamentales, tales como el acceso al capital, a las telecomunicaciones/TIC y a un conjunto diverso de competencias digitales; el fomento de las asociaciones público-privadas, incluso con fines de financiación; la garantía de mercados abiertos y competitivos que permitan a los nuevos agentes incorporarse, innovar y crecer; y la racionalización de los marcos reglamentarios;</w:t>
      </w:r>
    </w:p>
    <w:p w14:paraId="1C9DEB72" w14:textId="68A74E86" w:rsidR="0054133A" w:rsidRPr="0054133A" w:rsidRDefault="0054133A" w:rsidP="00E754F5">
      <w:pPr>
        <w:jc w:val="both"/>
        <w:rPr>
          <w:lang w:val="es-ES"/>
        </w:rPr>
      </w:pPr>
      <w:r w:rsidRPr="0054133A">
        <w:rPr>
          <w:lang w:val="es-ES"/>
        </w:rPr>
        <w:t>3</w:t>
      </w:r>
      <w:r w:rsidRPr="0054133A">
        <w:rPr>
          <w:lang w:val="es-ES"/>
        </w:rPr>
        <w:tab/>
        <w:t>que la elaboración de políticas basada en datos empíricos, así como unos marcos reglamentarios transparentes y previsibles que fomenten la transformación digital, deberían actualizarse con arreglo a las prácticas idóneas, puesto que resultan esenciales para fomentar la innovación centrada en las</w:t>
      </w:r>
      <w:r>
        <w:rPr>
          <w:lang w:val="es-ES"/>
        </w:rPr>
        <w:t> </w:t>
      </w:r>
      <w:r w:rsidRPr="0054133A">
        <w:rPr>
          <w:lang w:val="es-ES"/>
        </w:rPr>
        <w:t>TIC y el espíritu empresarial en beneficio de los emprendedores y las mipymes, facilitando al mismo tiempo la colaboración con las grandes empresas y su integración en los ecosistemas de innovación;</w:t>
      </w:r>
    </w:p>
    <w:p w14:paraId="715E22CB" w14:textId="77777777" w:rsidR="0054133A" w:rsidRPr="0054133A" w:rsidRDefault="0054133A" w:rsidP="00E754F5">
      <w:pPr>
        <w:jc w:val="both"/>
        <w:rPr>
          <w:lang w:val="es-ES"/>
        </w:rPr>
      </w:pPr>
      <w:r w:rsidRPr="0054133A">
        <w:rPr>
          <w:lang w:val="es-ES"/>
        </w:rPr>
        <w:t>4</w:t>
      </w:r>
      <w:r w:rsidRPr="0054133A">
        <w:rPr>
          <w:lang w:val="es-ES"/>
        </w:rPr>
        <w:tab/>
        <w:t>que resultan esenciales unos esfuerzos sostenidos para aprovechar las oportunidades de la economía digital y del ecosistema de las telecomunicaciones/TIC, y para posibilitar una mayor participación e integración en la transformación digital, de modo que todas las partes interesadas puedan contribuir a la creación de un entorno normativo sólido y flexible en el sector de las telecomunicaciones/TIC;</w:t>
      </w:r>
    </w:p>
    <w:p w14:paraId="4369B04B" w14:textId="77777777" w:rsidR="0054133A" w:rsidRPr="0054133A" w:rsidRDefault="0054133A" w:rsidP="0054133A">
      <w:pPr>
        <w:rPr>
          <w:lang w:val="es-ES"/>
        </w:rPr>
      </w:pPr>
      <w:r w:rsidRPr="0054133A">
        <w:rPr>
          <w:lang w:val="es-ES"/>
        </w:rPr>
        <w:t>5</w:t>
      </w:r>
      <w:r w:rsidRPr="0054133A">
        <w:rPr>
          <w:lang w:val="es-ES"/>
        </w:rPr>
        <w:tab/>
        <w:t xml:space="preserve">que el </w:t>
      </w:r>
      <w:r w:rsidRPr="0054133A">
        <w:rPr>
          <w:i/>
          <w:iCs/>
          <w:lang w:val="es-ES"/>
        </w:rPr>
        <w:t>software</w:t>
      </w:r>
      <w:r w:rsidRPr="0054133A">
        <w:rPr>
          <w:lang w:val="es-ES"/>
        </w:rPr>
        <w:t xml:space="preserve"> de código abierto podría resultar beneficioso para que los emprendedores y las mipymes accedan a los servicios y tecnologías de telecomunicaciones/TIC nuevos e incipientes y los desplieguen;</w:t>
      </w:r>
    </w:p>
    <w:p w14:paraId="489D1279" w14:textId="77777777" w:rsidR="0054133A" w:rsidRPr="00F43A73" w:rsidRDefault="0054133A" w:rsidP="00F43A73">
      <w:pPr>
        <w:jc w:val="both"/>
        <w:rPr>
          <w:spacing w:val="-2"/>
          <w:lang w:val="es-ES"/>
        </w:rPr>
      </w:pPr>
      <w:r w:rsidRPr="00F43A73">
        <w:rPr>
          <w:spacing w:val="-2"/>
          <w:lang w:val="es-ES"/>
        </w:rPr>
        <w:lastRenderedPageBreak/>
        <w:t>6</w:t>
      </w:r>
      <w:r w:rsidRPr="00F43A73">
        <w:rPr>
          <w:spacing w:val="-2"/>
          <w:lang w:val="es-ES"/>
        </w:rPr>
        <w:tab/>
        <w:t>que la disponibilidad y la calidad de las oportunidades de capacitación digital, incluso mediante los planes de estudio escolares y el aprendizaje a lo largo de toda la vida, desempeñan una función esencial en la configuración del potencial de innovación y espíritu empresarial de una sociedad;</w:t>
      </w:r>
    </w:p>
    <w:p w14:paraId="4CDA9502" w14:textId="77777777" w:rsidR="0054133A" w:rsidRPr="0054133A" w:rsidRDefault="0054133A" w:rsidP="00F43A73">
      <w:pPr>
        <w:jc w:val="both"/>
        <w:rPr>
          <w:lang w:val="es-ES"/>
        </w:rPr>
      </w:pPr>
      <w:r w:rsidRPr="0054133A">
        <w:rPr>
          <w:lang w:val="es-ES"/>
        </w:rPr>
        <w:t>7</w:t>
      </w:r>
      <w:r w:rsidRPr="0054133A">
        <w:rPr>
          <w:lang w:val="es-ES"/>
        </w:rPr>
        <w:tab/>
        <w:t>que es importante dotar de autonomía empresarial a las comunidades no atendidas e insuficientemente atendidas, procurando garantizar su acceso a los factores propiciadores fundamentales de la innovación, tales como la financiación, con medidas deliberadas para acelerar la participación de las mujeres y los jóvenes;</w:t>
      </w:r>
    </w:p>
    <w:p w14:paraId="78933A86" w14:textId="45436E6F" w:rsidR="0054133A" w:rsidRPr="0054133A" w:rsidRDefault="0054133A" w:rsidP="00F43A73">
      <w:pPr>
        <w:jc w:val="both"/>
        <w:rPr>
          <w:lang w:val="es-ES"/>
        </w:rPr>
      </w:pPr>
      <w:r w:rsidRPr="0054133A">
        <w:rPr>
          <w:lang w:val="es-ES"/>
        </w:rPr>
        <w:t>8</w:t>
      </w:r>
      <w:r w:rsidRPr="0054133A">
        <w:rPr>
          <w:lang w:val="es-ES"/>
        </w:rPr>
        <w:tab/>
        <w:t>que la</w:t>
      </w:r>
      <w:r>
        <w:rPr>
          <w:lang w:val="es-ES"/>
        </w:rPr>
        <w:t> </w:t>
      </w:r>
      <w:r w:rsidRPr="0054133A">
        <w:rPr>
          <w:lang w:val="es-ES"/>
        </w:rPr>
        <w:t>UIT, en el marco de su mandato y de sus mecanismos existentes, puede seguir reforzando su función de apoyo a los ecosistemas de innovación centrados en las</w:t>
      </w:r>
      <w:r>
        <w:rPr>
          <w:lang w:val="es-ES"/>
        </w:rPr>
        <w:t> </w:t>
      </w:r>
      <w:r w:rsidRPr="0054133A">
        <w:rPr>
          <w:lang w:val="es-ES"/>
        </w:rPr>
        <w:t>TIC y al espíritu empresarial, y contribuir al desarrollo de la economía digital,</w:t>
      </w:r>
    </w:p>
    <w:p w14:paraId="43392DDA" w14:textId="77777777" w:rsidR="0054133A" w:rsidRPr="0054133A" w:rsidRDefault="0054133A" w:rsidP="0054133A">
      <w:pPr>
        <w:pStyle w:val="Call"/>
        <w:rPr>
          <w:lang w:val="es-ES"/>
        </w:rPr>
      </w:pPr>
      <w:r w:rsidRPr="0054133A">
        <w:rPr>
          <w:lang w:val="es-ES"/>
        </w:rPr>
        <w:t>invita a los Estados Miembros</w:t>
      </w:r>
    </w:p>
    <w:p w14:paraId="03A0D1C0" w14:textId="35C5719C" w:rsidR="0054133A" w:rsidRPr="0054133A" w:rsidRDefault="0054133A" w:rsidP="00F43A73">
      <w:pPr>
        <w:jc w:val="both"/>
        <w:rPr>
          <w:lang w:val="es-ES"/>
        </w:rPr>
      </w:pPr>
      <w:r w:rsidRPr="0054133A">
        <w:rPr>
          <w:lang w:val="es-ES"/>
        </w:rPr>
        <w:t>1</w:t>
      </w:r>
      <w:r w:rsidRPr="0054133A">
        <w:rPr>
          <w:lang w:val="es-ES"/>
        </w:rPr>
        <w:tab/>
        <w:t>a fomentar un entorno propicio a los ecosistemas de innovación centrados en las</w:t>
      </w:r>
      <w:r>
        <w:rPr>
          <w:lang w:val="es-ES"/>
        </w:rPr>
        <w:t> </w:t>
      </w:r>
      <w:r w:rsidRPr="0054133A">
        <w:rPr>
          <w:lang w:val="es-ES"/>
        </w:rPr>
        <w:t>TIC, reforzando la elaboración de políticas basada en datos empíricos junto con unos marcos reglamentarios transparentes y previsibles, actualizados con arreglo a las prácticas idóneas, y a considerar políticas y estrategias de apoyo a la innovación centrada en las</w:t>
      </w:r>
      <w:r>
        <w:rPr>
          <w:lang w:val="es-ES"/>
        </w:rPr>
        <w:t> </w:t>
      </w:r>
      <w:r w:rsidRPr="0054133A">
        <w:rPr>
          <w:lang w:val="es-ES"/>
        </w:rPr>
        <w:t>TIC, que doten a las mipymes de capacidad para participar activamente en la economía digital y mejoren la competencia;</w:t>
      </w:r>
    </w:p>
    <w:p w14:paraId="4B9B6627" w14:textId="77777777" w:rsidR="0054133A" w:rsidRPr="0054133A" w:rsidRDefault="0054133A" w:rsidP="00F43A73">
      <w:pPr>
        <w:jc w:val="both"/>
        <w:rPr>
          <w:lang w:val="es-ES"/>
        </w:rPr>
      </w:pPr>
      <w:r w:rsidRPr="0054133A">
        <w:rPr>
          <w:lang w:val="es-ES"/>
        </w:rPr>
        <w:t>2</w:t>
      </w:r>
      <w:r w:rsidRPr="0054133A">
        <w:rPr>
          <w:lang w:val="es-ES"/>
        </w:rPr>
        <w:tab/>
        <w:t>a fomentar las inversiones eliminando los obstáculos existentes en los ecosistemas digitales, y a crear condiciones favorables a la inversión y la innovación;</w:t>
      </w:r>
    </w:p>
    <w:p w14:paraId="23AAB0E0" w14:textId="23C2997B" w:rsidR="0054133A" w:rsidRPr="0054133A" w:rsidRDefault="0054133A" w:rsidP="00F43A73">
      <w:pPr>
        <w:jc w:val="both"/>
        <w:rPr>
          <w:lang w:val="es-ES"/>
        </w:rPr>
      </w:pPr>
      <w:r w:rsidRPr="0054133A">
        <w:rPr>
          <w:lang w:val="es-ES"/>
        </w:rPr>
        <w:t>3</w:t>
      </w:r>
      <w:r w:rsidRPr="0054133A">
        <w:rPr>
          <w:lang w:val="es-ES"/>
        </w:rPr>
        <w:tab/>
        <w:t>a promover la sensibilización acerca de los retos medioambientales en el marco de las iniciativas destinadas a reforzar los ecosistemas de innovación centrados en las</w:t>
      </w:r>
      <w:r>
        <w:rPr>
          <w:lang w:val="es-ES"/>
        </w:rPr>
        <w:t> </w:t>
      </w:r>
      <w:r w:rsidRPr="0054133A">
        <w:rPr>
          <w:lang w:val="es-ES"/>
        </w:rPr>
        <w:t>TIC y el espíritu empresarial;</w:t>
      </w:r>
    </w:p>
    <w:p w14:paraId="66503885" w14:textId="77777777" w:rsidR="0054133A" w:rsidRPr="0054133A" w:rsidRDefault="0054133A" w:rsidP="00F43A73">
      <w:pPr>
        <w:jc w:val="both"/>
        <w:rPr>
          <w:lang w:val="es-ES"/>
        </w:rPr>
      </w:pPr>
      <w:r w:rsidRPr="0054133A">
        <w:rPr>
          <w:lang w:val="es-ES"/>
        </w:rPr>
        <w:t>4</w:t>
      </w:r>
      <w:r w:rsidRPr="0054133A">
        <w:rPr>
          <w:lang w:val="es-ES"/>
        </w:rPr>
        <w:tab/>
        <w:t>a facilitar la transformación digital, adoptando medidas adecuadas para ayudar a los emprendedores de empresas emergentes y a las empresas, incluidos los de las comunidades no atendidas e insuficientemente atendidas, a movilizar mejor las telecomunicaciones/TIC;</w:t>
      </w:r>
    </w:p>
    <w:p w14:paraId="2E953A88" w14:textId="0C9CBF9B" w:rsidR="0054133A" w:rsidRPr="0054133A" w:rsidRDefault="0054133A" w:rsidP="00F43A73">
      <w:pPr>
        <w:jc w:val="both"/>
        <w:rPr>
          <w:lang w:val="es-ES"/>
        </w:rPr>
      </w:pPr>
      <w:r w:rsidRPr="0054133A">
        <w:rPr>
          <w:lang w:val="es-ES"/>
        </w:rPr>
        <w:t>5</w:t>
      </w:r>
      <w:r w:rsidRPr="0054133A">
        <w:rPr>
          <w:lang w:val="es-ES"/>
        </w:rPr>
        <w:tab/>
        <w:t>a considerar la posibilidad de crear un ecosistema de innovación centrado en las</w:t>
      </w:r>
      <w:r>
        <w:rPr>
          <w:lang w:val="es-ES"/>
        </w:rPr>
        <w:t> </w:t>
      </w:r>
      <w:r w:rsidRPr="0054133A">
        <w:rPr>
          <w:lang w:val="es-ES"/>
        </w:rPr>
        <w:t>TIC que fomente la participación de empresas de todos los tamaños –grandes, medianas, pequeñas y microempresas–, promoviendo al mismo tiempo el desarrollo de competencias centradas en las telecomunicaciones/TIC en apoyo de un espíritu empresarial y una innovación sostenibles;</w:t>
      </w:r>
    </w:p>
    <w:p w14:paraId="2DF342AF" w14:textId="4684C3A9" w:rsidR="0054133A" w:rsidRPr="0054133A" w:rsidRDefault="0054133A" w:rsidP="00F43A73">
      <w:pPr>
        <w:jc w:val="both"/>
        <w:rPr>
          <w:lang w:val="es-ES"/>
        </w:rPr>
      </w:pPr>
      <w:r w:rsidRPr="0054133A">
        <w:rPr>
          <w:lang w:val="es-ES"/>
        </w:rPr>
        <w:t>6</w:t>
      </w:r>
      <w:r w:rsidRPr="0054133A">
        <w:rPr>
          <w:lang w:val="es-ES"/>
        </w:rPr>
        <w:tab/>
        <w:t>a adoptar medidas para hacer frente a la brecha digital de género, con objeto de respaldar la innovación centrada en las</w:t>
      </w:r>
      <w:r>
        <w:rPr>
          <w:lang w:val="es-ES"/>
        </w:rPr>
        <w:t> </w:t>
      </w:r>
      <w:r w:rsidRPr="0054133A">
        <w:rPr>
          <w:lang w:val="es-ES"/>
        </w:rPr>
        <w:t>TIC y el espíritu empresarial de las mujeres y las niñas en el sector de las telecomunicaciones/TIC;</w:t>
      </w:r>
    </w:p>
    <w:p w14:paraId="6851EDCB" w14:textId="0FE2D7BF" w:rsidR="0054133A" w:rsidRPr="0054133A" w:rsidRDefault="0054133A" w:rsidP="00F43A73">
      <w:pPr>
        <w:jc w:val="both"/>
        <w:rPr>
          <w:lang w:val="es-ES"/>
        </w:rPr>
      </w:pPr>
      <w:r w:rsidRPr="0054133A">
        <w:rPr>
          <w:lang w:val="es-ES"/>
        </w:rPr>
        <w:t>7</w:t>
      </w:r>
      <w:r w:rsidRPr="0054133A">
        <w:rPr>
          <w:lang w:val="es-ES"/>
        </w:rPr>
        <w:tab/>
        <w:t>a considerar la posibilidad de aplicar marcos normativos de innovación centrada en las</w:t>
      </w:r>
      <w:r>
        <w:rPr>
          <w:lang w:val="es-ES"/>
        </w:rPr>
        <w:t> </w:t>
      </w:r>
      <w:r w:rsidRPr="0054133A">
        <w:rPr>
          <w:lang w:val="es-ES"/>
        </w:rPr>
        <w:t>TIC orientados a la demanda, con objeto de acelerar la comercialización y mejorar las condiciones de las innovaciones centradas en las</w:t>
      </w:r>
      <w:r>
        <w:rPr>
          <w:lang w:val="es-ES"/>
        </w:rPr>
        <w:t> </w:t>
      </w:r>
      <w:r w:rsidRPr="0054133A">
        <w:rPr>
          <w:lang w:val="es-ES"/>
        </w:rPr>
        <w:t>TIC como factor propiciador de la economía digital,</w:t>
      </w:r>
    </w:p>
    <w:p w14:paraId="2A1C63C2" w14:textId="77777777" w:rsidR="0054133A" w:rsidRPr="0054133A" w:rsidRDefault="0054133A" w:rsidP="0054133A">
      <w:pPr>
        <w:pStyle w:val="Call"/>
        <w:rPr>
          <w:lang w:val="es-ES"/>
        </w:rPr>
      </w:pPr>
      <w:r w:rsidRPr="0054133A">
        <w:rPr>
          <w:lang w:val="es-ES"/>
        </w:rPr>
        <w:t>invita a los Estados Miembros, Miembros de Sector y otras partes interesadas</w:t>
      </w:r>
    </w:p>
    <w:p w14:paraId="1E2BC93E" w14:textId="007A731F" w:rsidR="0054133A" w:rsidRPr="0054133A" w:rsidRDefault="0054133A" w:rsidP="00F43A73">
      <w:pPr>
        <w:jc w:val="both"/>
        <w:rPr>
          <w:lang w:val="es-ES"/>
        </w:rPr>
      </w:pPr>
      <w:r w:rsidRPr="0054133A">
        <w:rPr>
          <w:lang w:val="es-ES"/>
        </w:rPr>
        <w:t>1</w:t>
      </w:r>
      <w:r w:rsidRPr="0054133A">
        <w:rPr>
          <w:lang w:val="es-ES"/>
        </w:rPr>
        <w:tab/>
        <w:t>a fomentar marcos normativos transparentes, estables, previsibles y competitivos para promover un ecosistema de innovación centrado en las</w:t>
      </w:r>
      <w:r>
        <w:rPr>
          <w:lang w:val="es-ES"/>
        </w:rPr>
        <w:t> </w:t>
      </w:r>
      <w:r w:rsidRPr="0054133A">
        <w:rPr>
          <w:lang w:val="es-ES"/>
        </w:rPr>
        <w:t>TIC;</w:t>
      </w:r>
    </w:p>
    <w:p w14:paraId="10D4191B" w14:textId="75ED8C0F" w:rsidR="0054133A" w:rsidRPr="0054133A" w:rsidRDefault="0054133A" w:rsidP="00F43A73">
      <w:pPr>
        <w:jc w:val="both"/>
        <w:rPr>
          <w:lang w:val="es-ES"/>
        </w:rPr>
      </w:pPr>
      <w:r w:rsidRPr="0054133A">
        <w:rPr>
          <w:lang w:val="es-ES"/>
        </w:rPr>
        <w:t>2</w:t>
      </w:r>
      <w:r w:rsidRPr="0054133A">
        <w:rPr>
          <w:lang w:val="es-ES"/>
        </w:rPr>
        <w:tab/>
        <w:t>a facilitar la inversión público-privada fomentando una colaboración más estrecha entre los centros de educación e investigación y el sector privado, considerando al mismo tiempo la financiación de periodos de prácticas y de becas, y promoviendo el desarrollo de competencias centradas en las telecomunicaciones/TIC en el marco de los sistemas educativos nacionales, en apoyo de los ecosistemas de innovación centrados en las</w:t>
      </w:r>
      <w:r>
        <w:rPr>
          <w:lang w:val="es-ES"/>
        </w:rPr>
        <w:t> </w:t>
      </w:r>
      <w:r w:rsidRPr="0054133A">
        <w:rPr>
          <w:lang w:val="es-ES"/>
        </w:rPr>
        <w:t>TIC que impulsan el espíritu empresarial;</w:t>
      </w:r>
    </w:p>
    <w:p w14:paraId="33D3E286" w14:textId="1C6A8421" w:rsidR="0054133A" w:rsidRPr="0054133A" w:rsidRDefault="0054133A" w:rsidP="00F43A73">
      <w:pPr>
        <w:jc w:val="both"/>
        <w:rPr>
          <w:lang w:val="es-ES"/>
        </w:rPr>
      </w:pPr>
      <w:r w:rsidRPr="0054133A">
        <w:rPr>
          <w:lang w:val="es-ES"/>
        </w:rPr>
        <w:lastRenderedPageBreak/>
        <w:t>3</w:t>
      </w:r>
      <w:r w:rsidRPr="0054133A">
        <w:rPr>
          <w:lang w:val="es-ES"/>
        </w:rPr>
        <w:tab/>
        <w:t>a promover y desarrollar asociaciones público-privadas en apoyo de las infraestructuras de telecomunicaciones/TIC, la incubación y la financiación en fase inicial de las empresas emergentes del ámbito de las</w:t>
      </w:r>
      <w:r>
        <w:rPr>
          <w:lang w:val="es-ES"/>
        </w:rPr>
        <w:t> </w:t>
      </w:r>
      <w:r w:rsidRPr="0054133A">
        <w:rPr>
          <w:lang w:val="es-ES"/>
        </w:rPr>
        <w:t>TIC;</w:t>
      </w:r>
    </w:p>
    <w:p w14:paraId="62A5ED9E" w14:textId="13509594" w:rsidR="0054133A" w:rsidRPr="0054133A" w:rsidRDefault="0054133A" w:rsidP="00F43A73">
      <w:pPr>
        <w:jc w:val="both"/>
        <w:rPr>
          <w:lang w:val="es-ES"/>
        </w:rPr>
      </w:pPr>
      <w:r w:rsidRPr="0054133A">
        <w:rPr>
          <w:lang w:val="es-ES"/>
        </w:rPr>
        <w:t>4</w:t>
      </w:r>
      <w:r w:rsidRPr="0054133A">
        <w:rPr>
          <w:lang w:val="es-ES"/>
        </w:rPr>
        <w:tab/>
        <w:t>a fomentar la participación y el desarrollo de empresas de todos los tamaños –grandes, medianas, pequeñas y microempresas–, promoviendo al mismo tiempo la transformación digital de toda la cadena de valor, y a compartir de manera proactiva las prácticas idóneas que respaldan a las mipymes en sus esfuerzos de transformación digital;</w:t>
      </w:r>
    </w:p>
    <w:p w14:paraId="1299B66B" w14:textId="764B8341" w:rsidR="0054133A" w:rsidRPr="0054133A" w:rsidRDefault="0054133A" w:rsidP="00F43A73">
      <w:pPr>
        <w:jc w:val="both"/>
        <w:rPr>
          <w:lang w:val="es-ES"/>
        </w:rPr>
      </w:pPr>
      <w:r w:rsidRPr="0054133A">
        <w:rPr>
          <w:lang w:val="es-ES"/>
        </w:rPr>
        <w:t>5</w:t>
      </w:r>
      <w:r w:rsidRPr="0054133A">
        <w:rPr>
          <w:lang w:val="es-ES"/>
        </w:rPr>
        <w:tab/>
        <w:t>a respaldar y establecer iniciativas, mediante asociaciones con la industria y las instituciones académicas, que promuevan el espíritu empresarial centrado en las</w:t>
      </w:r>
      <w:r>
        <w:rPr>
          <w:lang w:val="es-ES"/>
        </w:rPr>
        <w:t> </w:t>
      </w:r>
      <w:r w:rsidRPr="0054133A">
        <w:rPr>
          <w:lang w:val="es-ES"/>
        </w:rPr>
        <w:t>TIC entre los jóvenes, mejorando al mismo tiempo la oferta de talento digital y los programas específicos de formación en competencias digitales y de alfabetización digital, con objeto de colmar las brechas de competencias existentes;</w:t>
      </w:r>
    </w:p>
    <w:p w14:paraId="2DF7EF8E" w14:textId="122D8DBE" w:rsidR="0054133A" w:rsidRPr="0054133A" w:rsidRDefault="0054133A" w:rsidP="00F43A73">
      <w:pPr>
        <w:jc w:val="both"/>
        <w:rPr>
          <w:lang w:val="es-ES"/>
        </w:rPr>
      </w:pPr>
      <w:r w:rsidRPr="0054133A">
        <w:rPr>
          <w:lang w:val="es-ES"/>
        </w:rPr>
        <w:t>6</w:t>
      </w:r>
      <w:r w:rsidRPr="0054133A">
        <w:rPr>
          <w:lang w:val="es-ES"/>
        </w:rPr>
        <w:tab/>
        <w:t>a fomentar la innovación centrada en las</w:t>
      </w:r>
      <w:r>
        <w:rPr>
          <w:lang w:val="es-ES"/>
        </w:rPr>
        <w:t> </w:t>
      </w:r>
      <w:r w:rsidRPr="0054133A">
        <w:rPr>
          <w:lang w:val="es-ES"/>
        </w:rPr>
        <w:t xml:space="preserve">TIC y el espíritu empresarial entre las poblaciones locales, respaldando programas de base comunitaria y soluciones complementarias, y teniendo en cuenta al mismo tiempo las diversas opiniones y necesidades de todas las partes interesadas </w:t>
      </w:r>
      <w:r w:rsidR="00F43A73">
        <w:rPr>
          <w:lang w:val="es-ES"/>
        </w:rPr>
        <w:t>—</w:t>
      </w:r>
      <w:r w:rsidRPr="0054133A">
        <w:rPr>
          <w:sz w:val="2"/>
          <w:szCs w:val="2"/>
          <w:lang w:val="es-ES"/>
        </w:rPr>
        <w:t> </w:t>
      </w:r>
      <w:r w:rsidRPr="0054133A">
        <w:rPr>
          <w:lang w:val="es-ES"/>
        </w:rPr>
        <w:t>incluidos el sector privado, la sociedad civil, la comunidad técnica y las instituciones académicas;</w:t>
      </w:r>
    </w:p>
    <w:p w14:paraId="1BADD568" w14:textId="77470BB1" w:rsidR="0054133A" w:rsidRPr="0054133A" w:rsidRDefault="0054133A" w:rsidP="00F43A73">
      <w:pPr>
        <w:jc w:val="both"/>
        <w:rPr>
          <w:lang w:val="es-ES"/>
        </w:rPr>
      </w:pPr>
      <w:r w:rsidRPr="0054133A">
        <w:rPr>
          <w:lang w:val="es-ES"/>
        </w:rPr>
        <w:t>7</w:t>
      </w:r>
      <w:r w:rsidRPr="0054133A">
        <w:rPr>
          <w:lang w:val="es-ES"/>
        </w:rPr>
        <w:tab/>
        <w:t>a respaldar la investigación sobre los obstáculos que afectan a las actividades empresariales centradas en las</w:t>
      </w:r>
      <w:r>
        <w:rPr>
          <w:lang w:val="es-ES"/>
        </w:rPr>
        <w:t> </w:t>
      </w:r>
      <w:r w:rsidRPr="0054133A">
        <w:rPr>
          <w:lang w:val="es-ES"/>
        </w:rPr>
        <w:t>TIC, aplicar estrategias adaptadas para superar dichos obstáculos y compartir prácticas idóneas sobre iniciativas regionales, locales y nacionales que promuevan los ecosistemas de innovación centrados en las</w:t>
      </w:r>
      <w:r>
        <w:rPr>
          <w:lang w:val="es-ES"/>
        </w:rPr>
        <w:t> </w:t>
      </w:r>
      <w:r w:rsidRPr="0054133A">
        <w:rPr>
          <w:lang w:val="es-ES"/>
        </w:rPr>
        <w:t>TIC y el espíritu empresarial;</w:t>
      </w:r>
    </w:p>
    <w:p w14:paraId="76E0C0CF" w14:textId="77777777" w:rsidR="0054133A" w:rsidRPr="0054133A" w:rsidRDefault="0054133A" w:rsidP="00F43A73">
      <w:pPr>
        <w:jc w:val="both"/>
        <w:rPr>
          <w:lang w:val="es-ES"/>
        </w:rPr>
      </w:pPr>
      <w:r w:rsidRPr="0054133A">
        <w:rPr>
          <w:lang w:val="es-ES"/>
        </w:rPr>
        <w:t>8</w:t>
      </w:r>
      <w:r w:rsidRPr="0054133A">
        <w:rPr>
          <w:lang w:val="es-ES"/>
        </w:rPr>
        <w:tab/>
        <w:t>a fomentar la cooperación internacional y regional con miras a compartir buenas prácticas y respaldar el desarrollo de capacidades para acceder a los beneficios de las telecomunicaciones/TIC y reducir las brechas digitales;</w:t>
      </w:r>
    </w:p>
    <w:p w14:paraId="2751B0B9" w14:textId="77777777" w:rsidR="0054133A" w:rsidRPr="0054133A" w:rsidRDefault="0054133A" w:rsidP="00F43A73">
      <w:pPr>
        <w:jc w:val="both"/>
        <w:rPr>
          <w:lang w:val="es-ES"/>
        </w:rPr>
      </w:pPr>
      <w:r w:rsidRPr="0054133A">
        <w:rPr>
          <w:lang w:val="es-ES"/>
        </w:rPr>
        <w:t>9</w:t>
      </w:r>
      <w:r w:rsidRPr="0054133A">
        <w:rPr>
          <w:lang w:val="es-ES"/>
        </w:rPr>
        <w:tab/>
        <w:t>a alentar a las mipymes a participar en las iniciativas internacionales de código abierto relativas a los servicios y tecnologías de telecomunicaciones/TIC nuevos e incipientes;</w:t>
      </w:r>
    </w:p>
    <w:p w14:paraId="03F575DD" w14:textId="47A004E6" w:rsidR="0054133A" w:rsidRPr="0054133A" w:rsidRDefault="0054133A" w:rsidP="00F43A73">
      <w:pPr>
        <w:jc w:val="both"/>
        <w:rPr>
          <w:lang w:val="es-ES"/>
        </w:rPr>
      </w:pPr>
      <w:r w:rsidRPr="0054133A">
        <w:rPr>
          <w:lang w:val="es-ES"/>
        </w:rPr>
        <w:t>10</w:t>
      </w:r>
      <w:r w:rsidRPr="0054133A">
        <w:rPr>
          <w:lang w:val="es-ES"/>
        </w:rPr>
        <w:tab/>
        <w:t>a promover la colaboración entre la industria y las instituciones académicas con objeto de fomentar la sostenibilidad de las innovaciones centradas en las</w:t>
      </w:r>
      <w:r>
        <w:rPr>
          <w:lang w:val="es-ES"/>
        </w:rPr>
        <w:t> </w:t>
      </w:r>
      <w:r w:rsidRPr="0054133A">
        <w:rPr>
          <w:lang w:val="es-ES"/>
        </w:rPr>
        <w:t>TIC,</w:t>
      </w:r>
    </w:p>
    <w:p w14:paraId="7AB74BCA" w14:textId="77777777" w:rsidR="0054133A" w:rsidRPr="0054133A" w:rsidRDefault="0054133A" w:rsidP="0054133A">
      <w:pPr>
        <w:pStyle w:val="Call"/>
        <w:rPr>
          <w:lang w:val="es-ES"/>
        </w:rPr>
      </w:pPr>
      <w:r w:rsidRPr="0054133A">
        <w:rPr>
          <w:lang w:val="es-ES"/>
        </w:rPr>
        <w:t>invita a la Secretaria General</w:t>
      </w:r>
    </w:p>
    <w:p w14:paraId="64E38089" w14:textId="2364878A" w:rsidR="0054133A" w:rsidRPr="0054133A" w:rsidRDefault="0054133A" w:rsidP="00F43A73">
      <w:pPr>
        <w:jc w:val="both"/>
        <w:rPr>
          <w:lang w:val="es-ES"/>
        </w:rPr>
      </w:pPr>
      <w:r w:rsidRPr="0054133A">
        <w:rPr>
          <w:lang w:val="es-ES"/>
        </w:rPr>
        <w:t>a reforzar la función de la</w:t>
      </w:r>
      <w:r>
        <w:rPr>
          <w:lang w:val="es-ES"/>
        </w:rPr>
        <w:t> </w:t>
      </w:r>
      <w:r w:rsidRPr="0054133A">
        <w:rPr>
          <w:lang w:val="es-ES"/>
        </w:rPr>
        <w:t>UIT, en el marco de su mandato y de sus mecanismos existentes, como plataforma de colaboración y diálogo entre los Estados Miembros, los Miembros de Sector y las instituciones académicas, así como de creación de capacidad e intercambio de buenas prácticas sobre los ecosistemas de innovación centrados en las</w:t>
      </w:r>
      <w:r>
        <w:rPr>
          <w:lang w:val="es-ES"/>
        </w:rPr>
        <w:t> </w:t>
      </w:r>
      <w:r w:rsidRPr="0054133A">
        <w:rPr>
          <w:lang w:val="es-ES"/>
        </w:rPr>
        <w:t>TIC y el espíritu empresarial.</w:t>
      </w:r>
    </w:p>
    <w:p w14:paraId="723F1252" w14:textId="77777777" w:rsidR="00D36364" w:rsidRPr="0054133A" w:rsidRDefault="00D36364" w:rsidP="00411C49">
      <w:pPr>
        <w:pStyle w:val="Reasons"/>
        <w:rPr>
          <w:lang w:val="es-ES"/>
        </w:rPr>
      </w:pPr>
    </w:p>
    <w:p w14:paraId="37A1F300" w14:textId="77777777" w:rsidR="0010462A" w:rsidRPr="0054133A" w:rsidRDefault="0010462A">
      <w:pPr>
        <w:jc w:val="center"/>
        <w:rPr>
          <w:lang w:val="es-ES"/>
        </w:rPr>
      </w:pPr>
      <w:r w:rsidRPr="0054133A">
        <w:rPr>
          <w:lang w:val="es-ES"/>
        </w:rPr>
        <w:t>______________</w:t>
      </w:r>
    </w:p>
    <w:sectPr w:rsidR="0010462A" w:rsidRPr="0054133A" w:rsidSect="00A70E95">
      <w:headerReference w:type="default" r:id="rId9"/>
      <w:footerReference w:type="first" r:id="rId10"/>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9EAF4" w14:textId="77777777" w:rsidR="0058637E" w:rsidRDefault="0058637E">
      <w:r>
        <w:separator/>
      </w:r>
    </w:p>
  </w:endnote>
  <w:endnote w:type="continuationSeparator" w:id="0">
    <w:p w14:paraId="1AEA34CD" w14:textId="77777777" w:rsidR="0058637E" w:rsidRDefault="00586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B673B" w14:textId="77777777" w:rsidR="004B07DB" w:rsidRPr="00DB336C" w:rsidRDefault="00DB336C" w:rsidP="00DB336C">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E20935">
        <w:rPr>
          <w:rStyle w:val="Hyperlink"/>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472CF" w14:textId="77777777" w:rsidR="0058637E" w:rsidRDefault="0058637E">
      <w:r>
        <w:t>____________________</w:t>
      </w:r>
    </w:p>
  </w:footnote>
  <w:footnote w:type="continuationSeparator" w:id="0">
    <w:p w14:paraId="3F731DC0" w14:textId="77777777" w:rsidR="0058637E" w:rsidRDefault="00586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4FDC" w14:textId="5AC9CE3F" w:rsidR="00255FA1" w:rsidRPr="00DB336C" w:rsidRDefault="00DB336C" w:rsidP="003C1B77">
    <w:pPr>
      <w:pStyle w:val="Header"/>
    </w:pPr>
    <w:r>
      <w:fldChar w:fldCharType="begin"/>
    </w:r>
    <w:r>
      <w:instrText xml:space="preserve"> PAGE   \* MERGEFORMAT </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80F7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54A7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60D7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C2CF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FCA2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08DF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384F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CC0F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8B5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0202F08"/>
    <w:lvl w:ilvl="0">
      <w:start w:val="1"/>
      <w:numFmt w:val="bullet"/>
      <w:lvlText w:val=""/>
      <w:lvlJc w:val="left"/>
      <w:pPr>
        <w:tabs>
          <w:tab w:val="num" w:pos="360"/>
        </w:tabs>
        <w:ind w:left="360" w:hanging="360"/>
      </w:pPr>
      <w:rPr>
        <w:rFonts w:ascii="Symbol" w:hAnsi="Symbol" w:hint="default"/>
      </w:rPr>
    </w:lvl>
  </w:abstractNum>
  <w:num w:numId="1" w16cid:durableId="1102917585">
    <w:abstractNumId w:val="9"/>
  </w:num>
  <w:num w:numId="2" w16cid:durableId="2063167450">
    <w:abstractNumId w:val="7"/>
  </w:num>
  <w:num w:numId="3" w16cid:durableId="513761556">
    <w:abstractNumId w:val="6"/>
  </w:num>
  <w:num w:numId="4" w16cid:durableId="1440291865">
    <w:abstractNumId w:val="5"/>
  </w:num>
  <w:num w:numId="5" w16cid:durableId="1132746171">
    <w:abstractNumId w:val="4"/>
  </w:num>
  <w:num w:numId="6" w16cid:durableId="1195538636">
    <w:abstractNumId w:val="8"/>
  </w:num>
  <w:num w:numId="7" w16cid:durableId="2059931794">
    <w:abstractNumId w:val="3"/>
  </w:num>
  <w:num w:numId="8" w16cid:durableId="1389113701">
    <w:abstractNumId w:val="2"/>
  </w:num>
  <w:num w:numId="9" w16cid:durableId="1199048721">
    <w:abstractNumId w:val="1"/>
  </w:num>
  <w:num w:numId="10" w16cid:durableId="10944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BD1"/>
    <w:rsid w:val="0000188C"/>
    <w:rsid w:val="00037C35"/>
    <w:rsid w:val="000507CA"/>
    <w:rsid w:val="00055C50"/>
    <w:rsid w:val="00057402"/>
    <w:rsid w:val="00075113"/>
    <w:rsid w:val="000863AB"/>
    <w:rsid w:val="000A1523"/>
    <w:rsid w:val="000B1752"/>
    <w:rsid w:val="000B1BD1"/>
    <w:rsid w:val="0010462A"/>
    <w:rsid w:val="0010546D"/>
    <w:rsid w:val="00135F93"/>
    <w:rsid w:val="001632E3"/>
    <w:rsid w:val="00172F5F"/>
    <w:rsid w:val="001B1EF5"/>
    <w:rsid w:val="001B3234"/>
    <w:rsid w:val="001D4983"/>
    <w:rsid w:val="001D6EC3"/>
    <w:rsid w:val="001D787B"/>
    <w:rsid w:val="001E3D06"/>
    <w:rsid w:val="001F0B24"/>
    <w:rsid w:val="001F2819"/>
    <w:rsid w:val="001F4406"/>
    <w:rsid w:val="001F5B03"/>
    <w:rsid w:val="00225F6B"/>
    <w:rsid w:val="00237C17"/>
    <w:rsid w:val="00242376"/>
    <w:rsid w:val="00243CD9"/>
    <w:rsid w:val="00254BFC"/>
    <w:rsid w:val="00255FA1"/>
    <w:rsid w:val="00262FF4"/>
    <w:rsid w:val="00277985"/>
    <w:rsid w:val="002C6527"/>
    <w:rsid w:val="002E44FC"/>
    <w:rsid w:val="003537B5"/>
    <w:rsid w:val="00365F30"/>
    <w:rsid w:val="003707E5"/>
    <w:rsid w:val="00375610"/>
    <w:rsid w:val="00391611"/>
    <w:rsid w:val="003B0754"/>
    <w:rsid w:val="003B276A"/>
    <w:rsid w:val="003B5DC9"/>
    <w:rsid w:val="003C1B77"/>
    <w:rsid w:val="003D0027"/>
    <w:rsid w:val="003E6E73"/>
    <w:rsid w:val="00451395"/>
    <w:rsid w:val="00484B72"/>
    <w:rsid w:val="00491A25"/>
    <w:rsid w:val="004A346E"/>
    <w:rsid w:val="004A63A9"/>
    <w:rsid w:val="004B07DB"/>
    <w:rsid w:val="004B09D4"/>
    <w:rsid w:val="004B0BCB"/>
    <w:rsid w:val="004C27F5"/>
    <w:rsid w:val="004C39C6"/>
    <w:rsid w:val="004D15DE"/>
    <w:rsid w:val="004D23BA"/>
    <w:rsid w:val="004E069C"/>
    <w:rsid w:val="004E08E0"/>
    <w:rsid w:val="004E28FB"/>
    <w:rsid w:val="004F4BB1"/>
    <w:rsid w:val="00504FD4"/>
    <w:rsid w:val="00507662"/>
    <w:rsid w:val="00523448"/>
    <w:rsid w:val="005359B6"/>
    <w:rsid w:val="0054133A"/>
    <w:rsid w:val="005470E8"/>
    <w:rsid w:val="00550FCF"/>
    <w:rsid w:val="00556958"/>
    <w:rsid w:val="005677A5"/>
    <w:rsid w:val="00567ED5"/>
    <w:rsid w:val="0058637E"/>
    <w:rsid w:val="005A329F"/>
    <w:rsid w:val="005D1164"/>
    <w:rsid w:val="005D6488"/>
    <w:rsid w:val="005F6278"/>
    <w:rsid w:val="00601280"/>
    <w:rsid w:val="00641DBD"/>
    <w:rsid w:val="006426C0"/>
    <w:rsid w:val="006455D2"/>
    <w:rsid w:val="006533C4"/>
    <w:rsid w:val="006537F3"/>
    <w:rsid w:val="00682039"/>
    <w:rsid w:val="006B5512"/>
    <w:rsid w:val="006B5C62"/>
    <w:rsid w:val="006C190D"/>
    <w:rsid w:val="00720686"/>
    <w:rsid w:val="00737EFF"/>
    <w:rsid w:val="007424AD"/>
    <w:rsid w:val="00750806"/>
    <w:rsid w:val="007875D2"/>
    <w:rsid w:val="007D61E2"/>
    <w:rsid w:val="007F6EBC"/>
    <w:rsid w:val="00802FD6"/>
    <w:rsid w:val="00810D8B"/>
    <w:rsid w:val="008543D4"/>
    <w:rsid w:val="00882773"/>
    <w:rsid w:val="008B4706"/>
    <w:rsid w:val="008B6676"/>
    <w:rsid w:val="008C3FA8"/>
    <w:rsid w:val="008E51C5"/>
    <w:rsid w:val="008F7109"/>
    <w:rsid w:val="009107B0"/>
    <w:rsid w:val="009220DE"/>
    <w:rsid w:val="00930E84"/>
    <w:rsid w:val="009415B6"/>
    <w:rsid w:val="00956FE6"/>
    <w:rsid w:val="0099270D"/>
    <w:rsid w:val="0099551E"/>
    <w:rsid w:val="009A1A86"/>
    <w:rsid w:val="009D1BE0"/>
    <w:rsid w:val="009E0C42"/>
    <w:rsid w:val="00A50BE3"/>
    <w:rsid w:val="00A70E95"/>
    <w:rsid w:val="00A8107B"/>
    <w:rsid w:val="00AA1F73"/>
    <w:rsid w:val="00AA44CA"/>
    <w:rsid w:val="00AB190D"/>
    <w:rsid w:val="00AB34CA"/>
    <w:rsid w:val="00AB48F2"/>
    <w:rsid w:val="00AB7640"/>
    <w:rsid w:val="00AD400E"/>
    <w:rsid w:val="00AE3305"/>
    <w:rsid w:val="00AF0DC5"/>
    <w:rsid w:val="00B012B7"/>
    <w:rsid w:val="00B30C52"/>
    <w:rsid w:val="00B501AB"/>
    <w:rsid w:val="00B73978"/>
    <w:rsid w:val="00B77C4D"/>
    <w:rsid w:val="00BB13FE"/>
    <w:rsid w:val="00BC7EE2"/>
    <w:rsid w:val="00BF32F2"/>
    <w:rsid w:val="00BF5475"/>
    <w:rsid w:val="00C20ED7"/>
    <w:rsid w:val="00C42D2D"/>
    <w:rsid w:val="00C43474"/>
    <w:rsid w:val="00C61A48"/>
    <w:rsid w:val="00C80F8F"/>
    <w:rsid w:val="00C84355"/>
    <w:rsid w:val="00C84A65"/>
    <w:rsid w:val="00CA3051"/>
    <w:rsid w:val="00CD20D9"/>
    <w:rsid w:val="00CD701A"/>
    <w:rsid w:val="00D04D2C"/>
    <w:rsid w:val="00D05AAE"/>
    <w:rsid w:val="00D05E6B"/>
    <w:rsid w:val="00D066F8"/>
    <w:rsid w:val="00D1092F"/>
    <w:rsid w:val="00D254A6"/>
    <w:rsid w:val="00D36364"/>
    <w:rsid w:val="00D42B55"/>
    <w:rsid w:val="00D57D70"/>
    <w:rsid w:val="00DB336C"/>
    <w:rsid w:val="00DE3E41"/>
    <w:rsid w:val="00E05D81"/>
    <w:rsid w:val="00E20935"/>
    <w:rsid w:val="00E313E9"/>
    <w:rsid w:val="00E53DFC"/>
    <w:rsid w:val="00E66FC3"/>
    <w:rsid w:val="00E677DD"/>
    <w:rsid w:val="00E754F5"/>
    <w:rsid w:val="00E77F17"/>
    <w:rsid w:val="00E809D8"/>
    <w:rsid w:val="00E921EC"/>
    <w:rsid w:val="00EA433D"/>
    <w:rsid w:val="00EB23D0"/>
    <w:rsid w:val="00EC395A"/>
    <w:rsid w:val="00F01632"/>
    <w:rsid w:val="00F04858"/>
    <w:rsid w:val="00F13AA4"/>
    <w:rsid w:val="00F21A8A"/>
    <w:rsid w:val="00F3510D"/>
    <w:rsid w:val="00F43A73"/>
    <w:rsid w:val="00F43C07"/>
    <w:rsid w:val="00F43D44"/>
    <w:rsid w:val="00F80E6E"/>
    <w:rsid w:val="00F81A87"/>
    <w:rsid w:val="00FD19EF"/>
    <w:rsid w:val="00FD7A16"/>
    <w:rsid w:val="00FE4C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18696"/>
  <w15:docId w15:val="{36306E3F-14FF-4969-8F56-6ED8D072F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63A9"/>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s-ES_tradnl" w:eastAsia="en-US"/>
    </w:rPr>
  </w:style>
  <w:style w:type="paragraph" w:styleId="Heading1">
    <w:name w:val="heading 1"/>
    <w:basedOn w:val="Normal"/>
    <w:next w:val="Normal"/>
    <w:qFormat/>
    <w:rsid w:val="004A63A9"/>
    <w:pPr>
      <w:keepNext/>
      <w:keepLines/>
      <w:spacing w:before="480"/>
      <w:ind w:left="567" w:hanging="567"/>
      <w:outlineLvl w:val="0"/>
    </w:pPr>
    <w:rPr>
      <w:b/>
      <w:sz w:val="28"/>
    </w:rPr>
  </w:style>
  <w:style w:type="paragraph" w:styleId="Heading2">
    <w:name w:val="heading 2"/>
    <w:basedOn w:val="Heading1"/>
    <w:next w:val="Normal"/>
    <w:qFormat/>
    <w:rsid w:val="00BB13FE"/>
    <w:pPr>
      <w:spacing w:before="320"/>
      <w:outlineLvl w:val="1"/>
    </w:pPr>
    <w:rPr>
      <w:sz w:val="24"/>
    </w:rPr>
  </w:style>
  <w:style w:type="paragraph" w:styleId="Heading3">
    <w:name w:val="heading 3"/>
    <w:basedOn w:val="Heading1"/>
    <w:next w:val="Normal"/>
    <w:qFormat/>
    <w:rsid w:val="00BB13FE"/>
    <w:pPr>
      <w:spacing w:before="200"/>
      <w:outlineLvl w:val="2"/>
    </w:pPr>
    <w:rPr>
      <w:sz w:val="24"/>
    </w:rPr>
  </w:style>
  <w:style w:type="paragraph" w:styleId="Heading4">
    <w:name w:val="heading 4"/>
    <w:basedOn w:val="Heading3"/>
    <w:next w:val="Normal"/>
    <w:qFormat/>
    <w:rsid w:val="00A70E95"/>
    <w:pPr>
      <w:ind w:left="1134" w:hanging="1134"/>
      <w:outlineLvl w:val="3"/>
    </w:pPr>
  </w:style>
  <w:style w:type="paragraph" w:styleId="Heading5">
    <w:name w:val="heading 5"/>
    <w:basedOn w:val="Heading4"/>
    <w:next w:val="Normal"/>
    <w:qFormat/>
    <w:rsid w:val="00A70E95"/>
    <w:pPr>
      <w:outlineLvl w:val="4"/>
    </w:pPr>
  </w:style>
  <w:style w:type="paragraph" w:styleId="Heading6">
    <w:name w:val="heading 6"/>
    <w:basedOn w:val="Heading4"/>
    <w:next w:val="Normal"/>
    <w:qFormat/>
    <w:rsid w:val="00A70E95"/>
    <w:pPr>
      <w:outlineLvl w:val="5"/>
    </w:pPr>
  </w:style>
  <w:style w:type="paragraph" w:styleId="Heading7">
    <w:name w:val="heading 7"/>
    <w:basedOn w:val="Heading4"/>
    <w:next w:val="Normal"/>
    <w:qFormat/>
    <w:rsid w:val="00A70E95"/>
    <w:pPr>
      <w:ind w:left="1701" w:hanging="1701"/>
      <w:outlineLvl w:val="6"/>
    </w:pPr>
  </w:style>
  <w:style w:type="paragraph" w:styleId="Heading8">
    <w:name w:val="heading 8"/>
    <w:basedOn w:val="Heading4"/>
    <w:next w:val="Normal"/>
    <w:qFormat/>
    <w:rsid w:val="00A70E95"/>
    <w:pPr>
      <w:ind w:left="1701" w:hanging="1701"/>
      <w:outlineLvl w:val="7"/>
    </w:pPr>
  </w:style>
  <w:style w:type="paragraph" w:styleId="Heading9">
    <w:name w:val="heading 9"/>
    <w:basedOn w:val="Heading4"/>
    <w:next w:val="Normal"/>
    <w:qFormat/>
    <w:rsid w:val="00A70E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70E95"/>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70E95"/>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70E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70E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70E95"/>
    <w:rPr>
      <w:position w:val="6"/>
      <w:sz w:val="16"/>
    </w:rPr>
  </w:style>
  <w:style w:type="paragraph" w:styleId="FootnoteText">
    <w:name w:val="footnote text"/>
    <w:basedOn w:val="Normal"/>
    <w:rsid w:val="00A70E95"/>
    <w:pPr>
      <w:keepLines/>
      <w:tabs>
        <w:tab w:val="left" w:pos="256"/>
      </w:tabs>
      <w:ind w:left="256" w:hanging="256"/>
    </w:pPr>
  </w:style>
  <w:style w:type="paragraph" w:styleId="NormalIndent">
    <w:name w:val="Normal Indent"/>
    <w:basedOn w:val="Normal"/>
    <w:rsid w:val="00A70E95"/>
    <w:pPr>
      <w:ind w:left="567"/>
    </w:pPr>
  </w:style>
  <w:style w:type="paragraph" w:customStyle="1" w:styleId="Tablelegend">
    <w:name w:val="Table_legend"/>
    <w:basedOn w:val="Tabletext"/>
    <w:rsid w:val="00A70E95"/>
    <w:pPr>
      <w:spacing w:before="120"/>
    </w:pPr>
  </w:style>
  <w:style w:type="paragraph" w:customStyle="1" w:styleId="Tabletext">
    <w:name w:val="Table_text"/>
    <w:basedOn w:val="Normal"/>
    <w:rsid w:val="00A70E95"/>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70E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70E95"/>
    <w:pPr>
      <w:keepNext/>
      <w:spacing w:before="560" w:after="120"/>
      <w:jc w:val="center"/>
    </w:pPr>
    <w:rPr>
      <w:caps/>
    </w:rPr>
  </w:style>
  <w:style w:type="paragraph" w:customStyle="1" w:styleId="enumlev1">
    <w:name w:val="enumlev1"/>
    <w:basedOn w:val="Normal"/>
    <w:rsid w:val="00A70E95"/>
    <w:pPr>
      <w:spacing w:before="86"/>
      <w:ind w:left="567" w:hanging="567"/>
    </w:pPr>
  </w:style>
  <w:style w:type="paragraph" w:customStyle="1" w:styleId="enumlev2">
    <w:name w:val="enumlev2"/>
    <w:basedOn w:val="enumlev1"/>
    <w:rsid w:val="00A70E95"/>
    <w:pPr>
      <w:ind w:left="1134"/>
    </w:pPr>
  </w:style>
  <w:style w:type="paragraph" w:customStyle="1" w:styleId="enumlev3">
    <w:name w:val="enumlev3"/>
    <w:basedOn w:val="enumlev2"/>
    <w:rsid w:val="00A70E95"/>
    <w:pPr>
      <w:ind w:left="1701"/>
    </w:pPr>
  </w:style>
  <w:style w:type="paragraph" w:customStyle="1" w:styleId="Tablehead">
    <w:name w:val="Table_head"/>
    <w:basedOn w:val="Tabletext"/>
    <w:rsid w:val="00A70E95"/>
    <w:pPr>
      <w:spacing w:before="120" w:after="120"/>
      <w:jc w:val="center"/>
    </w:pPr>
    <w:rPr>
      <w:b/>
    </w:rPr>
  </w:style>
  <w:style w:type="paragraph" w:customStyle="1" w:styleId="Normalaftertitle">
    <w:name w:val="Normal after title"/>
    <w:basedOn w:val="Normal"/>
    <w:next w:val="Normal"/>
    <w:rsid w:val="00A70E95"/>
    <w:pPr>
      <w:spacing w:before="240"/>
    </w:pPr>
  </w:style>
  <w:style w:type="paragraph" w:customStyle="1" w:styleId="AnnexNo">
    <w:name w:val="Annex_No"/>
    <w:basedOn w:val="Normal"/>
    <w:next w:val="Annexref"/>
    <w:rsid w:val="00BB13FE"/>
    <w:pPr>
      <w:spacing w:before="720"/>
      <w:jc w:val="center"/>
    </w:pPr>
    <w:rPr>
      <w:caps/>
      <w:sz w:val="28"/>
    </w:rPr>
  </w:style>
  <w:style w:type="paragraph" w:customStyle="1" w:styleId="Annexref">
    <w:name w:val="Annex_ref"/>
    <w:basedOn w:val="Normal"/>
    <w:next w:val="Annextitle"/>
    <w:rsid w:val="00BB13FE"/>
    <w:pPr>
      <w:jc w:val="center"/>
    </w:pPr>
    <w:rPr>
      <w:sz w:val="28"/>
    </w:rPr>
  </w:style>
  <w:style w:type="paragraph" w:customStyle="1" w:styleId="Annextitle">
    <w:name w:val="Annex_title"/>
    <w:basedOn w:val="Normal"/>
    <w:next w:val="Normal"/>
    <w:rsid w:val="00BB13FE"/>
    <w:pPr>
      <w:spacing w:before="240" w:after="240"/>
      <w:jc w:val="center"/>
    </w:pPr>
    <w:rPr>
      <w:b/>
      <w:sz w:val="28"/>
    </w:rPr>
  </w:style>
  <w:style w:type="paragraph" w:customStyle="1" w:styleId="AppendixNo">
    <w:name w:val="Appendix_No"/>
    <w:basedOn w:val="AnnexNo"/>
    <w:next w:val="Appendixref"/>
    <w:rsid w:val="00A70E95"/>
  </w:style>
  <w:style w:type="paragraph" w:customStyle="1" w:styleId="Appendixref">
    <w:name w:val="Appendix_ref"/>
    <w:basedOn w:val="Annexref"/>
    <w:next w:val="Appendixtitle"/>
    <w:rsid w:val="00A70E95"/>
  </w:style>
  <w:style w:type="paragraph" w:customStyle="1" w:styleId="Appendixtitle">
    <w:name w:val="Appendix_title"/>
    <w:basedOn w:val="Annextitle"/>
    <w:next w:val="Normal"/>
    <w:rsid w:val="00A70E95"/>
  </w:style>
  <w:style w:type="paragraph" w:customStyle="1" w:styleId="Reftitle">
    <w:name w:val="Ref_title"/>
    <w:basedOn w:val="Normal"/>
    <w:next w:val="Reftext"/>
    <w:rsid w:val="00BB13FE"/>
    <w:pPr>
      <w:spacing w:before="480"/>
      <w:jc w:val="center"/>
    </w:pPr>
    <w:rPr>
      <w:caps/>
      <w:sz w:val="28"/>
    </w:rPr>
  </w:style>
  <w:style w:type="paragraph" w:customStyle="1" w:styleId="Reftext">
    <w:name w:val="Ref_text"/>
    <w:basedOn w:val="Normal"/>
    <w:rsid w:val="00A70E95"/>
    <w:pPr>
      <w:ind w:left="567" w:hanging="567"/>
    </w:pPr>
  </w:style>
  <w:style w:type="paragraph" w:customStyle="1" w:styleId="Rectitle">
    <w:name w:val="Rec_title"/>
    <w:basedOn w:val="Normal"/>
    <w:next w:val="Heading1"/>
    <w:rsid w:val="004A63A9"/>
    <w:pPr>
      <w:spacing w:before="240"/>
      <w:jc w:val="center"/>
    </w:pPr>
    <w:rPr>
      <w:b/>
      <w:sz w:val="28"/>
    </w:rPr>
  </w:style>
  <w:style w:type="paragraph" w:customStyle="1" w:styleId="Call">
    <w:name w:val="Call"/>
    <w:basedOn w:val="Normal"/>
    <w:next w:val="Normal"/>
    <w:rsid w:val="00A70E95"/>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BB13FE"/>
    <w:pPr>
      <w:spacing w:before="720"/>
      <w:jc w:val="center"/>
    </w:pPr>
    <w:rPr>
      <w:caps/>
      <w:sz w:val="28"/>
    </w:rPr>
  </w:style>
  <w:style w:type="paragraph" w:customStyle="1" w:styleId="toc0">
    <w:name w:val="toc 0"/>
    <w:basedOn w:val="Normal"/>
    <w:next w:val="TOC1"/>
    <w:rsid w:val="00A70E95"/>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B13FE"/>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70E95"/>
    <w:pPr>
      <w:tabs>
        <w:tab w:val="clear" w:pos="567"/>
        <w:tab w:val="left" w:pos="851"/>
      </w:tabs>
    </w:pPr>
  </w:style>
  <w:style w:type="paragraph" w:customStyle="1" w:styleId="MinusFootnote">
    <w:name w:val="MinusFootnote"/>
    <w:basedOn w:val="Normal"/>
    <w:rsid w:val="00A70E95"/>
    <w:pPr>
      <w:ind w:left="-1701" w:hanging="284"/>
    </w:pPr>
  </w:style>
  <w:style w:type="paragraph" w:customStyle="1" w:styleId="Title3">
    <w:name w:val="Title 3"/>
    <w:basedOn w:val="Title2"/>
    <w:next w:val="Normalaftertitle"/>
    <w:rsid w:val="00A70E95"/>
    <w:rPr>
      <w:caps w:val="0"/>
    </w:rPr>
  </w:style>
  <w:style w:type="paragraph" w:customStyle="1" w:styleId="Title2">
    <w:name w:val="Title 2"/>
    <w:basedOn w:val="Source"/>
    <w:next w:val="Title3"/>
    <w:rsid w:val="00A70E95"/>
    <w:pPr>
      <w:spacing w:before="240"/>
    </w:pPr>
    <w:rPr>
      <w:b w:val="0"/>
      <w:caps/>
    </w:rPr>
  </w:style>
  <w:style w:type="paragraph" w:customStyle="1" w:styleId="Source">
    <w:name w:val="Source"/>
    <w:basedOn w:val="Normal"/>
    <w:next w:val="Title1"/>
    <w:rsid w:val="000A1523"/>
    <w:pPr>
      <w:spacing w:before="840"/>
      <w:jc w:val="center"/>
    </w:pPr>
    <w:rPr>
      <w:b/>
      <w:sz w:val="28"/>
    </w:rPr>
  </w:style>
  <w:style w:type="paragraph" w:customStyle="1" w:styleId="Title1">
    <w:name w:val="Title 1"/>
    <w:basedOn w:val="Source"/>
    <w:next w:val="Title2"/>
    <w:rsid w:val="00A70E95"/>
    <w:pPr>
      <w:spacing w:before="240"/>
    </w:pPr>
    <w:rPr>
      <w:b w:val="0"/>
      <w:caps/>
    </w:rPr>
  </w:style>
  <w:style w:type="paragraph" w:customStyle="1" w:styleId="ArtNo">
    <w:name w:val="Art_No"/>
    <w:basedOn w:val="Normal"/>
    <w:next w:val="Arttitle"/>
    <w:rsid w:val="00BB13FE"/>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13FE"/>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A70E95"/>
  </w:style>
  <w:style w:type="paragraph" w:customStyle="1" w:styleId="Chaptitle">
    <w:name w:val="Chap_title"/>
    <w:basedOn w:val="Arttitle"/>
    <w:next w:val="Normal"/>
    <w:rsid w:val="00A70E95"/>
  </w:style>
  <w:style w:type="paragraph" w:customStyle="1" w:styleId="Reasons">
    <w:name w:val="Reasons"/>
    <w:basedOn w:val="Normal"/>
    <w:qFormat/>
    <w:rsid w:val="00A70E95"/>
  </w:style>
  <w:style w:type="paragraph" w:customStyle="1" w:styleId="ResNo">
    <w:name w:val="Res_No"/>
    <w:basedOn w:val="AnnexNo"/>
    <w:next w:val="Restitle"/>
    <w:rsid w:val="00A70E95"/>
  </w:style>
  <w:style w:type="paragraph" w:customStyle="1" w:styleId="Restitle">
    <w:name w:val="Res_title"/>
    <w:basedOn w:val="Annextitle"/>
    <w:next w:val="Normal"/>
    <w:rsid w:val="004A63A9"/>
  </w:style>
  <w:style w:type="paragraph" w:customStyle="1" w:styleId="AnnexNoS2">
    <w:name w:val="Annex_No_S2"/>
    <w:basedOn w:val="AnnexNo"/>
    <w:next w:val="AnnexrefS2"/>
    <w:rsid w:val="00BB13FE"/>
    <w:pPr>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BB13FE"/>
    <w:pPr>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A70E95"/>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A70E95"/>
    <w:rPr>
      <w:caps w:val="0"/>
    </w:rPr>
  </w:style>
  <w:style w:type="paragraph" w:customStyle="1" w:styleId="Section2">
    <w:name w:val="Section 2"/>
    <w:basedOn w:val="Section1"/>
    <w:next w:val="Normal"/>
    <w:rsid w:val="00A70E95"/>
    <w:pPr>
      <w:spacing w:before="240"/>
    </w:pPr>
    <w:rPr>
      <w:b/>
      <w:i/>
    </w:rPr>
  </w:style>
  <w:style w:type="paragraph" w:customStyle="1" w:styleId="AppendixNoS2">
    <w:name w:val="Appendix_No_S2"/>
    <w:basedOn w:val="AppendixNo"/>
    <w:next w:val="AppendixrefS2"/>
    <w:rsid w:val="00BB13FE"/>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B13FE"/>
    <w:pPr>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B13FE"/>
    <w:pPr>
      <w:tabs>
        <w:tab w:val="left" w:pos="851"/>
      </w:tabs>
      <w:jc w:val="left"/>
    </w:pPr>
    <w:rPr>
      <w:b/>
      <w:sz w:val="24"/>
    </w:rPr>
  </w:style>
  <w:style w:type="paragraph" w:customStyle="1" w:styleId="ArttitleS2">
    <w:name w:val="Art_title_S2"/>
    <w:basedOn w:val="Arttitle"/>
    <w:next w:val="NormalS2"/>
    <w:rsid w:val="00BB13FE"/>
    <w:pPr>
      <w:tabs>
        <w:tab w:val="left" w:pos="851"/>
      </w:tabs>
      <w:jc w:val="left"/>
    </w:pPr>
    <w:rPr>
      <w:sz w:val="24"/>
    </w:rPr>
  </w:style>
  <w:style w:type="paragraph" w:customStyle="1" w:styleId="ChapNoS2">
    <w:name w:val="Chap_No_S2"/>
    <w:basedOn w:val="ChapNo"/>
    <w:next w:val="ChaptitleS2"/>
    <w:rsid w:val="004A63A9"/>
    <w:pPr>
      <w:tabs>
        <w:tab w:val="left" w:pos="851"/>
      </w:tabs>
      <w:jc w:val="left"/>
    </w:pPr>
    <w:rPr>
      <w:b/>
      <w:sz w:val="24"/>
    </w:rPr>
  </w:style>
  <w:style w:type="paragraph" w:customStyle="1" w:styleId="ChaptitleS2">
    <w:name w:val="Chap_title_S2"/>
    <w:basedOn w:val="Chaptitle"/>
    <w:next w:val="NormalS2"/>
    <w:rsid w:val="00BB13FE"/>
    <w:pPr>
      <w:tabs>
        <w:tab w:val="left" w:pos="851"/>
      </w:tabs>
      <w:jc w:val="left"/>
    </w:pPr>
    <w:rPr>
      <w:sz w:val="24"/>
    </w:rPr>
  </w:style>
  <w:style w:type="paragraph" w:customStyle="1" w:styleId="enumlev1S2">
    <w:name w:val="enumlev1_S2"/>
    <w:basedOn w:val="enumlev1"/>
    <w:rsid w:val="00A70E95"/>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70E95"/>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70E95"/>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70E95"/>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B13FE"/>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70E95"/>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BB13FE"/>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70E95"/>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70E95"/>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70E95"/>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70E95"/>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70E95"/>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70E95"/>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70E95"/>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70E95"/>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A70E95"/>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B13FE"/>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B13FE"/>
    <w:pPr>
      <w:tabs>
        <w:tab w:val="clear" w:pos="567"/>
        <w:tab w:val="clear" w:pos="1134"/>
        <w:tab w:val="clear" w:pos="1701"/>
        <w:tab w:val="clear" w:pos="2268"/>
        <w:tab w:val="clear" w:pos="2835"/>
        <w:tab w:val="left" w:pos="851"/>
      </w:tabs>
      <w:jc w:val="left"/>
    </w:pPr>
    <w:rPr>
      <w:caps/>
      <w:sz w:val="24"/>
    </w:rPr>
  </w:style>
  <w:style w:type="paragraph" w:customStyle="1" w:styleId="ReftextS2">
    <w:name w:val="Ref_text_S2"/>
    <w:basedOn w:val="Reftext"/>
    <w:rsid w:val="00A70E95"/>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B13F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B13FE"/>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B13FE"/>
    <w:pPr>
      <w:tabs>
        <w:tab w:val="left" w:pos="851"/>
      </w:tabs>
      <w:jc w:val="left"/>
    </w:pPr>
    <w:rPr>
      <w:caps/>
      <w:sz w:val="24"/>
    </w:rPr>
  </w:style>
  <w:style w:type="paragraph" w:customStyle="1" w:styleId="Section2S2">
    <w:name w:val="Section 2_S2"/>
    <w:basedOn w:val="Section2"/>
    <w:next w:val="NormalS2"/>
    <w:rsid w:val="004A63A9"/>
    <w:pPr>
      <w:tabs>
        <w:tab w:val="left" w:pos="851"/>
      </w:tabs>
      <w:jc w:val="left"/>
    </w:pPr>
    <w:rPr>
      <w:sz w:val="24"/>
    </w:rPr>
  </w:style>
  <w:style w:type="paragraph" w:customStyle="1" w:styleId="TableNoS2">
    <w:name w:val="Table_No_S2"/>
    <w:basedOn w:val="TableNo"/>
    <w:next w:val="TabletitleS2"/>
    <w:rsid w:val="00A70E95"/>
    <w:pPr>
      <w:keepNext w:val="0"/>
      <w:tabs>
        <w:tab w:val="clear" w:pos="567"/>
        <w:tab w:val="clear" w:pos="1134"/>
        <w:tab w:val="clear" w:pos="1701"/>
        <w:tab w:val="clear" w:pos="2268"/>
        <w:tab w:val="clear" w:pos="2835"/>
        <w:tab w:val="left" w:pos="851"/>
      </w:tabs>
      <w:jc w:val="left"/>
    </w:pPr>
    <w:rPr>
      <w:b/>
    </w:rPr>
  </w:style>
  <w:style w:type="paragraph" w:customStyle="1" w:styleId="TabletitleS2">
    <w:name w:val="Table_title_S2"/>
    <w:basedOn w:val="Tabletitle"/>
    <w:next w:val="TabletextS2"/>
    <w:rsid w:val="00A70E95"/>
    <w:pPr>
      <w:keepNext w:val="0"/>
      <w:tabs>
        <w:tab w:val="clear" w:pos="2948"/>
        <w:tab w:val="clear" w:pos="4082"/>
        <w:tab w:val="left" w:pos="851"/>
      </w:tabs>
      <w:jc w:val="left"/>
    </w:pPr>
  </w:style>
  <w:style w:type="paragraph" w:customStyle="1" w:styleId="TabletextS2">
    <w:name w:val="Table_text_S2"/>
    <w:basedOn w:val="Tabletext"/>
    <w:rsid w:val="00A70E95"/>
    <w:pPr>
      <w:tabs>
        <w:tab w:val="left" w:pos="851"/>
      </w:tabs>
    </w:pPr>
    <w:rPr>
      <w:b/>
    </w:rPr>
  </w:style>
  <w:style w:type="paragraph" w:customStyle="1" w:styleId="TablelegendS2">
    <w:name w:val="Table_legend_S2"/>
    <w:basedOn w:val="Tablelegend"/>
    <w:rsid w:val="00A70E95"/>
    <w:pPr>
      <w:tabs>
        <w:tab w:val="left" w:pos="851"/>
      </w:tabs>
      <w:spacing w:after="0"/>
    </w:pPr>
    <w:rPr>
      <w:b/>
    </w:rPr>
  </w:style>
  <w:style w:type="paragraph" w:customStyle="1" w:styleId="FooterS2">
    <w:name w:val="Footer_S2"/>
    <w:basedOn w:val="Footer"/>
    <w:rsid w:val="00A70E95"/>
    <w:pPr>
      <w:tabs>
        <w:tab w:val="clear" w:pos="5954"/>
        <w:tab w:val="clear" w:pos="9639"/>
        <w:tab w:val="left" w:pos="3686"/>
        <w:tab w:val="right" w:pos="7655"/>
      </w:tabs>
      <w:ind w:left="-1985"/>
    </w:pPr>
  </w:style>
  <w:style w:type="paragraph" w:customStyle="1" w:styleId="HeaderS2">
    <w:name w:val="Header_S2"/>
    <w:basedOn w:val="Normal"/>
    <w:rsid w:val="00A70E95"/>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70E95"/>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70E95"/>
    <w:pPr>
      <w:tabs>
        <w:tab w:val="left" w:pos="851"/>
      </w:tabs>
      <w:jc w:val="left"/>
    </w:pPr>
  </w:style>
  <w:style w:type="paragraph" w:customStyle="1" w:styleId="NoteS2">
    <w:name w:val="Note_S2"/>
    <w:basedOn w:val="Note"/>
    <w:rsid w:val="00A70E95"/>
    <w:pPr>
      <w:tabs>
        <w:tab w:val="clear" w:pos="1134"/>
        <w:tab w:val="clear" w:pos="1701"/>
        <w:tab w:val="clear" w:pos="2268"/>
        <w:tab w:val="clear" w:pos="2835"/>
      </w:tabs>
    </w:pPr>
    <w:rPr>
      <w:b/>
    </w:rPr>
  </w:style>
  <w:style w:type="paragraph" w:styleId="Date">
    <w:name w:val="Date"/>
    <w:basedOn w:val="Normal"/>
    <w:rsid w:val="00A70E95"/>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customStyle="1" w:styleId="HeadingbS2">
    <w:name w:val="Headingb_S2"/>
    <w:basedOn w:val="Headingb"/>
    <w:next w:val="NormalS2"/>
    <w:rsid w:val="00A70E95"/>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70E95"/>
    <w:pPr>
      <w:spacing w:before="160"/>
      <w:outlineLvl w:val="0"/>
    </w:pPr>
  </w:style>
  <w:style w:type="paragraph" w:customStyle="1" w:styleId="HeadingiS2">
    <w:name w:val="Headingi_S2"/>
    <w:basedOn w:val="Headingi"/>
    <w:next w:val="NormalS2"/>
    <w:rsid w:val="00A70E95"/>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4A63A9"/>
    <w:pPr>
      <w:spacing w:before="160"/>
      <w:outlineLvl w:val="0"/>
    </w:pPr>
    <w:rPr>
      <w:b w:val="0"/>
      <w:i/>
    </w:rPr>
  </w:style>
  <w:style w:type="paragraph" w:customStyle="1" w:styleId="FirstFooter">
    <w:name w:val="FirstFooter"/>
    <w:basedOn w:val="Footer"/>
    <w:rsid w:val="00A70E95"/>
    <w:rPr>
      <w:caps w:val="0"/>
    </w:rPr>
  </w:style>
  <w:style w:type="paragraph" w:styleId="TOC9">
    <w:name w:val="toc 9"/>
    <w:basedOn w:val="Normal"/>
    <w:next w:val="Normal"/>
    <w:rsid w:val="00A70E95"/>
    <w:pPr>
      <w:tabs>
        <w:tab w:val="clear" w:pos="567"/>
        <w:tab w:val="clear" w:pos="1134"/>
        <w:tab w:val="clear" w:pos="1701"/>
        <w:tab w:val="clear" w:pos="2268"/>
        <w:tab w:val="clear" w:pos="2835"/>
        <w:tab w:val="right" w:leader="dot" w:pos="9645"/>
      </w:tabs>
      <w:ind w:left="1920"/>
    </w:pPr>
  </w:style>
  <w:style w:type="paragraph" w:customStyle="1" w:styleId="Heading1c">
    <w:name w:val="Heading 1c"/>
    <w:basedOn w:val="Heading1"/>
    <w:next w:val="Normal"/>
    <w:rsid w:val="000863AB"/>
    <w:pPr>
      <w:ind w:left="0" w:firstLine="0"/>
      <w:jc w:val="center"/>
      <w:outlineLvl w:val="9"/>
    </w:pPr>
  </w:style>
  <w:style w:type="paragraph" w:customStyle="1" w:styleId="Heading1cS2">
    <w:name w:val="Heading 1c_S2"/>
    <w:basedOn w:val="Heading1c"/>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4A63A9"/>
    <w:rPr>
      <w:b w:val="0"/>
      <w:i/>
    </w:rPr>
  </w:style>
  <w:style w:type="paragraph" w:customStyle="1" w:styleId="Heading2iS2">
    <w:name w:val="Heading 2i_S2"/>
    <w:basedOn w:val="Heading2i"/>
    <w:next w:val="NormalS2"/>
    <w:rsid w:val="00A70E95"/>
    <w:pPr>
      <w:tabs>
        <w:tab w:val="clear" w:pos="567"/>
        <w:tab w:val="clear" w:pos="1134"/>
        <w:tab w:val="clear" w:pos="1701"/>
        <w:tab w:val="clear" w:pos="2268"/>
        <w:tab w:val="clear" w:pos="2835"/>
        <w:tab w:val="left" w:pos="851"/>
      </w:tabs>
    </w:pPr>
    <w:rPr>
      <w:b/>
      <w:i w:val="0"/>
    </w:rPr>
  </w:style>
  <w:style w:type="character" w:styleId="PageNumber">
    <w:name w:val="page number"/>
    <w:basedOn w:val="DefaultParagraphFont"/>
    <w:rsid w:val="004A63A9"/>
    <w:rPr>
      <w:rFonts w:ascii="Calibri" w:hAnsi="Calibri"/>
    </w:rPr>
  </w:style>
  <w:style w:type="character" w:styleId="Hyperlink">
    <w:name w:val="Hyperlink"/>
    <w:basedOn w:val="DefaultParagraphFont"/>
    <w:uiPriority w:val="99"/>
    <w:rsid w:val="000863AB"/>
    <w:rPr>
      <w:rFonts w:ascii="Calibri" w:hAnsi="Calibri"/>
      <w:color w:val="0000FF"/>
      <w:u w:val="single"/>
    </w:rPr>
  </w:style>
  <w:style w:type="paragraph" w:customStyle="1" w:styleId="Head">
    <w:name w:val="Head"/>
    <w:basedOn w:val="Normal"/>
    <w:rsid w:val="00A70E95"/>
    <w:pPr>
      <w:tabs>
        <w:tab w:val="clear" w:pos="567"/>
        <w:tab w:val="clear" w:pos="1134"/>
        <w:tab w:val="clear" w:pos="1701"/>
        <w:tab w:val="clear" w:pos="2268"/>
        <w:tab w:val="clear" w:pos="2835"/>
      </w:tabs>
      <w:spacing w:before="0"/>
    </w:pPr>
  </w:style>
  <w:style w:type="paragraph" w:customStyle="1" w:styleId="Heading1pv">
    <w:name w:val="Heading 1pv"/>
    <w:basedOn w:val="Heading1"/>
    <w:next w:val="Normalpv"/>
    <w:rsid w:val="00A70E95"/>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Normalpv">
    <w:name w:val="Normal pv"/>
    <w:basedOn w:val="Normal"/>
    <w:rsid w:val="00A70E95"/>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2pv">
    <w:name w:val="Heading 2pv"/>
    <w:basedOn w:val="Heading1pv"/>
    <w:next w:val="Normalpv"/>
    <w:rsid w:val="00A70E95"/>
    <w:pPr>
      <w:spacing w:before="320"/>
      <w:outlineLvl w:val="1"/>
    </w:pPr>
  </w:style>
  <w:style w:type="paragraph" w:customStyle="1" w:styleId="Heading3pv">
    <w:name w:val="Heading 3pv"/>
    <w:basedOn w:val="Heading1pv"/>
    <w:next w:val="Normalpv"/>
    <w:rsid w:val="00A70E95"/>
    <w:pPr>
      <w:spacing w:before="200"/>
      <w:outlineLvl w:val="2"/>
    </w:pPr>
  </w:style>
  <w:style w:type="paragraph" w:customStyle="1" w:styleId="NormalendS2">
    <w:name w:val="Normal_end_S2"/>
    <w:basedOn w:val="Normal"/>
    <w:qFormat/>
    <w:rsid w:val="00F80E6E"/>
    <w:pPr>
      <w:tabs>
        <w:tab w:val="clear" w:pos="567"/>
        <w:tab w:val="clear" w:pos="1134"/>
        <w:tab w:val="clear" w:pos="1701"/>
        <w:tab w:val="clear" w:pos="2268"/>
        <w:tab w:val="clear" w:pos="2835"/>
      </w:tabs>
      <w:overflowPunct/>
      <w:autoSpaceDE/>
      <w:autoSpaceDN/>
      <w:adjustRightInd/>
      <w:spacing w:before="0"/>
      <w:textAlignment w:val="auto"/>
    </w:pPr>
  </w:style>
  <w:style w:type="paragraph" w:customStyle="1" w:styleId="Dectitle">
    <w:name w:val="Dec_title"/>
    <w:basedOn w:val="Rectitle"/>
    <w:next w:val="Normalaftertitle"/>
    <w:qFormat/>
    <w:rsid w:val="009A1A86"/>
  </w:style>
  <w:style w:type="paragraph" w:customStyle="1" w:styleId="DecNo">
    <w:name w:val="Dec_No"/>
    <w:basedOn w:val="RecNo"/>
    <w:next w:val="Dectitle"/>
    <w:qFormat/>
    <w:rsid w:val="009A1A86"/>
  </w:style>
  <w:style w:type="paragraph" w:customStyle="1" w:styleId="DectitleS2">
    <w:name w:val="Dec_title_S2"/>
    <w:basedOn w:val="RestitleS2"/>
    <w:next w:val="Normal"/>
    <w:qFormat/>
    <w:rsid w:val="009A1A86"/>
  </w:style>
  <w:style w:type="paragraph" w:customStyle="1" w:styleId="DecNoS2">
    <w:name w:val="Dec_No_S2"/>
    <w:basedOn w:val="ResNoS2"/>
    <w:next w:val="DectitleS2"/>
    <w:qFormat/>
    <w:rsid w:val="009A1A86"/>
  </w:style>
  <w:style w:type="paragraph" w:customStyle="1" w:styleId="SectionNo">
    <w:name w:val="Section_No"/>
    <w:basedOn w:val="ArtNo"/>
    <w:next w:val="Normal"/>
    <w:qFormat/>
    <w:rsid w:val="00CD20D9"/>
    <w:rPr>
      <w:lang w:val="en-GB"/>
    </w:rPr>
  </w:style>
  <w:style w:type="paragraph" w:customStyle="1" w:styleId="SectionNoS2">
    <w:name w:val="Section_No_S2"/>
    <w:basedOn w:val="ArtNoS2"/>
    <w:next w:val="Normal"/>
    <w:qFormat/>
    <w:rsid w:val="00CD20D9"/>
    <w:rPr>
      <w:lang w:val="en-GB"/>
    </w:rPr>
  </w:style>
  <w:style w:type="paragraph" w:customStyle="1" w:styleId="Sectiontitle">
    <w:name w:val="Section_title"/>
    <w:basedOn w:val="Arttitle"/>
    <w:next w:val="Normalaftertitle"/>
    <w:qFormat/>
    <w:rsid w:val="00CD20D9"/>
    <w:rPr>
      <w:lang w:val="en-GB"/>
    </w:rPr>
  </w:style>
  <w:style w:type="paragraph" w:customStyle="1" w:styleId="SectiontitleS2">
    <w:name w:val="Section_title_S2"/>
    <w:basedOn w:val="ArttitleS2"/>
    <w:next w:val="Normal"/>
    <w:qFormat/>
    <w:rsid w:val="00CD20D9"/>
    <w:rPr>
      <w:lang w:val="en-GB"/>
    </w:rPr>
  </w:style>
  <w:style w:type="paragraph" w:customStyle="1" w:styleId="firstfooter0">
    <w:name w:val="firstfooter"/>
    <w:basedOn w:val="Normal"/>
    <w:rsid w:val="004B07DB"/>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Agendaitem">
    <w:name w:val="Agenda_item"/>
    <w:basedOn w:val="Normal"/>
    <w:next w:val="Normal"/>
    <w:qFormat/>
    <w:rsid w:val="00255FA1"/>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rPr>
  </w:style>
  <w:style w:type="paragraph" w:customStyle="1" w:styleId="Committee">
    <w:name w:val="Committee"/>
    <w:basedOn w:val="Normal"/>
    <w:qFormat/>
    <w:rsid w:val="00255FA1"/>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mallCaps/>
      <w:szCs w:val="24"/>
      <w:lang w:val="en-US"/>
    </w:rPr>
  </w:style>
  <w:style w:type="character" w:customStyle="1" w:styleId="HeaderChar">
    <w:name w:val="Header Char"/>
    <w:basedOn w:val="DefaultParagraphFont"/>
    <w:link w:val="Header"/>
    <w:rsid w:val="00255FA1"/>
    <w:rPr>
      <w:rFonts w:ascii="Calibri" w:hAnsi="Calibri"/>
      <w:sz w:val="18"/>
      <w:lang w:val="es-ES_tradnl" w:eastAsia="en-US"/>
    </w:rPr>
  </w:style>
  <w:style w:type="paragraph" w:customStyle="1" w:styleId="Proposal">
    <w:name w:val="Proposal"/>
    <w:basedOn w:val="Normal"/>
    <w:next w:val="Normal"/>
    <w:rsid w:val="003D0027"/>
    <w:pPr>
      <w:keepNext/>
      <w:tabs>
        <w:tab w:val="clear" w:pos="567"/>
        <w:tab w:val="clear" w:pos="1701"/>
        <w:tab w:val="clear" w:pos="2268"/>
        <w:tab w:val="clear" w:pos="2835"/>
      </w:tabs>
      <w:spacing w:before="240"/>
    </w:pPr>
    <w:rPr>
      <w:rFonts w:asciiTheme="minorHAnsi" w:hAnsi="Times New Roman Bold"/>
      <w:b/>
      <w:lang w:val="en-GB"/>
    </w:rPr>
  </w:style>
  <w:style w:type="paragraph" w:styleId="BalloonText">
    <w:name w:val="Balloon Text"/>
    <w:basedOn w:val="Normal"/>
    <w:link w:val="BalloonTextChar"/>
    <w:semiHidden/>
    <w:unhideWhenUsed/>
    <w:rsid w:val="00AD400E"/>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D400E"/>
    <w:rPr>
      <w:rFonts w:ascii="Tahoma" w:hAnsi="Tahoma" w:cs="Tahoma"/>
      <w:sz w:val="16"/>
      <w:szCs w:val="16"/>
      <w:lang w:val="es-ES_tradnl" w:eastAsia="en-US"/>
    </w:rPr>
  </w:style>
  <w:style w:type="paragraph" w:customStyle="1" w:styleId="OP">
    <w:name w:val="OP"/>
    <w:basedOn w:val="Normal"/>
    <w:next w:val="Normal"/>
    <w:qFormat/>
    <w:rsid w:val="00504FD4"/>
    <w:pPr>
      <w:tabs>
        <w:tab w:val="clear" w:pos="1134"/>
        <w:tab w:val="clear" w:pos="2268"/>
        <w:tab w:val="right" w:pos="567"/>
        <w:tab w:val="left" w:pos="794"/>
        <w:tab w:val="left" w:pos="1191"/>
        <w:tab w:val="left" w:pos="1588"/>
        <w:tab w:val="left" w:pos="1985"/>
      </w:tabs>
      <w:spacing w:before="1200" w:after="240" w:line="480" w:lineRule="atLeast"/>
      <w:jc w:val="center"/>
    </w:pPr>
    <w:rPr>
      <w:b/>
      <w:sz w:val="32"/>
      <w:lang w:val="en-GB"/>
    </w:rPr>
  </w:style>
  <w:style w:type="paragraph" w:customStyle="1" w:styleId="OPtitle">
    <w:name w:val="OP_title"/>
    <w:basedOn w:val="Normal"/>
    <w:next w:val="Normalaftertitle"/>
    <w:qFormat/>
    <w:rsid w:val="00504FD4"/>
    <w:pPr>
      <w:jc w:val="center"/>
    </w:pPr>
    <w:rPr>
      <w:b/>
      <w:bCs/>
      <w:lang w:val="en-GB"/>
    </w:rPr>
  </w:style>
  <w:style w:type="paragraph" w:customStyle="1" w:styleId="VolumeTitle">
    <w:name w:val="VolumeTitle"/>
    <w:basedOn w:val="Normal"/>
    <w:next w:val="Normal"/>
    <w:rsid w:val="004B09D4"/>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504FD4"/>
  </w:style>
  <w:style w:type="character" w:styleId="UnresolvedMention">
    <w:name w:val="Unresolved Mention"/>
    <w:basedOn w:val="DefaultParagraphFont"/>
    <w:uiPriority w:val="99"/>
    <w:semiHidden/>
    <w:unhideWhenUsed/>
    <w:rsid w:val="003B5DC9"/>
    <w:rPr>
      <w:color w:val="605E5C"/>
      <w:shd w:val="clear" w:color="auto" w:fill="E1DFDD"/>
    </w:rPr>
  </w:style>
  <w:style w:type="character" w:styleId="FollowedHyperlink">
    <w:name w:val="FollowedHyperlink"/>
    <w:basedOn w:val="DefaultParagraphFont"/>
    <w:semiHidden/>
    <w:unhideWhenUsed/>
    <w:rsid w:val="00057402"/>
    <w:rPr>
      <w:color w:val="800080" w:themeColor="followedHyperlink"/>
      <w:u w:val="single"/>
    </w:rPr>
  </w:style>
  <w:style w:type="character" w:styleId="PlaceholderText">
    <w:name w:val="Placeholder Text"/>
    <w:basedOn w:val="DefaultParagraphFont"/>
    <w:uiPriority w:val="99"/>
    <w:semiHidden/>
    <w:rsid w:val="00DB336C"/>
    <w:rPr>
      <w:color w:val="666666"/>
    </w:rPr>
  </w:style>
  <w:style w:type="paragraph" w:customStyle="1" w:styleId="OpNo">
    <w:name w:val="Op_No"/>
    <w:basedOn w:val="ResNo"/>
    <w:rsid w:val="003C1B77"/>
    <w:pPr>
      <w:tabs>
        <w:tab w:val="clear" w:pos="567"/>
        <w:tab w:val="left" w:pos="851"/>
      </w:tabs>
    </w:pPr>
    <w:rPr>
      <w:lang w:val="en-GB"/>
    </w:rPr>
  </w:style>
  <w:style w:type="paragraph" w:customStyle="1" w:styleId="Optitle0">
    <w:name w:val="Op_title"/>
    <w:basedOn w:val="Restitle"/>
    <w:rsid w:val="003C1B77"/>
    <w:pPr>
      <w:tabs>
        <w:tab w:val="clear" w:pos="567"/>
        <w:tab w:val="left" w:pos="851"/>
      </w:tabs>
    </w:pPr>
    <w:rPr>
      <w:rFonts w:eastAsia="Calibri"/>
      <w:lang w:val="en-GB"/>
    </w:rPr>
  </w:style>
  <w:style w:type="paragraph" w:styleId="Revision">
    <w:name w:val="Revision"/>
    <w:hidden/>
    <w:uiPriority w:val="99"/>
    <w:semiHidden/>
    <w:rsid w:val="00365F30"/>
    <w:rPr>
      <w:rFonts w:ascii="Calibri" w:hAnsi="Calibri"/>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TEMPLATE\ITUOffice2007\POOL\POOL%20S%20-%20ITU\GS\PS_WTPF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2B0EF-F0F2-49DE-9B22-1928D6704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PS_WTPF26.dotx</Template>
  <TotalTime>5</TotalTime>
  <Pages>4</Pages>
  <Words>1722</Words>
  <Characters>9817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11516</CharactersWithSpaces>
  <SharedDoc>false</SharedDoc>
  <HyperlinkBase/>
  <HLinks>
    <vt:vector size="6" baseType="variant">
      <vt:variant>
        <vt:i4>4194374</vt:i4>
      </vt:variant>
      <vt:variant>
        <vt:i4>12</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Opinión 5 - El fortalecimiento de los ecosistemas de innovación centrados en las TIC y del espíritu empresarial</dc:title>
  <dc:subject>World telecommunication/information and communication technology policy forum</dc:subject>
  <cp:keywords>WTPF, WTPF-26</cp:keywords>
  <dc:description/>
  <dcterms:created xsi:type="dcterms:W3CDTF">2026-08-20T12:11:00Z</dcterms:created>
  <dcterms:modified xsi:type="dcterms:W3CDTF">2026-08-20T12:15:00Z</dcterms:modified>
  <cp:category>Conference document</cp:category>
</cp:coreProperties>
</file>