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6B5C62" w14:paraId="54DD472F" w14:textId="77777777" w:rsidTr="00DB336C">
        <w:trPr>
          <w:cantSplit/>
          <w:trHeight w:hRule="exact" w:val="1418"/>
          <w:jc w:val="center"/>
        </w:trPr>
        <w:tc>
          <w:tcPr>
            <w:tcW w:w="10031" w:type="dxa"/>
            <w:gridSpan w:val="2"/>
            <w:tcMar>
              <w:left w:w="0" w:type="dxa"/>
              <w:right w:w="0" w:type="dxa"/>
            </w:tcMar>
            <w:vAlign w:val="center"/>
          </w:tcPr>
          <w:p w14:paraId="1394F73B" w14:textId="77777777" w:rsidR="00BF32F2" w:rsidRPr="006B5C62" w:rsidRDefault="00682039" w:rsidP="00BF32F2">
            <w:pPr>
              <w:spacing w:before="0" w:line="240" w:lineRule="atLeast"/>
              <w:rPr>
                <w:rFonts w:cstheme="minorHAnsi"/>
              </w:rPr>
            </w:pPr>
            <w:r>
              <w:rPr>
                <w:rFonts w:cstheme="minorHAnsi"/>
                <w:noProof/>
              </w:rPr>
              <w:drawing>
                <wp:inline distT="0" distB="0" distL="0" distR="0" wp14:anchorId="3091070D" wp14:editId="46C84C79">
                  <wp:extent cx="6660000" cy="971793"/>
                  <wp:effectExtent l="0" t="0" r="7620" b="0"/>
                  <wp:docPr id="13945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2956" name="Picture 13945629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6B5C62" w14:paraId="5CB17DF5" w14:textId="77777777" w:rsidTr="005A329F">
        <w:trPr>
          <w:cantSplit/>
          <w:trHeight w:val="283"/>
          <w:jc w:val="center"/>
        </w:trPr>
        <w:tc>
          <w:tcPr>
            <w:tcW w:w="10031" w:type="dxa"/>
            <w:gridSpan w:val="2"/>
            <w:tcBorders>
              <w:bottom w:val="single" w:sz="12" w:space="0" w:color="71716F"/>
            </w:tcBorders>
          </w:tcPr>
          <w:p w14:paraId="4800AB1E" w14:textId="77777777" w:rsidR="00277985" w:rsidRPr="006B5C62" w:rsidRDefault="00277985" w:rsidP="00BF32F2">
            <w:pPr>
              <w:spacing w:before="0" w:line="240" w:lineRule="atLeast"/>
              <w:rPr>
                <w:rFonts w:cstheme="minorHAnsi"/>
                <w:b/>
                <w:smallCaps/>
                <w:szCs w:val="24"/>
              </w:rPr>
            </w:pPr>
            <w:bookmarkStart w:id="0" w:name="dhead"/>
          </w:p>
        </w:tc>
      </w:tr>
      <w:tr w:rsidR="00255FA1" w:rsidRPr="006B5C62" w14:paraId="69B53B1E" w14:textId="77777777" w:rsidTr="00DB336C">
        <w:trPr>
          <w:cantSplit/>
          <w:trHeight w:val="255"/>
          <w:jc w:val="center"/>
        </w:trPr>
        <w:tc>
          <w:tcPr>
            <w:tcW w:w="6946" w:type="dxa"/>
            <w:tcBorders>
              <w:top w:val="single" w:sz="12" w:space="0" w:color="71716F"/>
            </w:tcBorders>
          </w:tcPr>
          <w:p w14:paraId="2039F49A" w14:textId="77777777" w:rsidR="00255FA1" w:rsidRPr="003C1B77" w:rsidRDefault="00255FA1" w:rsidP="003C1B77">
            <w:pPr>
              <w:spacing w:before="0"/>
              <w:rPr>
                <w:b/>
                <w:bCs/>
              </w:rPr>
            </w:pPr>
          </w:p>
        </w:tc>
        <w:tc>
          <w:tcPr>
            <w:tcW w:w="3085" w:type="dxa"/>
            <w:tcBorders>
              <w:top w:val="single" w:sz="12" w:space="0" w:color="71716F"/>
            </w:tcBorders>
          </w:tcPr>
          <w:p w14:paraId="6A696E31" w14:textId="77777777" w:rsidR="00255FA1" w:rsidRPr="003C1B77" w:rsidRDefault="00255FA1" w:rsidP="00BF32F2">
            <w:pPr>
              <w:spacing w:before="0"/>
            </w:pPr>
          </w:p>
        </w:tc>
      </w:tr>
      <w:bookmarkEnd w:id="0"/>
      <w:tr w:rsidR="00075113" w:rsidRPr="006B5C62" w14:paraId="235C9686" w14:textId="77777777" w:rsidTr="00DB336C">
        <w:trPr>
          <w:cantSplit/>
          <w:jc w:val="center"/>
        </w:trPr>
        <w:tc>
          <w:tcPr>
            <w:tcW w:w="6946" w:type="dxa"/>
          </w:tcPr>
          <w:p w14:paraId="68A9EEA0" w14:textId="77777777" w:rsidR="00075113" w:rsidRPr="006B5C62" w:rsidRDefault="00075113" w:rsidP="00075113">
            <w:pPr>
              <w:pStyle w:val="Committee"/>
              <w:framePr w:hSpace="0" w:wrap="auto" w:hAnchor="text" w:yAlign="inline"/>
              <w:spacing w:after="0" w:line="240" w:lineRule="auto"/>
              <w:rPr>
                <w:lang w:val="es-ES_tradnl"/>
              </w:rPr>
            </w:pPr>
          </w:p>
        </w:tc>
        <w:tc>
          <w:tcPr>
            <w:tcW w:w="3085" w:type="dxa"/>
          </w:tcPr>
          <w:p w14:paraId="5A344C36" w14:textId="0B22AE8F" w:rsidR="00075113" w:rsidRPr="006B5C62" w:rsidRDefault="00075113" w:rsidP="003C1B77">
            <w:pPr>
              <w:spacing w:before="0"/>
            </w:pPr>
          </w:p>
        </w:tc>
      </w:tr>
      <w:tr w:rsidR="00075113" w:rsidRPr="006B5C62" w14:paraId="78004F6B" w14:textId="77777777" w:rsidTr="00DB336C">
        <w:trPr>
          <w:cantSplit/>
          <w:jc w:val="center"/>
        </w:trPr>
        <w:tc>
          <w:tcPr>
            <w:tcW w:w="6946" w:type="dxa"/>
          </w:tcPr>
          <w:p w14:paraId="32076387" w14:textId="77777777" w:rsidR="00075113" w:rsidRPr="003C1B77" w:rsidRDefault="00075113" w:rsidP="00075113">
            <w:pPr>
              <w:spacing w:before="0"/>
              <w:rPr>
                <w:b/>
                <w:bCs/>
              </w:rPr>
            </w:pPr>
          </w:p>
        </w:tc>
        <w:tc>
          <w:tcPr>
            <w:tcW w:w="3085" w:type="dxa"/>
          </w:tcPr>
          <w:p w14:paraId="60820B81" w14:textId="4E0E06AB" w:rsidR="00075113" w:rsidRPr="003C1B77" w:rsidRDefault="003C1B77" w:rsidP="00075113">
            <w:pPr>
              <w:spacing w:before="0"/>
              <w:rPr>
                <w:b/>
                <w:bCs/>
              </w:rPr>
            </w:pPr>
            <w:r w:rsidRPr="003C1B77">
              <w:rPr>
                <w:b/>
                <w:bCs/>
              </w:rPr>
              <w:t>29 de abril de 2026</w:t>
            </w:r>
          </w:p>
        </w:tc>
      </w:tr>
      <w:tr w:rsidR="00075113" w:rsidRPr="006B5C62" w14:paraId="3963BB5D" w14:textId="77777777" w:rsidTr="00DB336C">
        <w:trPr>
          <w:cantSplit/>
          <w:jc w:val="center"/>
        </w:trPr>
        <w:tc>
          <w:tcPr>
            <w:tcW w:w="6946" w:type="dxa"/>
          </w:tcPr>
          <w:p w14:paraId="3EF3A9DE" w14:textId="77777777" w:rsidR="00075113" w:rsidRPr="003C1B77" w:rsidRDefault="00075113" w:rsidP="00075113">
            <w:pPr>
              <w:spacing w:before="0"/>
              <w:rPr>
                <w:b/>
                <w:bCs/>
              </w:rPr>
            </w:pPr>
          </w:p>
        </w:tc>
        <w:tc>
          <w:tcPr>
            <w:tcW w:w="3085" w:type="dxa"/>
          </w:tcPr>
          <w:p w14:paraId="24C87601" w14:textId="77777777" w:rsidR="00075113" w:rsidRPr="003C1B77" w:rsidRDefault="00075113" w:rsidP="003C1B77">
            <w:pPr>
              <w:spacing w:before="0"/>
              <w:rPr>
                <w:b/>
                <w:bCs/>
              </w:rPr>
            </w:pPr>
            <w:r w:rsidRPr="003C1B77">
              <w:rPr>
                <w:b/>
                <w:bCs/>
              </w:rPr>
              <w:t>Original: inglés</w:t>
            </w:r>
          </w:p>
        </w:tc>
      </w:tr>
      <w:tr w:rsidR="00075113" w:rsidRPr="006B5C62" w14:paraId="1F30108C" w14:textId="77777777" w:rsidTr="005A329F">
        <w:trPr>
          <w:cantSplit/>
          <w:jc w:val="center"/>
        </w:trPr>
        <w:tc>
          <w:tcPr>
            <w:tcW w:w="10031" w:type="dxa"/>
            <w:gridSpan w:val="2"/>
          </w:tcPr>
          <w:p w14:paraId="42179EB3" w14:textId="77777777" w:rsidR="00075113" w:rsidRPr="003C1B77" w:rsidRDefault="00075113" w:rsidP="003C1B77">
            <w:pPr>
              <w:spacing w:before="0"/>
              <w:rPr>
                <w:b/>
                <w:bCs/>
              </w:rPr>
            </w:pPr>
          </w:p>
        </w:tc>
      </w:tr>
    </w:tbl>
    <w:p w14:paraId="7B3887EB" w14:textId="77777777" w:rsidR="003C1B77" w:rsidRPr="0052117D" w:rsidRDefault="003C1B77" w:rsidP="003C1B77">
      <w:pPr>
        <w:pStyle w:val="OpNo"/>
        <w:rPr>
          <w:lang w:val="es-ES_tradnl"/>
        </w:rPr>
      </w:pPr>
      <w:bookmarkStart w:id="1" w:name="_Hlk133586559"/>
      <w:bookmarkStart w:id="2" w:name="_Hlk133421428"/>
      <w:r w:rsidRPr="0052117D">
        <w:rPr>
          <w:lang w:val="es-ES_tradnl"/>
        </w:rPr>
        <w:t>PROYECTO DE OPINIÓN 4</w:t>
      </w:r>
    </w:p>
    <w:p w14:paraId="42C3347D" w14:textId="77777777" w:rsidR="003C1B77" w:rsidRPr="0052117D" w:rsidRDefault="003C1B77" w:rsidP="003C1B77">
      <w:pPr>
        <w:pStyle w:val="Optitle0"/>
        <w:rPr>
          <w:lang w:val="es-ES_tradnl"/>
        </w:rPr>
      </w:pPr>
      <w:r w:rsidRPr="0052117D">
        <w:rPr>
          <w:lang w:val="es-ES_tradnl"/>
        </w:rPr>
        <w:t>La conectividad espacial</w:t>
      </w:r>
    </w:p>
    <w:bookmarkEnd w:id="1"/>
    <w:bookmarkEnd w:id="2"/>
    <w:p w14:paraId="532994CB" w14:textId="77777777" w:rsidR="000B1BD1" w:rsidRPr="000B1BD1" w:rsidRDefault="000B1BD1" w:rsidP="003C1B77">
      <w:pPr>
        <w:pStyle w:val="Normalaftertitle"/>
      </w:pPr>
      <w:r w:rsidRPr="000B1BD1">
        <w:t>El séptimo Foro Mundial de Política de Telecomunicaciones/TIC (Nassau, 2026),</w:t>
      </w:r>
    </w:p>
    <w:p w14:paraId="7D3E1A4A" w14:textId="77777777" w:rsidR="000B1BD1" w:rsidRPr="000B1BD1" w:rsidRDefault="000B1BD1" w:rsidP="003C1B77">
      <w:pPr>
        <w:pStyle w:val="Call"/>
      </w:pPr>
      <w:r w:rsidRPr="000B1BD1">
        <w:t>recordando</w:t>
      </w:r>
    </w:p>
    <w:p w14:paraId="52839453" w14:textId="7953D6A0" w:rsidR="000B1BD1" w:rsidRPr="000B1BD1" w:rsidRDefault="000B1BD1" w:rsidP="00EE358C">
      <w:pPr>
        <w:jc w:val="both"/>
      </w:pPr>
      <w:r w:rsidRPr="003C1B77">
        <w:rPr>
          <w:i/>
          <w:iCs/>
        </w:rPr>
        <w:t>a)</w:t>
      </w:r>
      <w:r w:rsidRPr="000B1BD1">
        <w:tab/>
        <w:t>la Resolución</w:t>
      </w:r>
      <w:r w:rsidR="003C1B77" w:rsidRPr="003C1B77">
        <w:t> </w:t>
      </w:r>
      <w:r w:rsidRPr="000B1BD1">
        <w:t xml:space="preserve">70/1 de la Asamblea General de las Naciones Unidas (AGNU), </w:t>
      </w:r>
      <w:r w:rsidRPr="003C1B77">
        <w:rPr>
          <w:i/>
          <w:iCs/>
        </w:rPr>
        <w:t>Transformar nuestro mundo: la Agenda</w:t>
      </w:r>
      <w:r w:rsidR="003C1B77" w:rsidRPr="003C1B77">
        <w:rPr>
          <w:i/>
          <w:iCs/>
        </w:rPr>
        <w:t> </w:t>
      </w:r>
      <w:r w:rsidRPr="003C1B77">
        <w:rPr>
          <w:i/>
          <w:iCs/>
        </w:rPr>
        <w:t>2030 para el Desarrollo Sostenible</w:t>
      </w:r>
      <w:r w:rsidRPr="000B1BD1">
        <w:t>;</w:t>
      </w:r>
    </w:p>
    <w:p w14:paraId="1CDE0F58" w14:textId="7F983717" w:rsidR="000B1BD1" w:rsidRPr="000B1BD1" w:rsidRDefault="000B1BD1" w:rsidP="00EE358C">
      <w:pPr>
        <w:jc w:val="both"/>
      </w:pPr>
      <w:r w:rsidRPr="000B1BD1">
        <w:rPr>
          <w:i/>
          <w:iCs/>
        </w:rPr>
        <w:t>b)</w:t>
      </w:r>
      <w:r w:rsidRPr="000B1BD1">
        <w:tab/>
        <w:t>la Resolución</w:t>
      </w:r>
      <w:r w:rsidR="003C1B77">
        <w:t> </w:t>
      </w:r>
      <w:r w:rsidRPr="000B1BD1">
        <w:t>76/3 de la</w:t>
      </w:r>
      <w:r w:rsidR="003C1B77">
        <w:t> </w:t>
      </w:r>
      <w:r w:rsidRPr="000B1BD1">
        <w:t>AGNU, sobre la Agenda "Espacio2030": el espacio como motor del desarrollo sostenible;</w:t>
      </w:r>
    </w:p>
    <w:p w14:paraId="0DFF589F" w14:textId="4F3858F0" w:rsidR="000B1BD1" w:rsidRPr="000B1BD1" w:rsidRDefault="000B1BD1" w:rsidP="00EE358C">
      <w:pPr>
        <w:jc w:val="both"/>
      </w:pPr>
      <w:r w:rsidRPr="000B1BD1">
        <w:rPr>
          <w:i/>
          <w:iCs/>
        </w:rPr>
        <w:t>c)</w:t>
      </w:r>
      <w:r w:rsidRPr="000B1BD1">
        <w:tab/>
        <w:t>la disposición pertinente del Artículo</w:t>
      </w:r>
      <w:r w:rsidR="00365F30">
        <w:t> </w:t>
      </w:r>
      <w:r w:rsidRPr="000B1BD1">
        <w:t>44 de la Constitución de la</w:t>
      </w:r>
      <w:r w:rsidR="003C1B77">
        <w:t> </w:t>
      </w:r>
      <w:r w:rsidRPr="000B1BD1">
        <w:t>UIT;</w:t>
      </w:r>
    </w:p>
    <w:p w14:paraId="17F78157" w14:textId="5BA6A9B3" w:rsidR="000B1BD1" w:rsidRPr="000B1BD1" w:rsidRDefault="000B1BD1" w:rsidP="00EE358C">
      <w:pPr>
        <w:jc w:val="both"/>
      </w:pPr>
      <w:r w:rsidRPr="000B1BD1">
        <w:rPr>
          <w:i/>
          <w:iCs/>
        </w:rPr>
        <w:t>d)</w:t>
      </w:r>
      <w:r w:rsidRPr="000B1BD1">
        <w:tab/>
        <w:t>las Resoluciones pertinentes de la Conferencia de Plenipotenciarios relativas al tema de las redes y los servicios de telecomunicaciones/tecnologías de la información y la comunicación (TIC) espaciales, entre otras, la Resolución</w:t>
      </w:r>
      <w:r w:rsidR="003C1B77">
        <w:t> </w:t>
      </w:r>
      <w:r w:rsidRPr="000B1BD1">
        <w:t>139 (</w:t>
      </w:r>
      <w:r w:rsidR="00AB04B2">
        <w:t xml:space="preserve">Rev. </w:t>
      </w:r>
      <w:r w:rsidRPr="000B1BD1">
        <w:t>Bucarest,</w:t>
      </w:r>
      <w:r w:rsidR="00365F30">
        <w:t> </w:t>
      </w:r>
      <w:r w:rsidRPr="000B1BD1">
        <w:t>2022), la Resolución</w:t>
      </w:r>
      <w:r w:rsidR="003C1B77">
        <w:t> </w:t>
      </w:r>
      <w:r w:rsidRPr="000B1BD1">
        <w:t>186 (Rev.</w:t>
      </w:r>
      <w:r w:rsidR="003C1B77">
        <w:t> </w:t>
      </w:r>
      <w:r w:rsidRPr="000B1BD1">
        <w:t>Bucarest,</w:t>
      </w:r>
      <w:r w:rsidR="003C1B77">
        <w:t> </w:t>
      </w:r>
      <w:r w:rsidRPr="000B1BD1">
        <w:t>2022), la Resolución</w:t>
      </w:r>
      <w:r w:rsidR="003C1B77">
        <w:t> </w:t>
      </w:r>
      <w:r w:rsidRPr="000B1BD1">
        <w:t>218 (Bucarest,</w:t>
      </w:r>
      <w:r w:rsidR="00365F30">
        <w:t> </w:t>
      </w:r>
      <w:r w:rsidRPr="000B1BD1">
        <w:t>2022) y la Resolución</w:t>
      </w:r>
      <w:r w:rsidR="003C1B77">
        <w:t> </w:t>
      </w:r>
      <w:r w:rsidRPr="000B1BD1">
        <w:t>219 (Bucarest,</w:t>
      </w:r>
      <w:r w:rsidR="00365F30">
        <w:t> </w:t>
      </w:r>
      <w:r w:rsidRPr="000B1BD1">
        <w:t>2022);</w:t>
      </w:r>
    </w:p>
    <w:p w14:paraId="0D299537" w14:textId="1D5C4CB1" w:rsidR="000B1BD1" w:rsidRPr="000B1BD1" w:rsidRDefault="000B1BD1" w:rsidP="00EE358C">
      <w:pPr>
        <w:jc w:val="both"/>
      </w:pPr>
      <w:r w:rsidRPr="000B1BD1">
        <w:rPr>
          <w:i/>
          <w:iCs/>
        </w:rPr>
        <w:t>e)</w:t>
      </w:r>
      <w:r w:rsidRPr="000B1BD1">
        <w:tab/>
        <w:t>las Resoluciones pertinentes de las principales conferencias y asambleas de los tres Sectores de la</w:t>
      </w:r>
      <w:r w:rsidR="003C1B77">
        <w:t> </w:t>
      </w:r>
      <w:r w:rsidRPr="000B1BD1">
        <w:t>UIT relativas al tema de las redes y los servicios de telecomunicaciones/TIC espaciales, entre otras, la Resolución</w:t>
      </w:r>
      <w:r w:rsidR="003C1B77">
        <w:t> </w:t>
      </w:r>
      <w:r w:rsidRPr="000B1BD1">
        <w:t>22 (Rev.</w:t>
      </w:r>
      <w:r w:rsidR="00365F30">
        <w:t> </w:t>
      </w:r>
      <w:r w:rsidRPr="000B1BD1">
        <w:t>Dubái,</w:t>
      </w:r>
      <w:r w:rsidR="00365F30">
        <w:t> </w:t>
      </w:r>
      <w:r w:rsidRPr="000B1BD1">
        <w:t>2023) de la Conferencia Mundial de Radiocomunicaciones; las Resoluciones 11 (Rev.</w:t>
      </w:r>
      <w:r w:rsidR="00365F30">
        <w:t> </w:t>
      </w:r>
      <w:r w:rsidRPr="000B1BD1">
        <w:t>Bakú,</w:t>
      </w:r>
      <w:r w:rsidR="00365F30">
        <w:t> </w:t>
      </w:r>
      <w:r w:rsidRPr="000B1BD1">
        <w:t>2025), 37 (Rev.</w:t>
      </w:r>
      <w:r w:rsidR="00365F30">
        <w:t> </w:t>
      </w:r>
      <w:r w:rsidRPr="000B1BD1">
        <w:t>Bakú,</w:t>
      </w:r>
      <w:r w:rsidR="00365F30">
        <w:t> </w:t>
      </w:r>
      <w:r w:rsidRPr="000B1BD1">
        <w:t>2025) y 77 (Rev.</w:t>
      </w:r>
      <w:r w:rsidR="00365F30">
        <w:t> </w:t>
      </w:r>
      <w:r w:rsidRPr="000B1BD1">
        <w:t>Bakú,</w:t>
      </w:r>
      <w:r w:rsidR="00365F30">
        <w:t> </w:t>
      </w:r>
      <w:r w:rsidRPr="000B1BD1">
        <w:t>2025) de la Conferencia Mundial de Desarrollo de las Telecomunicaciones, y la Resolución</w:t>
      </w:r>
      <w:r w:rsidR="003C1B77">
        <w:t> </w:t>
      </w:r>
      <w:r w:rsidRPr="000B1BD1">
        <w:t>74 (Dubái,</w:t>
      </w:r>
      <w:r w:rsidR="00365F30">
        <w:t> </w:t>
      </w:r>
      <w:r w:rsidRPr="000B1BD1">
        <w:t>2023) de la Asamblea de Radiocomunicaciones;</w:t>
      </w:r>
    </w:p>
    <w:p w14:paraId="0F4E11B6" w14:textId="7013FE74" w:rsidR="000B1BD1" w:rsidRPr="000B1BD1" w:rsidRDefault="000B1BD1" w:rsidP="00EE358C">
      <w:pPr>
        <w:jc w:val="both"/>
      </w:pPr>
      <w:r w:rsidRPr="000B1BD1">
        <w:rPr>
          <w:i/>
          <w:iCs/>
        </w:rPr>
        <w:t>f)</w:t>
      </w:r>
      <w:r w:rsidRPr="000B1BD1">
        <w:tab/>
        <w:t>las disposiciones pertinentes del Artículo</w:t>
      </w:r>
      <w:r w:rsidR="003C1B77">
        <w:t> </w:t>
      </w:r>
      <w:r w:rsidRPr="000B1BD1">
        <w:t>18 del Reglamento de Radiocomunicaciones (Rev. Dubái, 2023);</w:t>
      </w:r>
    </w:p>
    <w:p w14:paraId="410A2578" w14:textId="77777777" w:rsidR="000B1BD1" w:rsidRPr="000B1BD1" w:rsidRDefault="000B1BD1" w:rsidP="00EE358C">
      <w:pPr>
        <w:jc w:val="both"/>
      </w:pPr>
      <w:r w:rsidRPr="000B1BD1">
        <w:rPr>
          <w:i/>
          <w:iCs/>
        </w:rPr>
        <w:t>g)</w:t>
      </w:r>
      <w:r w:rsidRPr="000B1BD1">
        <w:tab/>
        <w:t>las directrices pertinentes sobre prácticas idóneas elaboradas en el marco del Simposio Mundial para Organismos Reguladores (GSR),</w:t>
      </w:r>
    </w:p>
    <w:p w14:paraId="3D4C48D5" w14:textId="77777777" w:rsidR="000B1BD1" w:rsidRPr="000B1BD1" w:rsidRDefault="000B1BD1" w:rsidP="003C1B77">
      <w:pPr>
        <w:pStyle w:val="Call"/>
      </w:pPr>
      <w:r w:rsidRPr="000B1BD1">
        <w:t>considerando</w:t>
      </w:r>
    </w:p>
    <w:p w14:paraId="3292DDDC" w14:textId="77777777" w:rsidR="000B1BD1" w:rsidRPr="000B1BD1" w:rsidRDefault="000B1BD1" w:rsidP="00EE358C">
      <w:pPr>
        <w:jc w:val="both"/>
      </w:pPr>
      <w:r w:rsidRPr="000B1BD1">
        <w:rPr>
          <w:i/>
          <w:iCs/>
        </w:rPr>
        <w:t>a)</w:t>
      </w:r>
      <w:r w:rsidRPr="000B1BD1">
        <w:tab/>
        <w:t>que la determinación y promoción de herramientas y medidas destinadas a acelerar las redes y los servicios de telecomunicaciones/TIC espaciales pueden respaldar la prosperidad económica mundial, mejorar la inclusión digital y abordar las disparidades en el acceso a las tecnologías espaciales;</w:t>
      </w:r>
    </w:p>
    <w:p w14:paraId="47560987" w14:textId="77777777" w:rsidR="000B1BD1" w:rsidRPr="000B1BD1" w:rsidRDefault="000B1BD1" w:rsidP="00EE358C">
      <w:pPr>
        <w:jc w:val="both"/>
      </w:pPr>
      <w:r w:rsidRPr="000B1BD1">
        <w:rPr>
          <w:i/>
          <w:iCs/>
        </w:rPr>
        <w:lastRenderedPageBreak/>
        <w:t>b)</w:t>
      </w:r>
      <w:r w:rsidRPr="000B1BD1">
        <w:tab/>
        <w:t>que el fortalecimiento de las herramientas y plataformas destinadas a una cooperación internacional eficaz en relación con el Reglamento de Radiocomunicaciones resulta esencial para posibilitar una participación inclusiva en las telecomunicaciones/TIC espaciales;</w:t>
      </w:r>
    </w:p>
    <w:p w14:paraId="4AB85A42" w14:textId="77777777" w:rsidR="000B1BD1" w:rsidRPr="000B1BD1" w:rsidRDefault="000B1BD1" w:rsidP="00EE358C">
      <w:pPr>
        <w:jc w:val="both"/>
      </w:pPr>
      <w:r w:rsidRPr="000B1BD1">
        <w:rPr>
          <w:i/>
          <w:iCs/>
        </w:rPr>
        <w:t>c)</w:t>
      </w:r>
      <w:r w:rsidRPr="000B1BD1">
        <w:tab/>
        <w:t>que los enfoques innovadores para abordar los efectos de los residuos relacionados con las telecomunicaciones/TIC espaciales pueden contribuir a respaldar la continuidad a largo plazo de los servicios de telecomunicaciones/TIC espaciales;</w:t>
      </w:r>
    </w:p>
    <w:p w14:paraId="1D6B6421" w14:textId="77777777" w:rsidR="000B1BD1" w:rsidRPr="000B1BD1" w:rsidRDefault="000B1BD1" w:rsidP="00EE358C">
      <w:pPr>
        <w:jc w:val="both"/>
      </w:pPr>
      <w:r w:rsidRPr="000B1BD1">
        <w:rPr>
          <w:i/>
          <w:iCs/>
        </w:rPr>
        <w:t>d)</w:t>
      </w:r>
      <w:r w:rsidRPr="000B1BD1">
        <w:tab/>
        <w:t>que los gobiernos se enfrentan tanto a oportunidades como a retos a la hora de aprovechar las redes y los servicios de telecomunicaciones/TIC espaciales, y que su función resulta crucial en la configuración de políticas que fomenten la innovación garantizando al mismo tiempo la utilización responsable del espectro de frecuencias radioeléctricas y de las órbitas de satélite asociadas;</w:t>
      </w:r>
    </w:p>
    <w:p w14:paraId="3BED0AC6" w14:textId="4A9FA849" w:rsidR="000B1BD1" w:rsidRPr="000B1BD1" w:rsidRDefault="000B1BD1" w:rsidP="00EE358C">
      <w:pPr>
        <w:jc w:val="both"/>
      </w:pPr>
      <w:r w:rsidRPr="000B1BD1">
        <w:rPr>
          <w:i/>
          <w:iCs/>
        </w:rPr>
        <w:t>e)</w:t>
      </w:r>
      <w:r w:rsidRPr="000B1BD1">
        <w:tab/>
        <w:t>que la Constitución de la</w:t>
      </w:r>
      <w:r w:rsidR="003C1B77">
        <w:t> </w:t>
      </w:r>
      <w:r w:rsidRPr="000B1BD1">
        <w:t>UIT reconoce el derecho soberano de cada Estado Miembro a reglamentar sus telecomunicaciones, tanto terrenales como espaciales;</w:t>
      </w:r>
    </w:p>
    <w:p w14:paraId="0FC31E08" w14:textId="573C7B31" w:rsidR="000B1BD1" w:rsidRPr="000B1BD1" w:rsidRDefault="000B1BD1" w:rsidP="00EE358C">
      <w:pPr>
        <w:jc w:val="both"/>
      </w:pPr>
      <w:r w:rsidRPr="000B1BD1">
        <w:rPr>
          <w:i/>
          <w:iCs/>
        </w:rPr>
        <w:t>f)</w:t>
      </w:r>
      <w:r w:rsidRPr="000B1BD1">
        <w:tab/>
        <w:t>que las iniciativas de la</w:t>
      </w:r>
      <w:r w:rsidR="003C1B77">
        <w:t> </w:t>
      </w:r>
      <w:r w:rsidRPr="000B1BD1">
        <w:t>UIT, tales como el Foro sobre la Sostenibilidad del Espacio, están concebidas como oportunidades para presentar y debatir las buenas prácticas, directrices y estrategias necesarias para garantizar que el espacio siga siendo accesible y sostenible tanto para las actividades espaciales actuales como para las futuras,</w:t>
      </w:r>
    </w:p>
    <w:p w14:paraId="4B63D30D" w14:textId="77777777" w:rsidR="000B1BD1" w:rsidRPr="000B1BD1" w:rsidRDefault="000B1BD1" w:rsidP="003C1B77">
      <w:pPr>
        <w:pStyle w:val="Call"/>
      </w:pPr>
      <w:r w:rsidRPr="000B1BD1">
        <w:t>reconociendo</w:t>
      </w:r>
    </w:p>
    <w:p w14:paraId="4FA471C3" w14:textId="77777777" w:rsidR="000B1BD1" w:rsidRPr="000B1BD1" w:rsidRDefault="000B1BD1" w:rsidP="00EE358C">
      <w:pPr>
        <w:jc w:val="both"/>
      </w:pPr>
      <w:r w:rsidRPr="000B1BD1">
        <w:rPr>
          <w:i/>
          <w:iCs/>
        </w:rPr>
        <w:t>a)</w:t>
      </w:r>
      <w:r w:rsidRPr="000B1BD1">
        <w:tab/>
        <w:t>que el sector privado desempeña una función destacada en el despliegue de las redes y los servicios de telecomunicaciones/TIC espaciales, y que sigue desarrollando innovaciones tecnológicas y modelos de negocio creativos junto con otras partes interesadas, entre ellas los gobiernos, las instituciones académicas y la sociedad civil;</w:t>
      </w:r>
    </w:p>
    <w:p w14:paraId="72AD3016" w14:textId="5698D5DB" w:rsidR="000B1BD1" w:rsidRPr="000B1BD1" w:rsidRDefault="000B1BD1" w:rsidP="00EE358C">
      <w:pPr>
        <w:jc w:val="both"/>
      </w:pPr>
      <w:r w:rsidRPr="000B1BD1">
        <w:rPr>
          <w:i/>
          <w:iCs/>
        </w:rPr>
        <w:t>b)</w:t>
      </w:r>
      <w:r w:rsidRPr="000B1BD1">
        <w:tab/>
        <w:t>que las redes y los servicios de telecomunicaciones/TIC espaciales, incluidos los satélites situados en la órbita de los satélites geoestacionarios (OSG) y en órbitas no geoestacionarias (no</w:t>
      </w:r>
      <w:r w:rsidR="00365F30">
        <w:t> </w:t>
      </w:r>
      <w:r w:rsidRPr="000B1BD1">
        <w:t>OSG), pueden contribuir a reducir las brechas digitales al proporcionar conectividad en amplias zonas geográficas con un posible ahorro en los costos de despliegue, gracias a una menor necesidad de infraestructuras terrenas, ofreciendo así una solución resiliente de conectividad para las poblaciones de zonas de baja densidad demográfica, incluidas las regiones insuficientemente atendidas, especialmente en los países menos adelantados (PMA), los países en desarrollo sin litoral (PDSL) y los pequeños Estados insulares en desarrollo (PEID);</w:t>
      </w:r>
    </w:p>
    <w:p w14:paraId="791AAB8F" w14:textId="6DF22939" w:rsidR="000B1BD1" w:rsidRPr="000B1BD1" w:rsidRDefault="000B1BD1" w:rsidP="00EE358C">
      <w:pPr>
        <w:jc w:val="both"/>
      </w:pPr>
      <w:r w:rsidRPr="000B1BD1">
        <w:rPr>
          <w:i/>
          <w:iCs/>
        </w:rPr>
        <w:t>c)</w:t>
      </w:r>
      <w:r w:rsidRPr="000B1BD1">
        <w:tab/>
        <w:t>que las redes y los servicios de telecomunicaciones/TIC espaciales utilizados tanto por los sistemas no</w:t>
      </w:r>
      <w:r w:rsidR="003C1B77">
        <w:t> </w:t>
      </w:r>
      <w:r w:rsidRPr="000B1BD1">
        <w:t>OSG como por los sistemas OSG evolucionan con rapidez, y que la complementariedad de ambos sistemas constituye una de las principales oportunidades para ampliar la conectividad;</w:t>
      </w:r>
      <w:bookmarkStart w:id="3" w:name="_Hlk175572783"/>
    </w:p>
    <w:p w14:paraId="0F3478A0" w14:textId="77777777" w:rsidR="000B1BD1" w:rsidRPr="000B1BD1" w:rsidRDefault="000B1BD1" w:rsidP="00EE358C">
      <w:pPr>
        <w:jc w:val="both"/>
      </w:pPr>
      <w:r w:rsidRPr="000B1BD1">
        <w:rPr>
          <w:i/>
          <w:iCs/>
        </w:rPr>
        <w:t>d)</w:t>
      </w:r>
      <w:r w:rsidRPr="000B1BD1">
        <w:tab/>
        <w:t xml:space="preserve">que las buenas prácticas de la industria, combinadas con marcos normativos propicios y con visión de futuro, contribuyen a maximizar el potencial de las </w:t>
      </w:r>
      <w:bookmarkEnd w:id="3"/>
      <w:r w:rsidRPr="000B1BD1">
        <w:t>redes y los servicios de telecomunicaciones/TIC espaciales;</w:t>
      </w:r>
    </w:p>
    <w:p w14:paraId="6B044659" w14:textId="77777777" w:rsidR="000B1BD1" w:rsidRPr="000B1BD1" w:rsidRDefault="000B1BD1" w:rsidP="00EE358C">
      <w:pPr>
        <w:jc w:val="both"/>
      </w:pPr>
      <w:r w:rsidRPr="000B1BD1">
        <w:rPr>
          <w:i/>
          <w:iCs/>
        </w:rPr>
        <w:t>e)</w:t>
      </w:r>
      <w:r w:rsidRPr="000B1BD1">
        <w:tab/>
        <w:t>que los esfuerzos de creación de capacidad, incluidos el intercambio de prácticas idóneas y actos tales como el Simposio Mundial para Organismos Reguladores, así como la reciente elaboración de las Directrices sobre Prácticas Idóneas del GSR-24 y del GSR-25, pueden ayudar a los países a seguir el ritmo del rápido despliegue de las redes y los servicios de telecomunicaciones/TIC espaciales, y contribuir a orientar la evolución de los enfoques reglamentarios nacionales de las administraciones a medida que los países abordan cuestiones tales como la concesión de licencias y la seguridad;</w:t>
      </w:r>
    </w:p>
    <w:p w14:paraId="1E0BB554" w14:textId="77777777" w:rsidR="000B1BD1" w:rsidRPr="000B1BD1" w:rsidRDefault="000B1BD1" w:rsidP="00EE358C">
      <w:pPr>
        <w:jc w:val="both"/>
      </w:pPr>
      <w:r w:rsidRPr="000B1BD1">
        <w:rPr>
          <w:i/>
          <w:iCs/>
        </w:rPr>
        <w:lastRenderedPageBreak/>
        <w:t>f)</w:t>
      </w:r>
      <w:r w:rsidRPr="000B1BD1">
        <w:tab/>
        <w:t>que el acceso equitativo a las redes y los servicios de telecomunicaciones/TIC espaciales exige una reflexión sobre los retos aún pendientes, tales como la utilización de los recursos relacionados con las telecomunicaciones/TIC espaciales;</w:t>
      </w:r>
    </w:p>
    <w:p w14:paraId="423807B2" w14:textId="7AF6ADEB" w:rsidR="000B1BD1" w:rsidRPr="000B1BD1" w:rsidRDefault="000B1BD1" w:rsidP="00EE358C">
      <w:pPr>
        <w:jc w:val="both"/>
      </w:pPr>
      <w:r w:rsidRPr="000B1BD1">
        <w:rPr>
          <w:i/>
          <w:iCs/>
        </w:rPr>
        <w:t>g)</w:t>
      </w:r>
      <w:r w:rsidRPr="000B1BD1">
        <w:tab/>
        <w:t>que la</w:t>
      </w:r>
      <w:r w:rsidR="003C1B77">
        <w:t> </w:t>
      </w:r>
      <w:r w:rsidRPr="000B1BD1">
        <w:t>UIT posee un mandato específico en materia de telecomunicaciones/TIC, incluidas las redes y los servicios de telecomunicaciones/TIC espaciales, que complementa las competencias existentes en el conjunto del sistema de las Naciones Unidas, y que es preciso coordinar los esfuerzos con objeto de evitar duplicaciones entre organismos;</w:t>
      </w:r>
    </w:p>
    <w:p w14:paraId="7A8C09A2" w14:textId="77777777" w:rsidR="000B1BD1" w:rsidRPr="000B1BD1" w:rsidRDefault="000B1BD1" w:rsidP="00EE358C">
      <w:pPr>
        <w:jc w:val="both"/>
      </w:pPr>
      <w:r w:rsidRPr="000B1BD1">
        <w:rPr>
          <w:i/>
          <w:iCs/>
        </w:rPr>
        <w:t>h)</w:t>
      </w:r>
      <w:r w:rsidRPr="000B1BD1">
        <w:tab/>
        <w:t>que la conectividad espacial puede reforzar la resiliencia nacional y la respuesta ante catástrofes cuando se integra en los planes nacionales de telecomunicaciones de emergencia,</w:t>
      </w:r>
    </w:p>
    <w:p w14:paraId="695A811D" w14:textId="77777777" w:rsidR="000B1BD1" w:rsidRPr="000B1BD1" w:rsidRDefault="000B1BD1" w:rsidP="003C1B77">
      <w:pPr>
        <w:pStyle w:val="Call"/>
      </w:pPr>
      <w:r w:rsidRPr="000B1BD1">
        <w:t>opina</w:t>
      </w:r>
    </w:p>
    <w:p w14:paraId="501819B7" w14:textId="078A1041" w:rsidR="000B1BD1" w:rsidRPr="000B1BD1" w:rsidRDefault="000B1BD1" w:rsidP="00EE358C">
      <w:pPr>
        <w:jc w:val="both"/>
      </w:pPr>
      <w:r w:rsidRPr="000B1BD1">
        <w:t>1</w:t>
      </w:r>
      <w:r w:rsidRPr="000B1BD1">
        <w:tab/>
        <w:t>que la promoción y utilización de las redes y los servicios de telecomunicaciones/TIC espaciales, de manera independiente o conjuntamente, cuando proceda, con las redes y los servicios terrenales, pueden contribuir al desarrollo sostenible, social y económico, en particular en las zonas insuficientemente atendidas, incluidas las de los</w:t>
      </w:r>
      <w:r w:rsidR="003C1B77">
        <w:t> </w:t>
      </w:r>
      <w:r w:rsidRPr="000B1BD1">
        <w:t>PMA, los</w:t>
      </w:r>
      <w:r w:rsidR="003C1B77">
        <w:t> </w:t>
      </w:r>
      <w:r w:rsidRPr="000B1BD1">
        <w:t>PDSL y los</w:t>
      </w:r>
      <w:r w:rsidR="003C1B77">
        <w:t> </w:t>
      </w:r>
      <w:r w:rsidRPr="000B1BD1">
        <w:t>PEID, con miras a garantizar beneficios a largo plazo y a hacer frente a los retos incipientes;</w:t>
      </w:r>
    </w:p>
    <w:p w14:paraId="479F55B3" w14:textId="77777777" w:rsidR="000B1BD1" w:rsidRPr="000B1BD1" w:rsidRDefault="000B1BD1" w:rsidP="00EE358C">
      <w:pPr>
        <w:jc w:val="both"/>
      </w:pPr>
      <w:r w:rsidRPr="000B1BD1">
        <w:t>2</w:t>
      </w:r>
      <w:r w:rsidRPr="000B1BD1">
        <w:tab/>
        <w:t>que un entorno propicio, fundado en políticas y marcos reglamentarios transparentes, estables y actualizados, respalda la inversión en las redes y los servicios de telecomunicaciones/TIC espaciales y el acceso a ellos;</w:t>
      </w:r>
    </w:p>
    <w:p w14:paraId="46A79429" w14:textId="77777777" w:rsidR="000B1BD1" w:rsidRPr="000B1BD1" w:rsidRDefault="000B1BD1" w:rsidP="00EE358C">
      <w:pPr>
        <w:jc w:val="both"/>
      </w:pPr>
      <w:r w:rsidRPr="000B1BD1">
        <w:t>3</w:t>
      </w:r>
      <w:r w:rsidRPr="000B1BD1">
        <w:tab/>
        <w:t>que la adopción de enfoques tecnológicamente neutros en relación con los objetivos de conectividad beneficia la libertad de elección del consumidor y ofrece flexibilidad para escoger la solución más adecuada;</w:t>
      </w:r>
    </w:p>
    <w:p w14:paraId="25EBC475" w14:textId="77777777" w:rsidR="000B1BD1" w:rsidRPr="000B1BD1" w:rsidRDefault="000B1BD1" w:rsidP="00EE358C">
      <w:pPr>
        <w:jc w:val="both"/>
      </w:pPr>
      <w:r w:rsidRPr="000B1BD1">
        <w:t>4</w:t>
      </w:r>
      <w:r w:rsidRPr="000B1BD1">
        <w:tab/>
        <w:t>que a las administraciones podría resultarles conveniente considerar la actualización de las políticas y medidas reglamentarias, si lo estiman oportuno, con objeto de adaptarse a la innovación en el despliegue y el desarrollo de las redes y los servicios de telecomunicaciones/TIC por satélite espaciales, fomentando la participación de la industria y unas condiciones que permitan el desarrollo de los servicios espaciales y terrenales;</w:t>
      </w:r>
    </w:p>
    <w:p w14:paraId="60DC94FE" w14:textId="77F92A8C" w:rsidR="000B1BD1" w:rsidRPr="000B1BD1" w:rsidRDefault="000B1BD1" w:rsidP="00EE358C">
      <w:pPr>
        <w:jc w:val="both"/>
      </w:pPr>
      <w:r w:rsidRPr="000B1BD1">
        <w:t>5</w:t>
      </w:r>
      <w:r w:rsidRPr="000B1BD1">
        <w:tab/>
        <w:t>que las asociaciones mundiales y la cooperación internacional con otros organismos de las Naciones Unidas, organizaciones internacionales y partes interesadas resultan esenciales para promover la participación de los Estados Miembros en las actividades de comunicación espacial, en particular en el caso de los países en desarrollo, contribuyendo así a la consecución de los</w:t>
      </w:r>
      <w:r w:rsidR="003C1B77">
        <w:t> </w:t>
      </w:r>
      <w:r w:rsidRPr="000B1BD1">
        <w:t>ODS, sin perjuicio de las prioridades y los enfoques nacionales;</w:t>
      </w:r>
    </w:p>
    <w:p w14:paraId="094CC1F9" w14:textId="77777777" w:rsidR="000B1BD1" w:rsidRPr="000B1BD1" w:rsidRDefault="000B1BD1" w:rsidP="00EE358C">
      <w:pPr>
        <w:jc w:val="both"/>
      </w:pPr>
      <w:r w:rsidRPr="000B1BD1">
        <w:t>6</w:t>
      </w:r>
      <w:r w:rsidRPr="000B1BD1">
        <w:tab/>
        <w:t>que la exploración de vías de cooperación internacional y de iniciativas de intercambio de conocimientos puede facilitar el acceso equitativo a las oportunidades que brindan las aplicaciones y los servicios de telecomunicaciones/TIC espaciales;</w:t>
      </w:r>
    </w:p>
    <w:p w14:paraId="60BA1DEF" w14:textId="77777777" w:rsidR="000B1BD1" w:rsidRPr="000B1BD1" w:rsidRDefault="000B1BD1" w:rsidP="00EE358C">
      <w:pPr>
        <w:jc w:val="both"/>
      </w:pPr>
      <w:r w:rsidRPr="000B1BD1">
        <w:t>7</w:t>
      </w:r>
      <w:r w:rsidRPr="000B1BD1">
        <w:tab/>
        <w:t>que el apoyo a la investigación y la innovación puede contribuir a la sostenibilidad a largo plazo de las actividades de telecomunicaciones/TIC espaciales, fomentando la colaboración entre las entidades interesadas, en el marco de sus mandatos, así como la cooperación entre múltiples partes interesadas, incluida la industria;</w:t>
      </w:r>
    </w:p>
    <w:p w14:paraId="5F1B47AB" w14:textId="77777777" w:rsidR="000B1BD1" w:rsidRPr="000B1BD1" w:rsidRDefault="000B1BD1" w:rsidP="00EE358C">
      <w:pPr>
        <w:jc w:val="both"/>
      </w:pPr>
      <w:r w:rsidRPr="000B1BD1">
        <w:t>8</w:t>
      </w:r>
      <w:r w:rsidRPr="000B1BD1">
        <w:tab/>
        <w:t>que la inversión de los sectores público y privado en las telecomunicaciones/TIC espaciales desempeña una función importante en la ampliación de la conectividad, y que la eliminación de los obstáculos a la inversión puede fomentar la innovación y acelerar el acceso a la conectividad,</w:t>
      </w:r>
    </w:p>
    <w:p w14:paraId="34994FE7" w14:textId="77777777" w:rsidR="000B1BD1" w:rsidRPr="000B1BD1" w:rsidRDefault="000B1BD1" w:rsidP="003C1B77">
      <w:pPr>
        <w:pStyle w:val="Call"/>
      </w:pPr>
      <w:r w:rsidRPr="000B1BD1">
        <w:lastRenderedPageBreak/>
        <w:t>invita a los Estados Miembros</w:t>
      </w:r>
    </w:p>
    <w:p w14:paraId="789B1028" w14:textId="77777777" w:rsidR="000B1BD1" w:rsidRPr="000B1BD1" w:rsidRDefault="000B1BD1" w:rsidP="00EE358C">
      <w:pPr>
        <w:jc w:val="both"/>
      </w:pPr>
      <w:r w:rsidRPr="000B1BD1">
        <w:t>1</w:t>
      </w:r>
      <w:r w:rsidRPr="000B1BD1">
        <w:tab/>
        <w:t xml:space="preserve">a considerar la posibilidad de adoptar medidas normativas y reglamentarias que faciliten el acceso a las redes y los servicios de telecomunicaciones/TIC espaciales, según lo indicado en el </w:t>
      </w:r>
      <w:r w:rsidRPr="000B1BD1">
        <w:rPr>
          <w:i/>
          <w:iCs/>
        </w:rPr>
        <w:t>opina</w:t>
      </w:r>
      <w:r w:rsidRPr="000B1BD1">
        <w:t> 4;</w:t>
      </w:r>
    </w:p>
    <w:p w14:paraId="6FC7B40E" w14:textId="77777777" w:rsidR="000B1BD1" w:rsidRPr="000B1BD1" w:rsidRDefault="000B1BD1" w:rsidP="00EE358C">
      <w:pPr>
        <w:jc w:val="both"/>
      </w:pPr>
      <w:r w:rsidRPr="000B1BD1">
        <w:t>2</w:t>
      </w:r>
      <w:r w:rsidRPr="000B1BD1">
        <w:tab/>
        <w:t>a considerar enfoques tecnológicamente inclusivos en relación con los objetivos de conectividad, basados en buenas prácticas que ofrezcan a los consumidores y a los proveedores flexibilidad para escoger la tecnología que mejor se adapte a las necesidades locales,</w:t>
      </w:r>
    </w:p>
    <w:p w14:paraId="5B538215" w14:textId="40510E0C" w:rsidR="000B1BD1" w:rsidRPr="000B1BD1" w:rsidRDefault="000B1BD1" w:rsidP="003C1B77">
      <w:pPr>
        <w:pStyle w:val="Call"/>
      </w:pPr>
      <w:r w:rsidRPr="000B1BD1">
        <w:t>invita a los Estados Miembros, Miembros de Sector y otras partes interesadas a trabajar en colaboración</w:t>
      </w:r>
    </w:p>
    <w:p w14:paraId="2DB2495B" w14:textId="77777777" w:rsidR="000B1BD1" w:rsidRPr="000B1BD1" w:rsidRDefault="000B1BD1" w:rsidP="00EE358C">
      <w:pPr>
        <w:jc w:val="both"/>
      </w:pPr>
      <w:r w:rsidRPr="000B1BD1">
        <w:t>1</w:t>
      </w:r>
      <w:r w:rsidRPr="000B1BD1">
        <w:tab/>
        <w:t>para considerar la posibilidad de participar activamente en los foros internacionales pertinentes centrados en las telecomunicaciones/TIC espaciales que tengan por objeto reducir las brechas digitales;</w:t>
      </w:r>
    </w:p>
    <w:p w14:paraId="2BB4E6DA" w14:textId="77777777" w:rsidR="000B1BD1" w:rsidRPr="000B1BD1" w:rsidRDefault="000B1BD1" w:rsidP="00EE358C">
      <w:pPr>
        <w:jc w:val="both"/>
      </w:pPr>
      <w:r w:rsidRPr="000B1BD1">
        <w:t>2</w:t>
      </w:r>
      <w:r w:rsidRPr="000B1BD1">
        <w:tab/>
        <w:t>para reforzar las asociaciones mundiales e intensificar la cooperación con miras a promover y aprovechar las redes y los servicios de telecomunicaciones/TIC espaciales en favor del desarrollo sostenible;</w:t>
      </w:r>
    </w:p>
    <w:p w14:paraId="5608F4EA" w14:textId="77777777" w:rsidR="000B1BD1" w:rsidRPr="000B1BD1" w:rsidRDefault="000B1BD1" w:rsidP="00EE358C">
      <w:pPr>
        <w:jc w:val="both"/>
      </w:pPr>
      <w:bookmarkStart w:id="4" w:name="_Hlk219985672"/>
      <w:r w:rsidRPr="000B1BD1">
        <w:t>3</w:t>
      </w:r>
      <w:r w:rsidRPr="000B1BD1">
        <w:tab/>
        <w:t>para promover la colaboración y el intercambio de buenas prácticas relativas a los marcos normativos y reglamentarios aplicables a las redes y los servicios de telecomunicaciones/TIC espaciales;</w:t>
      </w:r>
    </w:p>
    <w:bookmarkEnd w:id="4"/>
    <w:p w14:paraId="30A885EE" w14:textId="77777777" w:rsidR="000B1BD1" w:rsidRPr="000B1BD1" w:rsidRDefault="000B1BD1" w:rsidP="00EE358C">
      <w:pPr>
        <w:jc w:val="both"/>
      </w:pPr>
      <w:r w:rsidRPr="000B1BD1">
        <w:t>4</w:t>
      </w:r>
      <w:r w:rsidRPr="000B1BD1">
        <w:tab/>
        <w:t>para facilitar la colaboración entre los operadores de redes terrenales y los operadores de telecomunicaciones/TIC espaciales no terrenales, con objeto de aprovechar los servicios y tecnologías de telecomunicaciones/TIC nuevos e incipientes;</w:t>
      </w:r>
    </w:p>
    <w:p w14:paraId="4C26DBE5" w14:textId="77777777" w:rsidR="000B1BD1" w:rsidRPr="000B1BD1" w:rsidRDefault="000B1BD1" w:rsidP="00EE358C">
      <w:pPr>
        <w:jc w:val="both"/>
      </w:pPr>
      <w:r w:rsidRPr="000B1BD1">
        <w:t>5</w:t>
      </w:r>
      <w:r w:rsidRPr="000B1BD1">
        <w:tab/>
        <w:t>para reforzar los marcos normativos y reglamentarios aplicables al desarrollo y el despliegue de las redes y los servicios de telecomunicaciones/TIC espaciales,</w:t>
      </w:r>
    </w:p>
    <w:p w14:paraId="09CEB144" w14:textId="77777777" w:rsidR="000B1BD1" w:rsidRPr="000B1BD1" w:rsidRDefault="000B1BD1" w:rsidP="003C1B77">
      <w:pPr>
        <w:pStyle w:val="Call"/>
      </w:pPr>
      <w:r w:rsidRPr="000B1BD1">
        <w:t>invita a la Secretaria General, en estrecha colaboración con los Directores de las Oficinas de Radiocomunicaciones y de Desarrollo de las Telecomunicaciones</w:t>
      </w:r>
    </w:p>
    <w:p w14:paraId="597345B5" w14:textId="09BB2084" w:rsidR="000B1BD1" w:rsidRPr="000B1BD1" w:rsidRDefault="000B1BD1" w:rsidP="00EE358C">
      <w:pPr>
        <w:jc w:val="both"/>
      </w:pPr>
      <w:r w:rsidRPr="000B1BD1">
        <w:t>1</w:t>
      </w:r>
      <w:r w:rsidRPr="000B1BD1">
        <w:tab/>
        <w:t>a seguir facilitando y reforzando los esfuerzos de la</w:t>
      </w:r>
      <w:r w:rsidR="003C1B77">
        <w:t> </w:t>
      </w:r>
      <w:r w:rsidRPr="000B1BD1">
        <w:t>UIT por promover el acceso a las redes y los servicios de telecomunicaciones/TIC espaciales, en el marco de los esfuerzos más amplios de la</w:t>
      </w:r>
      <w:r w:rsidR="003C1B77">
        <w:t> </w:t>
      </w:r>
      <w:r w:rsidRPr="000B1BD1">
        <w:t>UIT por lograr una conectividad universal y significativa y una utilización sostenible, por parte del sector de las telecomunicaciones/TIC, de los recursos de conectividad del espacio ultraterrestre, tales como el espectro de frecuencias radioeléctricas y las órbitas asociadas;</w:t>
      </w:r>
    </w:p>
    <w:p w14:paraId="36461FF3" w14:textId="77777777" w:rsidR="000B1BD1" w:rsidRPr="000B1BD1" w:rsidRDefault="000B1BD1" w:rsidP="00EE358C">
      <w:pPr>
        <w:jc w:val="both"/>
      </w:pPr>
      <w:r w:rsidRPr="000B1BD1">
        <w:t>2</w:t>
      </w:r>
      <w:r w:rsidRPr="000B1BD1">
        <w:tab/>
        <w:t>a seguir respaldando a los reguladores y a los responsables políticos mediante la creación de capacidad, elaborando herramientas y recursos, incluidos estudios de casos sobre buenas prácticas modernas en materia de telecomunicaciones/TIC espaciales.</w:t>
      </w:r>
    </w:p>
    <w:p w14:paraId="344E96FD" w14:textId="77777777" w:rsidR="003C1B77" w:rsidRDefault="003C1B77" w:rsidP="00411C49">
      <w:pPr>
        <w:pStyle w:val="Reasons"/>
      </w:pPr>
    </w:p>
    <w:p w14:paraId="46032CFE" w14:textId="77777777" w:rsidR="003C1B77" w:rsidRDefault="003C1B77">
      <w:pPr>
        <w:jc w:val="center"/>
      </w:pPr>
      <w:r>
        <w:t>______________</w:t>
      </w:r>
    </w:p>
    <w:sectPr w:rsidR="003C1B77" w:rsidSect="00A70E95">
      <w:headerReference w:type="default" r:id="rId8"/>
      <w:footerReference w:type="first" r:id="rId9"/>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327D" w14:textId="77777777" w:rsidR="00602F16" w:rsidRDefault="00602F16">
      <w:r>
        <w:separator/>
      </w:r>
    </w:p>
  </w:endnote>
  <w:endnote w:type="continuationSeparator" w:id="0">
    <w:p w14:paraId="2781FFB6" w14:textId="77777777" w:rsidR="00602F16" w:rsidRDefault="0060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673B" w14:textId="77777777" w:rsidR="004B07DB" w:rsidRPr="00DB336C" w:rsidRDefault="00DB336C"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20935">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B8BD" w14:textId="77777777" w:rsidR="00602F16" w:rsidRDefault="00602F16">
      <w:r>
        <w:t>____________________</w:t>
      </w:r>
    </w:p>
  </w:footnote>
  <w:footnote w:type="continuationSeparator" w:id="0">
    <w:p w14:paraId="4B921E21" w14:textId="77777777" w:rsidR="00602F16" w:rsidRDefault="00602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4FDC" w14:textId="5AC9CE3F" w:rsidR="00255FA1" w:rsidRPr="00DB336C" w:rsidRDefault="00DB336C" w:rsidP="003C1B77">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80F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54A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60D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2CF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FCA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08DF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84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CC0F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8B5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202F08"/>
    <w:lvl w:ilvl="0">
      <w:start w:val="1"/>
      <w:numFmt w:val="bullet"/>
      <w:lvlText w:val=""/>
      <w:lvlJc w:val="left"/>
      <w:pPr>
        <w:tabs>
          <w:tab w:val="num" w:pos="360"/>
        </w:tabs>
        <w:ind w:left="360" w:hanging="360"/>
      </w:pPr>
      <w:rPr>
        <w:rFonts w:ascii="Symbol" w:hAnsi="Symbol" w:hint="default"/>
      </w:rPr>
    </w:lvl>
  </w:abstractNum>
  <w:num w:numId="1" w16cid:durableId="899172224">
    <w:abstractNumId w:val="9"/>
  </w:num>
  <w:num w:numId="2" w16cid:durableId="887031312">
    <w:abstractNumId w:val="7"/>
  </w:num>
  <w:num w:numId="3" w16cid:durableId="1415125816">
    <w:abstractNumId w:val="6"/>
  </w:num>
  <w:num w:numId="4" w16cid:durableId="1440295802">
    <w:abstractNumId w:val="5"/>
  </w:num>
  <w:num w:numId="5" w16cid:durableId="963584039">
    <w:abstractNumId w:val="4"/>
  </w:num>
  <w:num w:numId="6" w16cid:durableId="784231215">
    <w:abstractNumId w:val="8"/>
  </w:num>
  <w:num w:numId="7" w16cid:durableId="662199211">
    <w:abstractNumId w:val="3"/>
  </w:num>
  <w:num w:numId="8" w16cid:durableId="1293366040">
    <w:abstractNumId w:val="2"/>
  </w:num>
  <w:num w:numId="9" w16cid:durableId="52311940">
    <w:abstractNumId w:val="1"/>
  </w:num>
  <w:num w:numId="10" w16cid:durableId="528108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D1"/>
    <w:rsid w:val="0000188C"/>
    <w:rsid w:val="000507CA"/>
    <w:rsid w:val="00055C50"/>
    <w:rsid w:val="00057402"/>
    <w:rsid w:val="00075113"/>
    <w:rsid w:val="000863AB"/>
    <w:rsid w:val="000A1523"/>
    <w:rsid w:val="000B1752"/>
    <w:rsid w:val="000B1BD1"/>
    <w:rsid w:val="0010546D"/>
    <w:rsid w:val="00135F93"/>
    <w:rsid w:val="001632E3"/>
    <w:rsid w:val="001B1EF5"/>
    <w:rsid w:val="001B3234"/>
    <w:rsid w:val="001D4983"/>
    <w:rsid w:val="001D6EC3"/>
    <w:rsid w:val="001D787B"/>
    <w:rsid w:val="001E3D06"/>
    <w:rsid w:val="001F0B24"/>
    <w:rsid w:val="001F4406"/>
    <w:rsid w:val="001F5B03"/>
    <w:rsid w:val="00225F6B"/>
    <w:rsid w:val="00237C17"/>
    <w:rsid w:val="00242376"/>
    <w:rsid w:val="00243CD9"/>
    <w:rsid w:val="00255FA1"/>
    <w:rsid w:val="00262FF4"/>
    <w:rsid w:val="00277985"/>
    <w:rsid w:val="002C6527"/>
    <w:rsid w:val="002E44FC"/>
    <w:rsid w:val="003537B5"/>
    <w:rsid w:val="00365F30"/>
    <w:rsid w:val="003707E5"/>
    <w:rsid w:val="00375610"/>
    <w:rsid w:val="00391611"/>
    <w:rsid w:val="003B276A"/>
    <w:rsid w:val="003B5DC9"/>
    <w:rsid w:val="003C1B77"/>
    <w:rsid w:val="003D0027"/>
    <w:rsid w:val="003E6E73"/>
    <w:rsid w:val="00451395"/>
    <w:rsid w:val="00484B72"/>
    <w:rsid w:val="00491A25"/>
    <w:rsid w:val="004A346E"/>
    <w:rsid w:val="004A63A9"/>
    <w:rsid w:val="004B07DB"/>
    <w:rsid w:val="004B09D4"/>
    <w:rsid w:val="004B0BCB"/>
    <w:rsid w:val="004C27F5"/>
    <w:rsid w:val="004C39C6"/>
    <w:rsid w:val="004D15DE"/>
    <w:rsid w:val="004D23BA"/>
    <w:rsid w:val="004E069C"/>
    <w:rsid w:val="004E08E0"/>
    <w:rsid w:val="004E28FB"/>
    <w:rsid w:val="004F4BB1"/>
    <w:rsid w:val="00504FD4"/>
    <w:rsid w:val="00507662"/>
    <w:rsid w:val="00523448"/>
    <w:rsid w:val="005359B6"/>
    <w:rsid w:val="005470E8"/>
    <w:rsid w:val="00550FCF"/>
    <w:rsid w:val="00556958"/>
    <w:rsid w:val="00567ED5"/>
    <w:rsid w:val="005A329F"/>
    <w:rsid w:val="005D1164"/>
    <w:rsid w:val="005D6488"/>
    <w:rsid w:val="005F6278"/>
    <w:rsid w:val="00601280"/>
    <w:rsid w:val="00602F16"/>
    <w:rsid w:val="00641DBD"/>
    <w:rsid w:val="006426C0"/>
    <w:rsid w:val="006455D2"/>
    <w:rsid w:val="006537F3"/>
    <w:rsid w:val="00682039"/>
    <w:rsid w:val="006B5512"/>
    <w:rsid w:val="006B5C62"/>
    <w:rsid w:val="006C190D"/>
    <w:rsid w:val="00720686"/>
    <w:rsid w:val="00737EFF"/>
    <w:rsid w:val="00750806"/>
    <w:rsid w:val="00782FF7"/>
    <w:rsid w:val="007875D2"/>
    <w:rsid w:val="007D61E2"/>
    <w:rsid w:val="007F6EBC"/>
    <w:rsid w:val="00802FD6"/>
    <w:rsid w:val="00810D8B"/>
    <w:rsid w:val="00856E43"/>
    <w:rsid w:val="00882773"/>
    <w:rsid w:val="008B4706"/>
    <w:rsid w:val="008B6676"/>
    <w:rsid w:val="008C3FA8"/>
    <w:rsid w:val="008E51C5"/>
    <w:rsid w:val="008F7109"/>
    <w:rsid w:val="009107B0"/>
    <w:rsid w:val="009220DE"/>
    <w:rsid w:val="00930E84"/>
    <w:rsid w:val="009415B6"/>
    <w:rsid w:val="00956FE6"/>
    <w:rsid w:val="0099270D"/>
    <w:rsid w:val="0099551E"/>
    <w:rsid w:val="009A1A86"/>
    <w:rsid w:val="009D1BE0"/>
    <w:rsid w:val="009E0C42"/>
    <w:rsid w:val="00A50BE3"/>
    <w:rsid w:val="00A70E95"/>
    <w:rsid w:val="00AA1F73"/>
    <w:rsid w:val="00AB04B2"/>
    <w:rsid w:val="00AB190D"/>
    <w:rsid w:val="00AB34CA"/>
    <w:rsid w:val="00AB7640"/>
    <w:rsid w:val="00AD400E"/>
    <w:rsid w:val="00AE3305"/>
    <w:rsid w:val="00AF0DC5"/>
    <w:rsid w:val="00B012B7"/>
    <w:rsid w:val="00B30C52"/>
    <w:rsid w:val="00B47682"/>
    <w:rsid w:val="00B501AB"/>
    <w:rsid w:val="00B73978"/>
    <w:rsid w:val="00B77C4D"/>
    <w:rsid w:val="00BB13FE"/>
    <w:rsid w:val="00BC7EE2"/>
    <w:rsid w:val="00BE1097"/>
    <w:rsid w:val="00BF32F2"/>
    <w:rsid w:val="00BF5475"/>
    <w:rsid w:val="00C20ED7"/>
    <w:rsid w:val="00C42D2D"/>
    <w:rsid w:val="00C43474"/>
    <w:rsid w:val="00C61A48"/>
    <w:rsid w:val="00C80F8F"/>
    <w:rsid w:val="00C84355"/>
    <w:rsid w:val="00C84A65"/>
    <w:rsid w:val="00CA3051"/>
    <w:rsid w:val="00CD20D9"/>
    <w:rsid w:val="00CD701A"/>
    <w:rsid w:val="00D04D2C"/>
    <w:rsid w:val="00D05AAE"/>
    <w:rsid w:val="00D05E6B"/>
    <w:rsid w:val="00D066F8"/>
    <w:rsid w:val="00D254A6"/>
    <w:rsid w:val="00D42B55"/>
    <w:rsid w:val="00D57D70"/>
    <w:rsid w:val="00DB336C"/>
    <w:rsid w:val="00DE3E41"/>
    <w:rsid w:val="00E05D81"/>
    <w:rsid w:val="00E20935"/>
    <w:rsid w:val="00E313E9"/>
    <w:rsid w:val="00E53DFC"/>
    <w:rsid w:val="00E66FC3"/>
    <w:rsid w:val="00E677DD"/>
    <w:rsid w:val="00E77F17"/>
    <w:rsid w:val="00E809D8"/>
    <w:rsid w:val="00E921EC"/>
    <w:rsid w:val="00EB23D0"/>
    <w:rsid w:val="00EC395A"/>
    <w:rsid w:val="00EE358C"/>
    <w:rsid w:val="00F01632"/>
    <w:rsid w:val="00F04858"/>
    <w:rsid w:val="00F13AA4"/>
    <w:rsid w:val="00F21A8A"/>
    <w:rsid w:val="00F3510D"/>
    <w:rsid w:val="00F43C07"/>
    <w:rsid w:val="00F43D44"/>
    <w:rsid w:val="00F80E6E"/>
    <w:rsid w:val="00F81A87"/>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8696"/>
  <w15:docId w15:val="{36306E3F-14FF-4969-8F56-6ED8D072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0863AB"/>
    <w:rPr>
      <w:rFonts w:ascii="Calibri" w:hAnsi="Calibri"/>
      <w:color w:val="0000FF"/>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styleId="UnresolvedMention">
    <w:name w:val="Unresolved Mention"/>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 w:type="paragraph" w:customStyle="1" w:styleId="OpNo">
    <w:name w:val="Op_No"/>
    <w:basedOn w:val="ResNo"/>
    <w:rsid w:val="003C1B77"/>
    <w:pPr>
      <w:tabs>
        <w:tab w:val="clear" w:pos="567"/>
        <w:tab w:val="left" w:pos="851"/>
      </w:tabs>
    </w:pPr>
    <w:rPr>
      <w:lang w:val="en-GB"/>
    </w:rPr>
  </w:style>
  <w:style w:type="paragraph" w:customStyle="1" w:styleId="Optitle0">
    <w:name w:val="Op_title"/>
    <w:basedOn w:val="Restitle"/>
    <w:rsid w:val="003C1B77"/>
    <w:pPr>
      <w:tabs>
        <w:tab w:val="clear" w:pos="567"/>
        <w:tab w:val="left" w:pos="851"/>
      </w:tabs>
    </w:pPr>
    <w:rPr>
      <w:rFonts w:eastAsia="Calibri"/>
      <w:lang w:val="en-GB"/>
    </w:rPr>
  </w:style>
  <w:style w:type="paragraph" w:styleId="Revision">
    <w:name w:val="Revision"/>
    <w:hidden/>
    <w:uiPriority w:val="99"/>
    <w:semiHidden/>
    <w:rsid w:val="00365F30"/>
    <w:rPr>
      <w:rFonts w:ascii="Calibri" w:hAnsi="Calibri"/>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PS_WTPF26.dotx</Template>
  <TotalTime>95</TotalTime>
  <Pages>4</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11453</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Opinión 4 - La conectividad espacial</dc:title>
  <dc:subject>World telecommunication/information and communication technology policy forum</dc:subject>
  <cp:keywords>WTPF, WTPF-26</cp:keywords>
  <dc:description/>
  <dcterms:created xsi:type="dcterms:W3CDTF">2026-08-20T13:54:00Z</dcterms:created>
  <dcterms:modified xsi:type="dcterms:W3CDTF">2026-08-20T13:55:00Z</dcterms:modified>
  <cp:category>Conference document</cp:category>
</cp:coreProperties>
</file>