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088"/>
        <w:gridCol w:w="2943"/>
      </w:tblGrid>
      <w:tr w:rsidR="00CE496F" w:rsidRPr="00AA1DF1" w14:paraId="4484B0C5" w14:textId="77777777" w:rsidTr="00490624">
        <w:trPr>
          <w:cantSplit/>
          <w:trHeight w:hRule="exact" w:val="1418"/>
          <w:jc w:val="center"/>
        </w:trPr>
        <w:tc>
          <w:tcPr>
            <w:tcW w:w="10031" w:type="dxa"/>
            <w:gridSpan w:val="2"/>
            <w:tcMar>
              <w:left w:w="0" w:type="dxa"/>
              <w:right w:w="0" w:type="dxa"/>
            </w:tcMar>
            <w:vAlign w:val="center"/>
          </w:tcPr>
          <w:p w14:paraId="7A1CF8E0" w14:textId="6C5FDB95" w:rsidR="00CE496F" w:rsidRPr="00AA1DF1" w:rsidRDefault="00575858" w:rsidP="00CE496F">
            <w:pPr>
              <w:spacing w:before="0" w:line="240" w:lineRule="atLeast"/>
              <w:rPr>
                <w:rFonts w:cstheme="minorHAnsi"/>
              </w:rPr>
            </w:pPr>
            <w:r>
              <w:rPr>
                <w:rFonts w:cstheme="minorHAnsi"/>
                <w:noProof/>
              </w:rPr>
              <w:drawing>
                <wp:inline distT="0" distB="0" distL="0" distR="0" wp14:anchorId="3477D83E" wp14:editId="5ED536EE">
                  <wp:extent cx="6660000" cy="971793"/>
                  <wp:effectExtent l="0" t="0" r="7620" b="0"/>
                  <wp:docPr id="2137983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83593" name="Picture 213798359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E1AF7" w:rsidRPr="00AA1DF1" w14:paraId="3120A8D9" w14:textId="77777777" w:rsidTr="00BD5C12">
        <w:trPr>
          <w:cantSplit/>
          <w:jc w:val="center"/>
        </w:trPr>
        <w:tc>
          <w:tcPr>
            <w:tcW w:w="10031" w:type="dxa"/>
            <w:gridSpan w:val="2"/>
            <w:tcBorders>
              <w:bottom w:val="single" w:sz="12" w:space="0" w:color="71716F"/>
            </w:tcBorders>
          </w:tcPr>
          <w:p w14:paraId="57068B73" w14:textId="77777777" w:rsidR="002E1AF7" w:rsidRPr="00AA1DF1" w:rsidRDefault="002E1AF7" w:rsidP="00CE496F">
            <w:pPr>
              <w:spacing w:before="0" w:line="240" w:lineRule="atLeast"/>
              <w:rPr>
                <w:rFonts w:cstheme="minorHAnsi"/>
                <w:b/>
                <w:smallCaps/>
                <w:szCs w:val="24"/>
              </w:rPr>
            </w:pPr>
            <w:bookmarkStart w:id="0" w:name="dhead"/>
          </w:p>
        </w:tc>
      </w:tr>
      <w:tr w:rsidR="00BD1614" w:rsidRPr="00AA1DF1" w14:paraId="20A2296F" w14:textId="77777777" w:rsidTr="00490624">
        <w:trPr>
          <w:cantSplit/>
          <w:jc w:val="center"/>
        </w:trPr>
        <w:tc>
          <w:tcPr>
            <w:tcW w:w="7088" w:type="dxa"/>
            <w:tcBorders>
              <w:top w:val="single" w:sz="12" w:space="0" w:color="71716F"/>
            </w:tcBorders>
          </w:tcPr>
          <w:p w14:paraId="4CFA6027" w14:textId="77777777" w:rsidR="00BD1614" w:rsidRPr="00AA1DF1" w:rsidRDefault="00BD1614" w:rsidP="007A47E9">
            <w:pPr>
              <w:spacing w:before="0"/>
              <w:rPr>
                <w:rFonts w:cstheme="minorHAnsi"/>
                <w:b/>
                <w:smallCaps/>
                <w:szCs w:val="24"/>
              </w:rPr>
            </w:pPr>
          </w:p>
        </w:tc>
        <w:tc>
          <w:tcPr>
            <w:tcW w:w="2943" w:type="dxa"/>
            <w:tcBorders>
              <w:top w:val="single" w:sz="12" w:space="0" w:color="71716F"/>
            </w:tcBorders>
            <w:tcMar>
              <w:left w:w="142" w:type="dxa"/>
              <w:right w:w="0" w:type="dxa"/>
            </w:tcMar>
          </w:tcPr>
          <w:p w14:paraId="3C479168" w14:textId="77777777" w:rsidR="00BD1614" w:rsidRPr="00AA1DF1" w:rsidRDefault="00BD1614" w:rsidP="007A47E9">
            <w:pPr>
              <w:spacing w:before="0"/>
              <w:rPr>
                <w:rFonts w:cstheme="minorHAnsi"/>
                <w:szCs w:val="24"/>
              </w:rPr>
            </w:pPr>
          </w:p>
        </w:tc>
      </w:tr>
      <w:tr w:rsidR="00BD1614" w:rsidRPr="00AA1DF1" w14:paraId="5EBA9561" w14:textId="77777777" w:rsidTr="00490624">
        <w:trPr>
          <w:cantSplit/>
          <w:jc w:val="center"/>
        </w:trPr>
        <w:tc>
          <w:tcPr>
            <w:tcW w:w="7088" w:type="dxa"/>
          </w:tcPr>
          <w:p w14:paraId="081C5B53" w14:textId="579B80EB" w:rsidR="00BD1614" w:rsidRPr="00AA1DF1" w:rsidRDefault="00BD1614" w:rsidP="00801154">
            <w:pPr>
              <w:pStyle w:val="Committee"/>
              <w:framePr w:hSpace="0" w:wrap="auto" w:hAnchor="text" w:yAlign="inline"/>
              <w:spacing w:after="0" w:line="240" w:lineRule="auto"/>
              <w:rPr>
                <w:lang w:val="fr-FR"/>
              </w:rPr>
            </w:pPr>
          </w:p>
        </w:tc>
        <w:tc>
          <w:tcPr>
            <w:tcW w:w="2943" w:type="dxa"/>
            <w:tcMar>
              <w:left w:w="142" w:type="dxa"/>
              <w:right w:w="0" w:type="dxa"/>
            </w:tcMar>
          </w:tcPr>
          <w:p w14:paraId="42E82404" w14:textId="37710876" w:rsidR="00BD1614" w:rsidRPr="00AA1DF1" w:rsidRDefault="00BD1614" w:rsidP="007A47E9">
            <w:pPr>
              <w:spacing w:before="0"/>
              <w:rPr>
                <w:rFonts w:cstheme="minorHAnsi"/>
                <w:szCs w:val="24"/>
              </w:rPr>
            </w:pPr>
          </w:p>
        </w:tc>
      </w:tr>
      <w:tr w:rsidR="00BD1614" w:rsidRPr="00AA1DF1" w14:paraId="5C605E2F" w14:textId="77777777" w:rsidTr="00490624">
        <w:trPr>
          <w:cantSplit/>
          <w:jc w:val="center"/>
        </w:trPr>
        <w:tc>
          <w:tcPr>
            <w:tcW w:w="7088" w:type="dxa"/>
          </w:tcPr>
          <w:p w14:paraId="3701819B" w14:textId="4343949C" w:rsidR="00BD1614" w:rsidRPr="00AA1DF1" w:rsidRDefault="00BD1614" w:rsidP="007A47E9">
            <w:pPr>
              <w:spacing w:before="0"/>
              <w:rPr>
                <w:rFonts w:cstheme="minorHAnsi"/>
                <w:b/>
                <w:szCs w:val="24"/>
              </w:rPr>
            </w:pPr>
          </w:p>
        </w:tc>
        <w:tc>
          <w:tcPr>
            <w:tcW w:w="2943" w:type="dxa"/>
            <w:tcMar>
              <w:left w:w="142" w:type="dxa"/>
              <w:right w:w="0" w:type="dxa"/>
            </w:tcMar>
          </w:tcPr>
          <w:p w14:paraId="4FD5E934" w14:textId="080EF2F0" w:rsidR="00BD1614" w:rsidRPr="00AA1DF1" w:rsidRDefault="001D4439" w:rsidP="007A47E9">
            <w:pPr>
              <w:spacing w:before="0"/>
              <w:rPr>
                <w:rFonts w:cstheme="minorHAnsi"/>
                <w:b/>
                <w:szCs w:val="24"/>
              </w:rPr>
            </w:pPr>
            <w:r>
              <w:rPr>
                <w:rFonts w:cstheme="minorHAnsi"/>
                <w:b/>
                <w:szCs w:val="24"/>
              </w:rPr>
              <w:t>29 avril 2026</w:t>
            </w:r>
          </w:p>
        </w:tc>
      </w:tr>
      <w:tr w:rsidR="00BD1614" w:rsidRPr="00AA1DF1" w14:paraId="6B2B4BC1" w14:textId="77777777" w:rsidTr="00490624">
        <w:trPr>
          <w:cantSplit/>
          <w:jc w:val="center"/>
        </w:trPr>
        <w:tc>
          <w:tcPr>
            <w:tcW w:w="7088" w:type="dxa"/>
          </w:tcPr>
          <w:p w14:paraId="780A194C" w14:textId="77777777" w:rsidR="00BD1614" w:rsidRPr="00AA1DF1" w:rsidRDefault="00BD1614" w:rsidP="007A47E9">
            <w:pPr>
              <w:spacing w:before="0"/>
              <w:rPr>
                <w:rFonts w:cstheme="minorHAnsi"/>
                <w:b/>
                <w:smallCaps/>
                <w:szCs w:val="24"/>
              </w:rPr>
            </w:pPr>
          </w:p>
        </w:tc>
        <w:tc>
          <w:tcPr>
            <w:tcW w:w="2943" w:type="dxa"/>
            <w:tcMar>
              <w:left w:w="142" w:type="dxa"/>
              <w:right w:w="0" w:type="dxa"/>
            </w:tcMar>
          </w:tcPr>
          <w:p w14:paraId="36796BDA" w14:textId="7A166A47" w:rsidR="00BD1614" w:rsidRPr="00AA1DF1" w:rsidRDefault="00801154" w:rsidP="007A47E9">
            <w:pPr>
              <w:spacing w:before="0"/>
              <w:rPr>
                <w:rFonts w:cstheme="minorHAnsi"/>
                <w:b/>
                <w:szCs w:val="24"/>
              </w:rPr>
            </w:pPr>
            <w:r w:rsidRPr="00AA1DF1">
              <w:rPr>
                <w:rFonts w:cstheme="minorHAnsi"/>
                <w:b/>
                <w:szCs w:val="24"/>
              </w:rPr>
              <w:t xml:space="preserve">Original: </w:t>
            </w:r>
            <w:r w:rsidR="00C550C5" w:rsidRPr="00AA1DF1">
              <w:rPr>
                <w:b/>
                <w:bCs/>
                <w:color w:val="000000"/>
                <w:szCs w:val="24"/>
              </w:rPr>
              <w:t>anglais</w:t>
            </w:r>
          </w:p>
        </w:tc>
      </w:tr>
      <w:tr w:rsidR="00BD1614" w:rsidRPr="00AA1DF1" w14:paraId="4259B884" w14:textId="77777777" w:rsidTr="002E1AF7">
        <w:trPr>
          <w:cantSplit/>
          <w:jc w:val="center"/>
        </w:trPr>
        <w:tc>
          <w:tcPr>
            <w:tcW w:w="10031" w:type="dxa"/>
            <w:gridSpan w:val="2"/>
          </w:tcPr>
          <w:p w14:paraId="770628D7" w14:textId="77777777" w:rsidR="00BD1614" w:rsidRPr="00AA1DF1" w:rsidRDefault="00BD1614" w:rsidP="007A47E9">
            <w:pPr>
              <w:spacing w:before="0" w:line="240" w:lineRule="atLeast"/>
              <w:rPr>
                <w:rFonts w:cstheme="minorHAnsi"/>
                <w:b/>
                <w:szCs w:val="24"/>
              </w:rPr>
            </w:pPr>
          </w:p>
        </w:tc>
      </w:tr>
    </w:tbl>
    <w:p w14:paraId="708C3E4B" w14:textId="18043D8C" w:rsidR="00B119C6" w:rsidRPr="00AA1DF1" w:rsidRDefault="00C4000B" w:rsidP="00B119C6">
      <w:pPr>
        <w:pStyle w:val="RecNo"/>
      </w:pPr>
      <w:bookmarkStart w:id="1" w:name="_Hlk133586559"/>
      <w:bookmarkStart w:id="2" w:name="_Hlk133421428"/>
      <w:bookmarkStart w:id="3" w:name="_Hlk182852311"/>
      <w:bookmarkEnd w:id="0"/>
      <w:r w:rsidRPr="00AA1DF1">
        <w:rPr>
          <w:caps w:val="0"/>
        </w:rPr>
        <w:t>PROJET D'AVIS 4</w:t>
      </w:r>
    </w:p>
    <w:p w14:paraId="4F3EAC4C" w14:textId="77777777" w:rsidR="00B119C6" w:rsidRPr="00AA1DF1" w:rsidRDefault="00B119C6" w:rsidP="00B119C6">
      <w:pPr>
        <w:pStyle w:val="Rectitle"/>
      </w:pPr>
      <w:r w:rsidRPr="00AA1DF1">
        <w:t>Connectivité spatiale</w:t>
      </w:r>
    </w:p>
    <w:bookmarkEnd w:id="1"/>
    <w:bookmarkEnd w:id="2"/>
    <w:p w14:paraId="3264AC90" w14:textId="77777777" w:rsidR="00B119C6" w:rsidRPr="00AA1DF1" w:rsidRDefault="00B119C6" w:rsidP="00C4000B">
      <w:pPr>
        <w:pStyle w:val="Normalaftertitle"/>
        <w:jc w:val="both"/>
        <w:rPr>
          <w:rFonts w:eastAsia="Calibri"/>
        </w:rPr>
      </w:pPr>
      <w:r w:rsidRPr="00AA1DF1">
        <w:t>Le septième Forum mondial des politiques de télécommunication/technologies de l'information et de la communication (Nassau, 2026),</w:t>
      </w:r>
    </w:p>
    <w:p w14:paraId="5B3CD8B1" w14:textId="77777777" w:rsidR="00B119C6" w:rsidRPr="00AA1DF1" w:rsidRDefault="00B119C6" w:rsidP="00434918">
      <w:pPr>
        <w:pStyle w:val="Call"/>
      </w:pPr>
      <w:r w:rsidRPr="00AA1DF1">
        <w:t>rappelant</w:t>
      </w:r>
    </w:p>
    <w:p w14:paraId="4851E9F9" w14:textId="77777777" w:rsidR="00B119C6" w:rsidRPr="00AA1DF1" w:rsidRDefault="00B119C6" w:rsidP="00C4000B">
      <w:pPr>
        <w:jc w:val="both"/>
        <w:rPr>
          <w:szCs w:val="24"/>
        </w:rPr>
      </w:pPr>
      <w:r w:rsidRPr="00AA1DF1">
        <w:rPr>
          <w:i/>
          <w:iCs/>
          <w:szCs w:val="24"/>
        </w:rPr>
        <w:t>a)</w:t>
      </w:r>
      <w:r w:rsidRPr="00AA1DF1">
        <w:rPr>
          <w:szCs w:val="24"/>
        </w:rPr>
        <w:tab/>
        <w:t>la Résolution 70/1 de l'Assemblée générale des Nations Unies, intitulée "Transformer notre monde: le Programme de développement durable à l'horizon 2030";</w:t>
      </w:r>
    </w:p>
    <w:p w14:paraId="0989CFF9" w14:textId="77777777" w:rsidR="00B119C6" w:rsidRPr="00AA1DF1" w:rsidRDefault="00B119C6" w:rsidP="00C4000B">
      <w:pPr>
        <w:jc w:val="both"/>
        <w:rPr>
          <w:szCs w:val="24"/>
        </w:rPr>
      </w:pPr>
      <w:r w:rsidRPr="00AA1DF1">
        <w:rPr>
          <w:i/>
          <w:iCs/>
          <w:szCs w:val="24"/>
        </w:rPr>
        <w:t>b)</w:t>
      </w:r>
      <w:r w:rsidRPr="00AA1DF1">
        <w:rPr>
          <w:szCs w:val="24"/>
        </w:rPr>
        <w:tab/>
        <w:t>la Résolution 76/3 de l'Assemblée générale des Nations Unies intitulée "Programme "Espace2030": l'espace comme moteur du développement durable";</w:t>
      </w:r>
    </w:p>
    <w:p w14:paraId="06FC471F" w14:textId="77777777" w:rsidR="00B119C6" w:rsidRPr="00AA1DF1" w:rsidRDefault="00B119C6" w:rsidP="00C4000B">
      <w:pPr>
        <w:jc w:val="both"/>
        <w:rPr>
          <w:szCs w:val="24"/>
        </w:rPr>
      </w:pPr>
      <w:r w:rsidRPr="00AA1DF1">
        <w:rPr>
          <w:i/>
          <w:iCs/>
          <w:szCs w:val="24"/>
        </w:rPr>
        <w:t>c)</w:t>
      </w:r>
      <w:r w:rsidRPr="00AA1DF1">
        <w:rPr>
          <w:szCs w:val="24"/>
        </w:rPr>
        <w:tab/>
        <w:t>les dispositions correspondantes de l'article 44 de la Constitution de l'UIT;</w:t>
      </w:r>
    </w:p>
    <w:p w14:paraId="17412491" w14:textId="77777777" w:rsidR="00B119C6" w:rsidRPr="00AA1DF1" w:rsidRDefault="00B119C6" w:rsidP="00C4000B">
      <w:pPr>
        <w:jc w:val="both"/>
        <w:rPr>
          <w:szCs w:val="24"/>
        </w:rPr>
      </w:pPr>
      <w:r w:rsidRPr="00AA1DF1">
        <w:rPr>
          <w:i/>
          <w:iCs/>
          <w:szCs w:val="24"/>
        </w:rPr>
        <w:t>d)</w:t>
      </w:r>
      <w:r w:rsidRPr="00AA1DF1">
        <w:rPr>
          <w:szCs w:val="24"/>
        </w:rPr>
        <w:tab/>
        <w:t xml:space="preserve">les résolutions pertinentes de la Conférence de plénipotentiaires relatives aux réseaux et services spatiaux de télécommunication/technologies de l'information et de la communication (TIC), notamment les Résolutions 139 (Rév. Bucarest, 2022), 186 (Rév. Bucarest, 2022), 218 (Bucarest, 2022) et 219 (Bucarest, 2022); </w:t>
      </w:r>
    </w:p>
    <w:p w14:paraId="392479E9" w14:textId="4A638A5E" w:rsidR="00B119C6" w:rsidRPr="00AA1DF1" w:rsidRDefault="00B119C6" w:rsidP="00C4000B">
      <w:pPr>
        <w:jc w:val="both"/>
        <w:rPr>
          <w:rFonts w:asciiTheme="minorHAnsi" w:hAnsiTheme="minorHAnsi" w:cstheme="minorHAnsi"/>
          <w:szCs w:val="24"/>
        </w:rPr>
      </w:pPr>
      <w:r w:rsidRPr="00AA1DF1">
        <w:rPr>
          <w:i/>
          <w:iCs/>
          <w:szCs w:val="24"/>
        </w:rPr>
        <w:t>e)</w:t>
      </w:r>
      <w:r w:rsidRPr="00AA1DF1">
        <w:rPr>
          <w:szCs w:val="24"/>
        </w:rPr>
        <w:tab/>
        <w:t>les résolutions pertinentes des principales conférences et assemblées des trois Secteurs de l'UIT relatives aux réseaux et services de télécommunication/TIC spatiaux, y compris, entre autres, la Résolution 22 (Rév. Dubaï, 2023) de la Conférence mondiale des radiocommunications; les Résolutions 11 (Rév. Bakou, 2025), 37 (Rév. Bakou, 2025) et 77 (Rév. Bakou, 2025) de la Conférence mondiale de développement des télécommunications et la Résolution 74 (Dubaï,</w:t>
      </w:r>
      <w:r w:rsidR="00883883">
        <w:rPr>
          <w:szCs w:val="24"/>
        </w:rPr>
        <w:t> </w:t>
      </w:r>
      <w:r w:rsidRPr="00AA1DF1">
        <w:rPr>
          <w:szCs w:val="24"/>
        </w:rPr>
        <w:t>2023) de l'Assemblée des radiocommunications;</w:t>
      </w:r>
    </w:p>
    <w:p w14:paraId="4765B211" w14:textId="77777777" w:rsidR="00B119C6" w:rsidRPr="00AA1DF1" w:rsidRDefault="00B119C6" w:rsidP="00C4000B">
      <w:pPr>
        <w:jc w:val="both"/>
        <w:rPr>
          <w:rFonts w:asciiTheme="minorHAnsi" w:hAnsiTheme="minorHAnsi" w:cstheme="minorHAnsi"/>
          <w:szCs w:val="24"/>
        </w:rPr>
      </w:pPr>
      <w:r w:rsidRPr="00AA1DF1">
        <w:rPr>
          <w:i/>
          <w:iCs/>
          <w:szCs w:val="24"/>
        </w:rPr>
        <w:t>f)</w:t>
      </w:r>
      <w:r w:rsidRPr="00AA1DF1">
        <w:rPr>
          <w:szCs w:val="24"/>
        </w:rPr>
        <w:tab/>
        <w:t>les dispositions pertinentes de l'Article 18 du Règlement des radiocommunications (Rév. Dubaï, 2023);</w:t>
      </w:r>
    </w:p>
    <w:p w14:paraId="236D0886" w14:textId="77777777" w:rsidR="00B119C6" w:rsidRPr="00AA1DF1" w:rsidRDefault="00B119C6" w:rsidP="00C4000B">
      <w:pPr>
        <w:jc w:val="both"/>
        <w:rPr>
          <w:rFonts w:asciiTheme="minorHAnsi" w:hAnsiTheme="minorHAnsi" w:cstheme="minorHAnsi"/>
          <w:szCs w:val="24"/>
        </w:rPr>
      </w:pPr>
      <w:r w:rsidRPr="00AA1DF1">
        <w:rPr>
          <w:i/>
          <w:iCs/>
          <w:szCs w:val="24"/>
        </w:rPr>
        <w:t>g)</w:t>
      </w:r>
      <w:r w:rsidRPr="00AA1DF1">
        <w:rPr>
          <w:szCs w:val="24"/>
        </w:rPr>
        <w:tab/>
        <w:t>les lignes directrices sur les bonnes pratiques correspondantes élaborées lors du Colloque mondial des régulateurs (GSR),</w:t>
      </w:r>
    </w:p>
    <w:p w14:paraId="28ECC80F" w14:textId="77777777" w:rsidR="00B119C6" w:rsidRPr="00AA1DF1" w:rsidRDefault="00B119C6" w:rsidP="00434918">
      <w:pPr>
        <w:pStyle w:val="Call"/>
      </w:pPr>
      <w:r w:rsidRPr="00AA1DF1">
        <w:t>considérant</w:t>
      </w:r>
    </w:p>
    <w:p w14:paraId="1EC3B6F3" w14:textId="77777777" w:rsidR="00B119C6" w:rsidRPr="00AA1DF1" w:rsidRDefault="00B119C6" w:rsidP="00C4000B">
      <w:pPr>
        <w:jc w:val="both"/>
        <w:rPr>
          <w:rFonts w:asciiTheme="minorHAnsi" w:eastAsia="Calibri" w:hAnsiTheme="minorHAnsi" w:cstheme="minorHAnsi"/>
          <w:szCs w:val="24"/>
        </w:rPr>
      </w:pPr>
      <w:r w:rsidRPr="00AA1DF1">
        <w:rPr>
          <w:i/>
          <w:iCs/>
          <w:szCs w:val="24"/>
        </w:rPr>
        <w:t>a)</w:t>
      </w:r>
      <w:r w:rsidRPr="00AA1DF1">
        <w:rPr>
          <w:szCs w:val="24"/>
        </w:rPr>
        <w:tab/>
        <w:t>que la sélection et la promotion d'outils et de mesures permettant d'accélérer la mise en place de réseaux et services de télécommunication/TIC spatiaux peuvent favoriser la prospérité économique mondiale, améliorer l'inclusion numérique et gommer les disparités en matière d'accès aux technologies spatiales;</w:t>
      </w:r>
    </w:p>
    <w:p w14:paraId="554E5767" w14:textId="77777777" w:rsidR="00B119C6" w:rsidRPr="00AA1DF1" w:rsidRDefault="00B119C6" w:rsidP="00C4000B">
      <w:pPr>
        <w:jc w:val="both"/>
        <w:rPr>
          <w:rFonts w:asciiTheme="minorHAnsi" w:eastAsia="Calibri" w:hAnsiTheme="minorHAnsi" w:cstheme="minorHAnsi"/>
          <w:szCs w:val="24"/>
        </w:rPr>
      </w:pPr>
      <w:r w:rsidRPr="00AA1DF1">
        <w:rPr>
          <w:i/>
          <w:iCs/>
          <w:szCs w:val="24"/>
        </w:rPr>
        <w:lastRenderedPageBreak/>
        <w:t>b)</w:t>
      </w:r>
      <w:r w:rsidRPr="00AA1DF1">
        <w:rPr>
          <w:szCs w:val="24"/>
        </w:rPr>
        <w:tab/>
        <w:t>qu'il est essentiel de renforcer les outils et les plates-formes permettant une coopération internationale efficace en ce qui concerne le Règlement des radiocommunications pour permettre une participation inclusive aux télécommunications/TIC spatiales;</w:t>
      </w:r>
    </w:p>
    <w:p w14:paraId="397BDD11" w14:textId="77777777" w:rsidR="00B119C6" w:rsidRPr="00AA1DF1" w:rsidRDefault="00B119C6" w:rsidP="00C4000B">
      <w:pPr>
        <w:jc w:val="both"/>
        <w:rPr>
          <w:rFonts w:asciiTheme="minorHAnsi" w:eastAsia="Calibri" w:hAnsiTheme="minorHAnsi" w:cstheme="minorHAnsi"/>
          <w:szCs w:val="24"/>
        </w:rPr>
      </w:pPr>
      <w:r w:rsidRPr="00AA1DF1">
        <w:rPr>
          <w:i/>
          <w:iCs/>
          <w:szCs w:val="24"/>
        </w:rPr>
        <w:t>c)</w:t>
      </w:r>
      <w:r w:rsidRPr="00AA1DF1">
        <w:rPr>
          <w:szCs w:val="24"/>
        </w:rPr>
        <w:tab/>
        <w:t>que des approches innovantes pour remédier aux incidences des débris spatiaux liés aux télécommunications/TIC peuvent contribuer à assurer la continuité à long terme des services de télécommunication/TIC spatiaux;</w:t>
      </w:r>
    </w:p>
    <w:p w14:paraId="5FDC9610" w14:textId="77777777" w:rsidR="00B119C6" w:rsidRPr="00AA1DF1" w:rsidRDefault="00B119C6" w:rsidP="00C4000B">
      <w:pPr>
        <w:jc w:val="both"/>
        <w:rPr>
          <w:rFonts w:asciiTheme="minorHAnsi" w:eastAsia="Calibri" w:hAnsiTheme="minorHAnsi" w:cstheme="minorHAnsi"/>
          <w:szCs w:val="24"/>
        </w:rPr>
      </w:pPr>
      <w:r w:rsidRPr="00AA1DF1">
        <w:rPr>
          <w:i/>
          <w:iCs/>
          <w:szCs w:val="24"/>
        </w:rPr>
        <w:t>d)</w:t>
      </w:r>
      <w:r w:rsidRPr="00AA1DF1">
        <w:rPr>
          <w:szCs w:val="24"/>
        </w:rPr>
        <w:tab/>
        <w:t>que les gouvernements ont des opportunités à saisir mais aussi des difficultés à surmonter dans l'exploitation des réseaux et services de télécommunication/TIC spatiaux, et que leur rôle est crucial pour élaborer des politiques qui favorisent l'innovation, tout en garantissant une utilisation responsable du spectre des fréquences radioélectriques et des orbites de satellites associées;</w:t>
      </w:r>
    </w:p>
    <w:p w14:paraId="2C75C931" w14:textId="77777777" w:rsidR="00B119C6" w:rsidRPr="00AA1DF1" w:rsidRDefault="00B119C6" w:rsidP="00C4000B">
      <w:pPr>
        <w:jc w:val="both"/>
        <w:rPr>
          <w:rFonts w:asciiTheme="minorHAnsi" w:eastAsia="Calibri" w:hAnsiTheme="minorHAnsi" w:cstheme="minorHAnsi"/>
          <w:szCs w:val="24"/>
        </w:rPr>
      </w:pPr>
      <w:r w:rsidRPr="00AA1DF1">
        <w:rPr>
          <w:i/>
          <w:iCs/>
          <w:szCs w:val="24"/>
        </w:rPr>
        <w:t>e)</w:t>
      </w:r>
      <w:r w:rsidRPr="00AA1DF1">
        <w:rPr>
          <w:szCs w:val="24"/>
        </w:rPr>
        <w:tab/>
        <w:t>que la Constitution de l'UIT reconnaît à chaque État membre le droit souverain de réglementer ses télécommunications, tant de Terre que spatiales;</w:t>
      </w:r>
    </w:p>
    <w:p w14:paraId="3DB42D6D" w14:textId="77777777" w:rsidR="00B119C6" w:rsidRPr="00AA1DF1" w:rsidRDefault="00B119C6" w:rsidP="00C4000B">
      <w:pPr>
        <w:jc w:val="both"/>
        <w:rPr>
          <w:rFonts w:asciiTheme="minorHAnsi" w:eastAsia="Calibri" w:hAnsiTheme="minorHAnsi" w:cstheme="minorHAnsi"/>
          <w:szCs w:val="24"/>
        </w:rPr>
      </w:pPr>
      <w:r w:rsidRPr="00AA1DF1">
        <w:rPr>
          <w:i/>
          <w:iCs/>
          <w:szCs w:val="24"/>
        </w:rPr>
        <w:t>f)</w:t>
      </w:r>
      <w:r w:rsidRPr="00AA1DF1">
        <w:rPr>
          <w:szCs w:val="24"/>
        </w:rPr>
        <w:tab/>
        <w:t>que les initiatives de l'UIT, telles que le Forum sur la viabilité de l'utilisation de l'espace, sont conçues comme des occasions de présenter et d'examiner les bonnes pratiques, les lignes directrices et les stratégies nécessaires pour faire en sorte que l'espace reste accessible et son utilisation durable pour les activités spatiales actuelles et futures,</w:t>
      </w:r>
    </w:p>
    <w:p w14:paraId="443F7328" w14:textId="77777777" w:rsidR="00B119C6" w:rsidRPr="00AA1DF1" w:rsidRDefault="00B119C6" w:rsidP="00434918">
      <w:pPr>
        <w:pStyle w:val="Call"/>
      </w:pPr>
      <w:r w:rsidRPr="00AA1DF1">
        <w:t>reconnaissant</w:t>
      </w:r>
    </w:p>
    <w:p w14:paraId="5131A716" w14:textId="77777777" w:rsidR="00B119C6" w:rsidRPr="00AA1DF1" w:rsidRDefault="00B119C6" w:rsidP="00C4000B">
      <w:pPr>
        <w:jc w:val="both"/>
        <w:rPr>
          <w:rFonts w:asciiTheme="minorHAnsi" w:eastAsia="Aptos" w:hAnsiTheme="minorHAnsi" w:cstheme="minorHAnsi"/>
          <w:szCs w:val="24"/>
        </w:rPr>
      </w:pPr>
      <w:r w:rsidRPr="00AA1DF1">
        <w:rPr>
          <w:i/>
          <w:iCs/>
          <w:szCs w:val="24"/>
        </w:rPr>
        <w:t>a)</w:t>
      </w:r>
      <w:r w:rsidRPr="00AA1DF1">
        <w:rPr>
          <w:szCs w:val="24"/>
        </w:rPr>
        <w:tab/>
        <w:t>que le secteur privé joue un rôle de premier plan dans le déploiement des réseaux et des services de télécommunication/TIC spatiaux, et qu'il continue de concevoir des innovations technologiques et des modèles économiques innovants aux côtés d'autres parties prenantes telles que les pouvoirs publics, les établissements universitaires et la société civile;</w:t>
      </w:r>
    </w:p>
    <w:p w14:paraId="78E3E3DC" w14:textId="77777777" w:rsidR="00B119C6" w:rsidRPr="00AA1DF1" w:rsidRDefault="00B119C6" w:rsidP="00C4000B">
      <w:pPr>
        <w:jc w:val="both"/>
        <w:rPr>
          <w:rFonts w:asciiTheme="minorHAnsi" w:eastAsia="Aptos" w:hAnsiTheme="minorHAnsi" w:cstheme="minorHAnsi"/>
          <w:szCs w:val="24"/>
        </w:rPr>
      </w:pPr>
      <w:r w:rsidRPr="00AA1DF1">
        <w:rPr>
          <w:i/>
          <w:iCs/>
          <w:szCs w:val="24"/>
        </w:rPr>
        <w:t>b)</w:t>
      </w:r>
      <w:r w:rsidRPr="00AA1DF1">
        <w:rPr>
          <w:szCs w:val="24"/>
        </w:rPr>
        <w:tab/>
        <w:t>que les réseaux et services de télécommunication/TIC spatiaux, y compris les satellites en orbite géostationnaire (OSG) et non géostationnaire (non OSG), peuvent contribuer à réduire la fracture numérique en assurant une connectivité dans de vastes zones géographiques, ce qui pourrait permettre de réaliser des économies sur le coût de déploiement du fait de la réduction des besoins en infrastructures au sol, offrant ainsi une solution résiliente pour la connectivité des personnes vivant dans des zones à faible densité de population, y compris dans les régions mal desservies, en particulier dans les pays les moins avancés (PMA), les pays en développement sans littoral (PDSL) et les petits États insulaires en développement (PEID);</w:t>
      </w:r>
    </w:p>
    <w:p w14:paraId="59A96C33" w14:textId="77777777" w:rsidR="00B119C6" w:rsidRPr="00AA1DF1" w:rsidRDefault="00B119C6" w:rsidP="00C4000B">
      <w:pPr>
        <w:jc w:val="both"/>
        <w:rPr>
          <w:rFonts w:asciiTheme="minorHAnsi" w:eastAsia="Aptos" w:hAnsiTheme="minorHAnsi" w:cstheme="minorHAnsi"/>
          <w:szCs w:val="24"/>
        </w:rPr>
      </w:pPr>
      <w:r w:rsidRPr="00AA1DF1">
        <w:rPr>
          <w:i/>
          <w:iCs/>
          <w:szCs w:val="24"/>
        </w:rPr>
        <w:t>c)</w:t>
      </w:r>
      <w:r w:rsidRPr="00AA1DF1">
        <w:rPr>
          <w:szCs w:val="24"/>
        </w:rPr>
        <w:tab/>
        <w:t>que les réseaux et services de télécommunication/TIC spatiaux utilisés par les systèmes non OSG et les systèmes OSG évoluent rapidement et que la complémentarité de ces deux systèmes constitue l'une des principales possibilités d'étendre la connectivité;</w:t>
      </w:r>
      <w:bookmarkStart w:id="4" w:name="_Hlk175572783"/>
    </w:p>
    <w:p w14:paraId="53A8D557" w14:textId="77777777" w:rsidR="00B119C6" w:rsidRPr="00AA1DF1" w:rsidRDefault="00B119C6" w:rsidP="00C4000B">
      <w:pPr>
        <w:jc w:val="both"/>
        <w:rPr>
          <w:rFonts w:asciiTheme="minorHAnsi" w:eastAsia="Aptos" w:hAnsiTheme="minorHAnsi" w:cstheme="minorHAnsi"/>
          <w:szCs w:val="24"/>
        </w:rPr>
      </w:pPr>
      <w:r w:rsidRPr="00AA1DF1">
        <w:rPr>
          <w:i/>
          <w:iCs/>
          <w:szCs w:val="24"/>
        </w:rPr>
        <w:t>d)</w:t>
      </w:r>
      <w:r w:rsidRPr="00AA1DF1">
        <w:rPr>
          <w:szCs w:val="24"/>
        </w:rPr>
        <w:tab/>
        <w:t>que les bonnes pratiques du secteur privé, conjuguées à des cadres politiques orientés vers l'avenir, contribuent à optimiser le potentiel des réseaux et services de télécommunication/TIC spatiaux;</w:t>
      </w:r>
      <w:bookmarkEnd w:id="4"/>
    </w:p>
    <w:p w14:paraId="0F0D4B44" w14:textId="77777777" w:rsidR="00B119C6" w:rsidRPr="00AA1DF1" w:rsidRDefault="00B119C6" w:rsidP="00C4000B">
      <w:pPr>
        <w:jc w:val="both"/>
        <w:rPr>
          <w:rFonts w:asciiTheme="minorHAnsi" w:eastAsia="Aptos" w:hAnsiTheme="minorHAnsi" w:cstheme="minorHAnsi"/>
          <w:szCs w:val="24"/>
        </w:rPr>
      </w:pPr>
      <w:r w:rsidRPr="00AA1DF1">
        <w:rPr>
          <w:i/>
          <w:iCs/>
          <w:szCs w:val="24"/>
        </w:rPr>
        <w:t>e)</w:t>
      </w:r>
      <w:r w:rsidRPr="00AA1DF1">
        <w:rPr>
          <w:szCs w:val="24"/>
        </w:rPr>
        <w:tab/>
        <w:t>que les activités de renforcement des capacités, y compris l'échange de bonnes pratiques et des manifestations telles que le Colloque mondial des régulateurs, ainsi que l'élaboration récente des lignes directrices relatives aux bonnes pratiques du GSR-24 et du GSR-25, peuvent aider les pays à suivre le rythme du déploiement rapide des réseaux et services de télécommunication/TIC spatiaux, et contribuer à éclairer les administrations dans l'élaboration d'approches réglementaires nationales en constante évolution, à mesure que les pays abordent des questions telles que l'octroi de licences et la sécurité;</w:t>
      </w:r>
    </w:p>
    <w:p w14:paraId="0C0D2F52" w14:textId="77777777" w:rsidR="00B119C6" w:rsidRPr="00AA1DF1" w:rsidRDefault="00B119C6" w:rsidP="00C4000B">
      <w:pPr>
        <w:jc w:val="both"/>
        <w:rPr>
          <w:rFonts w:asciiTheme="minorHAnsi" w:eastAsia="Aptos" w:hAnsiTheme="minorHAnsi" w:cstheme="minorHAnsi"/>
          <w:szCs w:val="24"/>
        </w:rPr>
      </w:pPr>
      <w:r w:rsidRPr="00AA1DF1">
        <w:rPr>
          <w:i/>
          <w:iCs/>
          <w:szCs w:val="24"/>
        </w:rPr>
        <w:lastRenderedPageBreak/>
        <w:t>f)</w:t>
      </w:r>
      <w:r w:rsidRPr="00AA1DF1">
        <w:rPr>
          <w:szCs w:val="24"/>
        </w:rPr>
        <w:tab/>
        <w:t>que l'accès équitable aux réseaux et services de télécommunication/TIC spatiaux incite à réfléchir aux problèmes qui restent à résoudre, tels que l'utilisation des ressources spatiales liées aux télécommunications/TIC;</w:t>
      </w:r>
    </w:p>
    <w:p w14:paraId="70DD186E" w14:textId="77777777" w:rsidR="00B119C6" w:rsidRPr="00AA1DF1" w:rsidRDefault="00B119C6" w:rsidP="00C4000B">
      <w:pPr>
        <w:jc w:val="both"/>
        <w:rPr>
          <w:rFonts w:asciiTheme="minorHAnsi" w:eastAsia="Aptos" w:hAnsiTheme="minorHAnsi" w:cstheme="minorHAnsi"/>
          <w:szCs w:val="24"/>
        </w:rPr>
      </w:pPr>
      <w:r w:rsidRPr="00AA1DF1">
        <w:rPr>
          <w:i/>
          <w:iCs/>
          <w:szCs w:val="24"/>
        </w:rPr>
        <w:t>g)</w:t>
      </w:r>
      <w:r w:rsidRPr="00AA1DF1">
        <w:rPr>
          <w:szCs w:val="24"/>
        </w:rPr>
        <w:tab/>
        <w:t>que l'UIT dispose d'un mandat spécifique en matière de télécommunications/TIC, y compris les réseaux et services de télécommunication/TIC spatiaux, qui vient s'ajouter aux compétences de l'ensemble du système des Nations Unies, et que les efforts doivent être coordonnés pour éviter tout chevauchement d'activités entre les institutions;</w:t>
      </w:r>
    </w:p>
    <w:p w14:paraId="6CFF2447" w14:textId="77777777" w:rsidR="00B119C6" w:rsidRPr="00AA1DF1" w:rsidRDefault="00B119C6" w:rsidP="00C4000B">
      <w:pPr>
        <w:jc w:val="both"/>
        <w:rPr>
          <w:rFonts w:asciiTheme="minorHAnsi" w:eastAsia="Aptos" w:hAnsiTheme="minorHAnsi" w:cstheme="minorHAnsi"/>
          <w:szCs w:val="24"/>
        </w:rPr>
      </w:pPr>
      <w:r w:rsidRPr="00AA1DF1">
        <w:rPr>
          <w:i/>
          <w:iCs/>
          <w:szCs w:val="24"/>
        </w:rPr>
        <w:t>h)</w:t>
      </w:r>
      <w:r w:rsidRPr="00AA1DF1">
        <w:rPr>
          <w:szCs w:val="24"/>
        </w:rPr>
        <w:tab/>
        <w:t>que la connectivité spatiale peut renforcer la résilience des pays et les interventions en cas de catastrophe lorsqu'elle est intégrée dans des plans nationaux de télécommunications d'urgence,</w:t>
      </w:r>
    </w:p>
    <w:p w14:paraId="131F9C6D" w14:textId="77777777" w:rsidR="00B119C6" w:rsidRPr="00AA1DF1" w:rsidRDefault="00B119C6" w:rsidP="00434918">
      <w:pPr>
        <w:pStyle w:val="Call"/>
      </w:pPr>
      <w:r w:rsidRPr="00AA1DF1">
        <w:t>est d'avis</w:t>
      </w:r>
    </w:p>
    <w:p w14:paraId="3EC0B2FA" w14:textId="77777777" w:rsidR="00B119C6" w:rsidRPr="00AA1DF1" w:rsidRDefault="00B119C6" w:rsidP="00C4000B">
      <w:pPr>
        <w:jc w:val="both"/>
        <w:rPr>
          <w:rFonts w:asciiTheme="minorHAnsi" w:hAnsiTheme="minorHAnsi" w:cstheme="minorHAnsi"/>
          <w:spacing w:val="-2"/>
          <w:szCs w:val="24"/>
        </w:rPr>
      </w:pPr>
      <w:r w:rsidRPr="00AA1DF1">
        <w:rPr>
          <w:szCs w:val="24"/>
        </w:rPr>
        <w:t>1</w:t>
      </w:r>
      <w:r w:rsidRPr="00AA1DF1">
        <w:rPr>
          <w:szCs w:val="24"/>
        </w:rPr>
        <w:tab/>
        <w:t>que la promotion et l'utilisation des réseaux et services de télécommunication/TIC spatiaux, indépendamment ou, le cas échéant, en complément des réseaux et services de Terre, peuvent contribuer au développement socio-économique durable, en particulier dans les zones mal desservies, notamment dans les PMA, les PDSL et les PEID, en offrant des avantages à long terme et en permettant de relever les nouveaux défis;</w:t>
      </w:r>
    </w:p>
    <w:p w14:paraId="019EEF33" w14:textId="77777777" w:rsidR="00B119C6" w:rsidRPr="00AA1DF1" w:rsidRDefault="00B119C6" w:rsidP="00C4000B">
      <w:pPr>
        <w:widowControl w:val="0"/>
        <w:jc w:val="both"/>
        <w:rPr>
          <w:rFonts w:asciiTheme="minorHAnsi" w:hAnsiTheme="minorHAnsi" w:cstheme="minorHAnsi"/>
          <w:szCs w:val="24"/>
        </w:rPr>
      </w:pPr>
      <w:r w:rsidRPr="00AA1DF1">
        <w:rPr>
          <w:szCs w:val="24"/>
        </w:rPr>
        <w:t>2</w:t>
      </w:r>
      <w:r w:rsidRPr="00AA1DF1">
        <w:rPr>
          <w:szCs w:val="24"/>
        </w:rPr>
        <w:tab/>
        <w:t>qu'un environnement propice, fondé sur des politiques et des cadres réglementaires transparents, stables et actualisés, facilite les investissements dans les réseaux et services de télécommunication/TIC spatiaux et l'accès à ces réseaux et services;</w:t>
      </w:r>
    </w:p>
    <w:p w14:paraId="494B2ADA" w14:textId="77777777" w:rsidR="00B119C6" w:rsidRPr="00AA1DF1" w:rsidRDefault="00B119C6" w:rsidP="00C4000B">
      <w:pPr>
        <w:jc w:val="both"/>
        <w:rPr>
          <w:rFonts w:asciiTheme="minorHAnsi" w:hAnsiTheme="minorHAnsi" w:cstheme="minorHAnsi"/>
          <w:szCs w:val="24"/>
        </w:rPr>
      </w:pPr>
      <w:r w:rsidRPr="00AA1DF1">
        <w:rPr>
          <w:szCs w:val="24"/>
        </w:rPr>
        <w:t>3</w:t>
      </w:r>
      <w:r w:rsidRPr="00AA1DF1">
        <w:rPr>
          <w:szCs w:val="24"/>
        </w:rPr>
        <w:tab/>
        <w:t>que l'adoption de méthodes technologiquement neutres quant aux objectifs de connectivité facilite le choix du consommateur et lui offre une certaine souplesse pour choisir la solution la mieux adaptée;</w:t>
      </w:r>
    </w:p>
    <w:p w14:paraId="63B7D74B" w14:textId="77777777" w:rsidR="00B119C6" w:rsidRPr="00AA1DF1" w:rsidRDefault="00B119C6" w:rsidP="00C4000B">
      <w:pPr>
        <w:jc w:val="both"/>
        <w:rPr>
          <w:rFonts w:asciiTheme="minorHAnsi" w:hAnsiTheme="minorHAnsi" w:cstheme="minorHAnsi"/>
          <w:szCs w:val="24"/>
        </w:rPr>
      </w:pPr>
      <w:r w:rsidRPr="00AA1DF1">
        <w:rPr>
          <w:szCs w:val="24"/>
        </w:rPr>
        <w:t>4</w:t>
      </w:r>
      <w:r w:rsidRPr="00AA1DF1">
        <w:rPr>
          <w:szCs w:val="24"/>
        </w:rPr>
        <w:tab/>
        <w:t>que les administrations pourront juger utile d'envisager de mettre à jour leurs politiques et mesures réglementaires, si elles le jugent opportun, afin de s'adapter à l'innovation dans le déploiement et le développement de réseaux et de services de télécommunication/TIC par satellite, en encourageant la participation du secteur privé et en créant des conditions propices au développement des services spatiaux et de Terre;</w:t>
      </w:r>
    </w:p>
    <w:p w14:paraId="1ECB4558" w14:textId="77777777" w:rsidR="00B119C6" w:rsidRPr="00AA1DF1" w:rsidRDefault="00B119C6" w:rsidP="00C4000B">
      <w:pPr>
        <w:jc w:val="both"/>
        <w:rPr>
          <w:rFonts w:asciiTheme="minorHAnsi" w:hAnsiTheme="minorHAnsi" w:cstheme="minorHAnsi"/>
          <w:szCs w:val="24"/>
        </w:rPr>
      </w:pPr>
      <w:r w:rsidRPr="00AA1DF1">
        <w:rPr>
          <w:szCs w:val="24"/>
        </w:rPr>
        <w:t>5</w:t>
      </w:r>
      <w:r w:rsidRPr="00AA1DF1">
        <w:rPr>
          <w:szCs w:val="24"/>
        </w:rPr>
        <w:tab/>
        <w:t>que des partenariats à l'échelle mondiale et une coopération internationale avec d'autres institutions des Nations Unies, organisations internationales et parties prenantes sont essentiels pour encourager la participation des États Membres aux activités de communication spatiale, en particulier pour les pays en développement, ce qui contribue à la réalisation des ODD, sans préjudice des priorités et des approches au niveau national;</w:t>
      </w:r>
    </w:p>
    <w:p w14:paraId="7730066D" w14:textId="77777777" w:rsidR="00B119C6" w:rsidRPr="00AA1DF1" w:rsidRDefault="00B119C6" w:rsidP="00C4000B">
      <w:pPr>
        <w:jc w:val="both"/>
        <w:rPr>
          <w:rFonts w:asciiTheme="minorHAnsi" w:hAnsiTheme="minorHAnsi" w:cstheme="minorHAnsi"/>
          <w:szCs w:val="24"/>
        </w:rPr>
      </w:pPr>
      <w:r w:rsidRPr="00AA1DF1">
        <w:rPr>
          <w:szCs w:val="24"/>
        </w:rPr>
        <w:t>6</w:t>
      </w:r>
      <w:r w:rsidRPr="00AA1DF1">
        <w:rPr>
          <w:szCs w:val="24"/>
        </w:rPr>
        <w:tab/>
        <w:t>que l'exploration de pistes de coopération internationale et d'initiatives d'échange de connaissances peut contribuer à garantir l'égalité des chances face aux opportunités offertes par les applications et services de télécommunication/TIC spatiaux;</w:t>
      </w:r>
    </w:p>
    <w:p w14:paraId="08736C0D" w14:textId="77777777" w:rsidR="00B119C6" w:rsidRPr="00AA1DF1" w:rsidRDefault="00B119C6" w:rsidP="00C4000B">
      <w:pPr>
        <w:jc w:val="both"/>
        <w:rPr>
          <w:rFonts w:asciiTheme="minorHAnsi" w:hAnsiTheme="minorHAnsi" w:cstheme="minorHAnsi"/>
          <w:szCs w:val="24"/>
        </w:rPr>
      </w:pPr>
      <w:r w:rsidRPr="00AA1DF1">
        <w:rPr>
          <w:szCs w:val="24"/>
        </w:rPr>
        <w:t>7</w:t>
      </w:r>
      <w:r w:rsidRPr="00AA1DF1">
        <w:rPr>
          <w:szCs w:val="24"/>
        </w:rPr>
        <w:tab/>
        <w:t>que l'appui à la recherche et à l'innovation peut contribuer à la viabilité à long terme des activités de télécommunication/TIC spatiales, en favorisant la collaboration entre les entités concernées, dans le cadre de leur mandat, et la coopération multi-parties prenantes, y compris avec le secteur privé;</w:t>
      </w:r>
    </w:p>
    <w:p w14:paraId="4F04EA4A" w14:textId="77777777" w:rsidR="00B119C6" w:rsidRPr="00AA1DF1" w:rsidRDefault="00B119C6" w:rsidP="00C4000B">
      <w:pPr>
        <w:jc w:val="both"/>
        <w:rPr>
          <w:rFonts w:asciiTheme="minorHAnsi" w:hAnsiTheme="minorHAnsi" w:cstheme="minorHAnsi"/>
          <w:szCs w:val="24"/>
        </w:rPr>
      </w:pPr>
      <w:r w:rsidRPr="00AA1DF1">
        <w:rPr>
          <w:szCs w:val="24"/>
        </w:rPr>
        <w:t>8</w:t>
      </w:r>
      <w:r w:rsidRPr="00AA1DF1">
        <w:rPr>
          <w:szCs w:val="24"/>
        </w:rPr>
        <w:tab/>
        <w:t>que les investissements des secteurs public et privé dans les télécommunications/TIC spatiales jouent un rôle important dans le développement de la connectivité et que l'élimination des obstacles à l'investissement peut encourager l'innovation et accroître l'accès à la connectivité,</w:t>
      </w:r>
    </w:p>
    <w:p w14:paraId="0A9D023C" w14:textId="77777777" w:rsidR="00B119C6" w:rsidRPr="00AA1DF1" w:rsidRDefault="00B119C6" w:rsidP="00434918">
      <w:pPr>
        <w:pStyle w:val="Call"/>
      </w:pPr>
      <w:r w:rsidRPr="00AA1DF1">
        <w:lastRenderedPageBreak/>
        <w:t>invite les États Membres</w:t>
      </w:r>
    </w:p>
    <w:p w14:paraId="446B7A1C" w14:textId="77777777" w:rsidR="00B119C6" w:rsidRPr="00AA1DF1" w:rsidRDefault="00B119C6" w:rsidP="00C4000B">
      <w:pPr>
        <w:jc w:val="both"/>
        <w:rPr>
          <w:rFonts w:asciiTheme="minorHAnsi" w:hAnsiTheme="minorHAnsi" w:cstheme="minorHAnsi"/>
          <w:szCs w:val="24"/>
        </w:rPr>
      </w:pPr>
      <w:r w:rsidRPr="00AA1DF1">
        <w:rPr>
          <w:szCs w:val="24"/>
        </w:rPr>
        <w:t>1</w:t>
      </w:r>
      <w:r w:rsidRPr="00AA1DF1">
        <w:rPr>
          <w:szCs w:val="24"/>
        </w:rPr>
        <w:tab/>
        <w:t xml:space="preserve">à envisager d'adopter des mesures politiques et réglementaires qui permettent de faciliter l'accès aux réseaux et services de télécommunication/TIC spatiaux, ainsi qu'il ressort du point 4 du </w:t>
      </w:r>
      <w:r w:rsidRPr="00AA1DF1">
        <w:rPr>
          <w:i/>
          <w:iCs/>
          <w:szCs w:val="24"/>
        </w:rPr>
        <w:t>est d'avis</w:t>
      </w:r>
      <w:r w:rsidRPr="00AA1DF1">
        <w:rPr>
          <w:szCs w:val="24"/>
        </w:rPr>
        <w:t>;</w:t>
      </w:r>
    </w:p>
    <w:p w14:paraId="6A38547E" w14:textId="77777777" w:rsidR="00B119C6" w:rsidRPr="00AA1DF1" w:rsidRDefault="00B119C6" w:rsidP="00C4000B">
      <w:pPr>
        <w:jc w:val="both"/>
        <w:rPr>
          <w:rFonts w:asciiTheme="minorHAnsi" w:eastAsia="Calibri" w:hAnsiTheme="minorHAnsi" w:cstheme="minorHAnsi"/>
          <w:szCs w:val="24"/>
        </w:rPr>
      </w:pPr>
      <w:r w:rsidRPr="00AA1DF1">
        <w:rPr>
          <w:szCs w:val="24"/>
        </w:rPr>
        <w:t>2</w:t>
      </w:r>
      <w:r w:rsidRPr="00AA1DF1">
        <w:rPr>
          <w:szCs w:val="24"/>
        </w:rPr>
        <w:tab/>
        <w:t>à envisager des approches technologiquement inclusives pour atteindre les objectifs de connectivité, en s'appuyant sur les bonnes pratiques qui offrent aux consommateurs et aux fournisseurs la flexibilité nécessaire pour choisir la technologie la mieux adaptée à leurs besoins à l'échelle locale,</w:t>
      </w:r>
    </w:p>
    <w:p w14:paraId="0E0E5B30" w14:textId="77777777" w:rsidR="00B119C6" w:rsidRPr="00AA1DF1" w:rsidRDefault="00B119C6" w:rsidP="00434918">
      <w:pPr>
        <w:pStyle w:val="Call"/>
      </w:pPr>
      <w:r w:rsidRPr="00AA1DF1">
        <w:t>invite les États Membres, les Membres de Secteur et les autres parties prenantes à collaborer afin</w:t>
      </w:r>
    </w:p>
    <w:p w14:paraId="57CD0C1D" w14:textId="77777777" w:rsidR="00B119C6" w:rsidRPr="00AA1DF1" w:rsidRDefault="00B119C6" w:rsidP="00C4000B">
      <w:pPr>
        <w:jc w:val="both"/>
        <w:rPr>
          <w:rFonts w:asciiTheme="minorHAnsi" w:eastAsia="Calibri" w:hAnsiTheme="minorHAnsi" w:cstheme="minorHAnsi"/>
          <w:szCs w:val="24"/>
        </w:rPr>
      </w:pPr>
      <w:r w:rsidRPr="00AA1DF1">
        <w:rPr>
          <w:szCs w:val="24"/>
        </w:rPr>
        <w:t>1</w:t>
      </w:r>
      <w:r w:rsidRPr="00AA1DF1">
        <w:rPr>
          <w:szCs w:val="24"/>
        </w:rPr>
        <w:tab/>
        <w:t>d'envisager de participer activement aux instances internationales pertinentes consacrées aux télécommunications/TIC spatiales, dans le but de réduire la fracture numérique;</w:t>
      </w:r>
    </w:p>
    <w:p w14:paraId="70569FE8" w14:textId="77777777" w:rsidR="00B119C6" w:rsidRPr="00AA1DF1" w:rsidRDefault="00B119C6" w:rsidP="00C4000B">
      <w:pPr>
        <w:jc w:val="both"/>
        <w:rPr>
          <w:rFonts w:asciiTheme="minorHAnsi" w:eastAsia="Calibri" w:hAnsiTheme="minorHAnsi" w:cstheme="minorHAnsi"/>
          <w:szCs w:val="24"/>
        </w:rPr>
      </w:pPr>
      <w:r w:rsidRPr="00AA1DF1">
        <w:rPr>
          <w:szCs w:val="24"/>
        </w:rPr>
        <w:t>2</w:t>
      </w:r>
      <w:r w:rsidRPr="00AA1DF1">
        <w:rPr>
          <w:szCs w:val="24"/>
        </w:rPr>
        <w:tab/>
        <w:t>de renforcer les partenariats mondiaux et d'intensifier la coopération pour promouvoir et exploiter les réseaux et services de télécommunication/TIC spatiaux au service du développement durable;</w:t>
      </w:r>
    </w:p>
    <w:p w14:paraId="46416C49" w14:textId="77777777" w:rsidR="00B119C6" w:rsidRPr="00AA1DF1" w:rsidRDefault="00B119C6" w:rsidP="00C4000B">
      <w:pPr>
        <w:jc w:val="both"/>
        <w:rPr>
          <w:rFonts w:asciiTheme="minorHAnsi" w:eastAsia="Calibri" w:hAnsiTheme="minorHAnsi" w:cstheme="minorHAnsi"/>
          <w:szCs w:val="24"/>
        </w:rPr>
      </w:pPr>
      <w:bookmarkStart w:id="5" w:name="_Hlk219985672"/>
      <w:r w:rsidRPr="00AA1DF1">
        <w:rPr>
          <w:szCs w:val="24"/>
        </w:rPr>
        <w:t>3</w:t>
      </w:r>
      <w:r w:rsidRPr="00AA1DF1">
        <w:rPr>
          <w:szCs w:val="24"/>
        </w:rPr>
        <w:tab/>
        <w:t>de promouvoir la collaboration et l'échange de bonnes pratiques concernant les cadres politiques et réglementaires applicables aux réseaux et services de télécommunication/TIC spatiaux;</w:t>
      </w:r>
    </w:p>
    <w:bookmarkEnd w:id="5"/>
    <w:p w14:paraId="56E400AA" w14:textId="77777777" w:rsidR="00B119C6" w:rsidRPr="00AA1DF1" w:rsidRDefault="00B119C6" w:rsidP="00C4000B">
      <w:pPr>
        <w:jc w:val="both"/>
        <w:rPr>
          <w:rFonts w:asciiTheme="minorHAnsi" w:eastAsia="Calibri" w:hAnsiTheme="minorHAnsi" w:cstheme="minorHAnsi"/>
          <w:szCs w:val="24"/>
        </w:rPr>
      </w:pPr>
      <w:r w:rsidRPr="00AA1DF1">
        <w:rPr>
          <w:szCs w:val="24"/>
        </w:rPr>
        <w:t>4</w:t>
      </w:r>
      <w:r w:rsidRPr="00AA1DF1">
        <w:rPr>
          <w:szCs w:val="24"/>
        </w:rPr>
        <w:tab/>
        <w:t>de faciliter la collaboration entre les opérateurs de réseaux de Terre et les opérateurs de télécommunications/TIC spatiaux non terrestres, afin de tirer parti des technologies et des services de télécommunication/TIC nouveaux et émergents;</w:t>
      </w:r>
    </w:p>
    <w:p w14:paraId="03FA52ED" w14:textId="77777777" w:rsidR="00B119C6" w:rsidRPr="00AA1DF1" w:rsidRDefault="00B119C6" w:rsidP="00C4000B">
      <w:pPr>
        <w:jc w:val="both"/>
        <w:rPr>
          <w:rFonts w:asciiTheme="minorHAnsi" w:eastAsia="Calibri" w:hAnsiTheme="minorHAnsi" w:cstheme="minorHAnsi"/>
          <w:szCs w:val="24"/>
        </w:rPr>
      </w:pPr>
      <w:r w:rsidRPr="00AA1DF1">
        <w:rPr>
          <w:szCs w:val="24"/>
        </w:rPr>
        <w:t>5</w:t>
      </w:r>
      <w:r w:rsidRPr="00AA1DF1">
        <w:rPr>
          <w:szCs w:val="24"/>
        </w:rPr>
        <w:tab/>
        <w:t>de renforcer les cadres politiques et réglementaires en vue du développement et du déploiement des réseaux et services de télécommunication/TIC spatiaux,</w:t>
      </w:r>
    </w:p>
    <w:p w14:paraId="354C076B" w14:textId="77777777" w:rsidR="00B119C6" w:rsidRPr="00AA1DF1" w:rsidRDefault="00B119C6" w:rsidP="00434918">
      <w:pPr>
        <w:pStyle w:val="Call"/>
      </w:pPr>
      <w:r w:rsidRPr="00AA1DF1">
        <w:t>invite la Secrétaire générale, en collaboration étroite avec le Directeur du Bureau des radiocommunications et le Directeur du Bureau de développement des télécommunications</w:t>
      </w:r>
    </w:p>
    <w:p w14:paraId="40C56BFD" w14:textId="77777777" w:rsidR="00B119C6" w:rsidRPr="00AA1DF1" w:rsidRDefault="00B119C6" w:rsidP="00C4000B">
      <w:pPr>
        <w:jc w:val="both"/>
        <w:rPr>
          <w:rFonts w:asciiTheme="minorHAnsi" w:eastAsia="Calibri" w:hAnsiTheme="minorHAnsi" w:cstheme="minorHAnsi"/>
          <w:szCs w:val="24"/>
        </w:rPr>
      </w:pPr>
      <w:r w:rsidRPr="00AA1DF1">
        <w:rPr>
          <w:szCs w:val="24"/>
        </w:rPr>
        <w:t>1</w:t>
      </w:r>
      <w:r w:rsidRPr="00AA1DF1">
        <w:rPr>
          <w:szCs w:val="24"/>
        </w:rPr>
        <w:tab/>
        <w:t>à continuer de faciliter et d'intensifier les efforts déployés par l'UIT pour promouvoir l'accès aux réseaux et services de télécommunication/TIC spatiaux, dans le cadre des efforts déployés plus largement par l'UIT pour assurer une connectivité universelle et efficace et l'utilisation durable par le secteur des télécommunications/TIC des ressources de connectivité dans l'espace extra</w:t>
      </w:r>
      <w:r w:rsidRPr="00AA1DF1">
        <w:rPr>
          <w:szCs w:val="24"/>
        </w:rPr>
        <w:noBreakHyphen/>
        <w:t>atmosphérique, telles que le spectre des fréquences radioélectriques et les orbites associées;</w:t>
      </w:r>
    </w:p>
    <w:p w14:paraId="70CC93C3" w14:textId="77777777" w:rsidR="00B119C6" w:rsidRDefault="00B119C6" w:rsidP="00C4000B">
      <w:pPr>
        <w:jc w:val="both"/>
        <w:rPr>
          <w:szCs w:val="24"/>
        </w:rPr>
      </w:pPr>
      <w:r w:rsidRPr="00AA1DF1">
        <w:rPr>
          <w:szCs w:val="24"/>
        </w:rPr>
        <w:t>2</w:t>
      </w:r>
      <w:r w:rsidRPr="00AA1DF1">
        <w:rPr>
          <w:szCs w:val="24"/>
        </w:rPr>
        <w:tab/>
        <w:t>à continuer d'aider les régulateurs et les décideurs politiques en renforçant leurs capacités grâce à la mise au point d'outils et de ressources, notamment des études de cas illustrant les bonnes pratiques actuelles en matière de télécommunications/TIC spatiales.</w:t>
      </w:r>
    </w:p>
    <w:p w14:paraId="2AB83B54" w14:textId="77777777" w:rsidR="00C4000B" w:rsidRPr="00AA1DF1" w:rsidRDefault="00C4000B" w:rsidP="00C4000B">
      <w:pPr>
        <w:jc w:val="both"/>
        <w:rPr>
          <w:rFonts w:asciiTheme="minorHAnsi" w:eastAsia="Calibri" w:hAnsiTheme="minorHAnsi" w:cstheme="minorHAnsi"/>
          <w:szCs w:val="24"/>
        </w:rPr>
      </w:pPr>
    </w:p>
    <w:p w14:paraId="6C4F1F56" w14:textId="48B255E8" w:rsidR="00495100" w:rsidRPr="00AA1DF1" w:rsidRDefault="00B119C6" w:rsidP="00F733CF">
      <w:pPr>
        <w:jc w:val="center"/>
      </w:pPr>
      <w:r w:rsidRPr="00AA1DF1">
        <w:t>______________</w:t>
      </w:r>
      <w:bookmarkEnd w:id="3"/>
    </w:p>
    <w:sectPr w:rsidR="00495100" w:rsidRPr="00AA1DF1" w:rsidSect="003A0B7D">
      <w:headerReference w:type="default" r:id="rId10"/>
      <w:footerReference w:type="first" r:id="rId11"/>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4D">
      <wne:macro wne:macroName="TEMPLATEPROJECT.MACROS.POOLSETREASONS"/>
    </wne:keymap>
    <wne:keymap wne:kcmPrimary="0350">
      <wne:macro wne:macroName="TEMPLATEPROJECT.MACROS.POOLPVSTYLES"/>
    </wne:keymap>
    <wne:keymap wne:kcmPrimary="0353">
      <wne:acd wne:acdName="acd1"/>
    </wne:keymap>
  </wne:keymaps>
  <wne:toolbars>
    <wne:acdManifest>
      <wne:acdEntry wne:acdName="acd0"/>
      <wne:acdEntry wne:acdName="acd1"/>
    </wne:acdManifest>
    <wne:toolbarData r:id="rId1"/>
  </wne:toolbars>
  <wne:acds>
    <wne:acd wne:acdName="acd0" wne:fciIndexBasedOn="0065"/>
    <wne:acd wne:argValue="AgBOAG8AcgBtAGEAbAAgAHAAdg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CD91E" w14:textId="77777777" w:rsidR="00E53BB0" w:rsidRDefault="00E53BB0">
      <w:r>
        <w:separator/>
      </w:r>
    </w:p>
  </w:endnote>
  <w:endnote w:type="continuationSeparator" w:id="0">
    <w:p w14:paraId="01EC657C" w14:textId="77777777" w:rsidR="00E53BB0" w:rsidRDefault="00E53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7C66" w14:textId="5A968863" w:rsidR="000C467B" w:rsidRPr="00490624" w:rsidRDefault="00490624" w:rsidP="0049062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Pr>
          <w:rStyle w:val="Hyperlink"/>
          <w:color w:val="00A3E0"/>
          <w:sz w:val="22"/>
          <w:szCs w:val="22"/>
          <w:lang w:val="en-GB"/>
        </w:rPr>
        <w:t>www.itu.int</w:t>
      </w:r>
      <w:proofErr w:type="spellEnd"/>
      <w:r>
        <w:rPr>
          <w:rStyle w:val="Hyperlink"/>
          <w:color w:val="00A3E0"/>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D23D4" w14:textId="77777777" w:rsidR="00E53BB0" w:rsidRDefault="00E53BB0">
      <w:r>
        <w:t>____________________</w:t>
      </w:r>
    </w:p>
  </w:footnote>
  <w:footnote w:type="continuationSeparator" w:id="0">
    <w:p w14:paraId="47C807CB" w14:textId="77777777" w:rsidR="00E53BB0" w:rsidRDefault="00E53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8FD2" w14:textId="034A30EA" w:rsidR="00BD1614" w:rsidRPr="00490624" w:rsidRDefault="00490624" w:rsidP="002E51C4">
    <w:pPr>
      <w:pStyle w:val="Head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211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AC56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9018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643C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468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632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2E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2667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4830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2C15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9185468">
    <w:abstractNumId w:val="9"/>
  </w:num>
  <w:num w:numId="2" w16cid:durableId="561982136">
    <w:abstractNumId w:val="7"/>
  </w:num>
  <w:num w:numId="3" w16cid:durableId="176162411">
    <w:abstractNumId w:val="6"/>
  </w:num>
  <w:num w:numId="4" w16cid:durableId="882715593">
    <w:abstractNumId w:val="5"/>
  </w:num>
  <w:num w:numId="5" w16cid:durableId="2112818297">
    <w:abstractNumId w:val="4"/>
  </w:num>
  <w:num w:numId="6" w16cid:durableId="702250250">
    <w:abstractNumId w:val="8"/>
  </w:num>
  <w:num w:numId="7" w16cid:durableId="821114846">
    <w:abstractNumId w:val="3"/>
  </w:num>
  <w:num w:numId="8" w16cid:durableId="1197349219">
    <w:abstractNumId w:val="2"/>
  </w:num>
  <w:num w:numId="9" w16cid:durableId="1541825188">
    <w:abstractNumId w:val="1"/>
  </w:num>
  <w:num w:numId="10" w16cid:durableId="749541679">
    <w:abstractNumId w:val="0"/>
  </w:num>
  <w:num w:numId="11" w16cid:durableId="511993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D5E"/>
    <w:rsid w:val="000054D8"/>
    <w:rsid w:val="00055C50"/>
    <w:rsid w:val="00060D74"/>
    <w:rsid w:val="00072D5C"/>
    <w:rsid w:val="0008398C"/>
    <w:rsid w:val="00084308"/>
    <w:rsid w:val="000B14B6"/>
    <w:rsid w:val="000C467B"/>
    <w:rsid w:val="000D15FB"/>
    <w:rsid w:val="000F58F7"/>
    <w:rsid w:val="001051E4"/>
    <w:rsid w:val="001354EA"/>
    <w:rsid w:val="00136FCE"/>
    <w:rsid w:val="00153BA4"/>
    <w:rsid w:val="001941AD"/>
    <w:rsid w:val="0019732C"/>
    <w:rsid w:val="001A0682"/>
    <w:rsid w:val="001B4D8D"/>
    <w:rsid w:val="001C3790"/>
    <w:rsid w:val="001D31B2"/>
    <w:rsid w:val="001D4439"/>
    <w:rsid w:val="001D4F2C"/>
    <w:rsid w:val="001E1B9B"/>
    <w:rsid w:val="001E2226"/>
    <w:rsid w:val="001F0B24"/>
    <w:rsid w:val="001F6233"/>
    <w:rsid w:val="00230D1A"/>
    <w:rsid w:val="002355CD"/>
    <w:rsid w:val="0025067F"/>
    <w:rsid w:val="00252A40"/>
    <w:rsid w:val="00270B2F"/>
    <w:rsid w:val="002712F9"/>
    <w:rsid w:val="002A06C7"/>
    <w:rsid w:val="002A0E1B"/>
    <w:rsid w:val="002A7A1D"/>
    <w:rsid w:val="002C1059"/>
    <w:rsid w:val="002C2F9C"/>
    <w:rsid w:val="002D5B95"/>
    <w:rsid w:val="002E1AF7"/>
    <w:rsid w:val="002E51C4"/>
    <w:rsid w:val="002F40AF"/>
    <w:rsid w:val="00304DFD"/>
    <w:rsid w:val="00322DEA"/>
    <w:rsid w:val="00355FBD"/>
    <w:rsid w:val="00371863"/>
    <w:rsid w:val="00381461"/>
    <w:rsid w:val="00391C12"/>
    <w:rsid w:val="003A0B7D"/>
    <w:rsid w:val="003A45C2"/>
    <w:rsid w:val="003B1823"/>
    <w:rsid w:val="003B7A11"/>
    <w:rsid w:val="003C4BE2"/>
    <w:rsid w:val="003D147D"/>
    <w:rsid w:val="003D637A"/>
    <w:rsid w:val="00413CB9"/>
    <w:rsid w:val="00430015"/>
    <w:rsid w:val="00434918"/>
    <w:rsid w:val="004678D0"/>
    <w:rsid w:val="00482954"/>
    <w:rsid w:val="00490624"/>
    <w:rsid w:val="00495100"/>
    <w:rsid w:val="004951C0"/>
    <w:rsid w:val="004C7646"/>
    <w:rsid w:val="004D15DE"/>
    <w:rsid w:val="004E74AB"/>
    <w:rsid w:val="005056AF"/>
    <w:rsid w:val="0051199F"/>
    <w:rsid w:val="0051405B"/>
    <w:rsid w:val="00524001"/>
    <w:rsid w:val="00563698"/>
    <w:rsid w:val="00564B63"/>
    <w:rsid w:val="00575858"/>
    <w:rsid w:val="00575DC7"/>
    <w:rsid w:val="005836C2"/>
    <w:rsid w:val="005A05BD"/>
    <w:rsid w:val="005A4EFD"/>
    <w:rsid w:val="005A5ABE"/>
    <w:rsid w:val="005C2ECC"/>
    <w:rsid w:val="005C6744"/>
    <w:rsid w:val="005E419E"/>
    <w:rsid w:val="005F63BD"/>
    <w:rsid w:val="00611CF1"/>
    <w:rsid w:val="006201D9"/>
    <w:rsid w:val="006277DB"/>
    <w:rsid w:val="00635B7B"/>
    <w:rsid w:val="00655B98"/>
    <w:rsid w:val="006710E6"/>
    <w:rsid w:val="00686973"/>
    <w:rsid w:val="00696B2D"/>
    <w:rsid w:val="006A2656"/>
    <w:rsid w:val="006A3475"/>
    <w:rsid w:val="006A6342"/>
    <w:rsid w:val="006B6C9C"/>
    <w:rsid w:val="006C7AE3"/>
    <w:rsid w:val="006D55E8"/>
    <w:rsid w:val="006E1921"/>
    <w:rsid w:val="006F36F9"/>
    <w:rsid w:val="0070576B"/>
    <w:rsid w:val="00713335"/>
    <w:rsid w:val="00717FAC"/>
    <w:rsid w:val="00727C2F"/>
    <w:rsid w:val="00735F13"/>
    <w:rsid w:val="007575CC"/>
    <w:rsid w:val="007717F2"/>
    <w:rsid w:val="00772E3B"/>
    <w:rsid w:val="0078134C"/>
    <w:rsid w:val="007A3E96"/>
    <w:rsid w:val="007A47E9"/>
    <w:rsid w:val="007A5830"/>
    <w:rsid w:val="007D21FB"/>
    <w:rsid w:val="00801154"/>
    <w:rsid w:val="00801256"/>
    <w:rsid w:val="008264FC"/>
    <w:rsid w:val="008407A7"/>
    <w:rsid w:val="008703CB"/>
    <w:rsid w:val="00883883"/>
    <w:rsid w:val="008B61AF"/>
    <w:rsid w:val="008C33C2"/>
    <w:rsid w:val="008C6137"/>
    <w:rsid w:val="008E2DB4"/>
    <w:rsid w:val="00901DD5"/>
    <w:rsid w:val="00901E77"/>
    <w:rsid w:val="0090735B"/>
    <w:rsid w:val="00912D57"/>
    <w:rsid w:val="00912D5E"/>
    <w:rsid w:val="00934340"/>
    <w:rsid w:val="00955620"/>
    <w:rsid w:val="00956DC7"/>
    <w:rsid w:val="00966CD3"/>
    <w:rsid w:val="00987A20"/>
    <w:rsid w:val="0099381A"/>
    <w:rsid w:val="009A0E15"/>
    <w:rsid w:val="009C3BA8"/>
    <w:rsid w:val="009D4037"/>
    <w:rsid w:val="009F0592"/>
    <w:rsid w:val="00A20E72"/>
    <w:rsid w:val="00A246DC"/>
    <w:rsid w:val="00A47BAF"/>
    <w:rsid w:val="00A542D3"/>
    <w:rsid w:val="00A5784F"/>
    <w:rsid w:val="00A615EC"/>
    <w:rsid w:val="00A8436E"/>
    <w:rsid w:val="00A9309B"/>
    <w:rsid w:val="00A95B66"/>
    <w:rsid w:val="00AA1DF1"/>
    <w:rsid w:val="00AB190D"/>
    <w:rsid w:val="00AC20C8"/>
    <w:rsid w:val="00AE0667"/>
    <w:rsid w:val="00B119C6"/>
    <w:rsid w:val="00B23CD4"/>
    <w:rsid w:val="00B41E0A"/>
    <w:rsid w:val="00B56DE0"/>
    <w:rsid w:val="00B71F12"/>
    <w:rsid w:val="00B76FEC"/>
    <w:rsid w:val="00B96B1E"/>
    <w:rsid w:val="00BB2A6F"/>
    <w:rsid w:val="00BD1614"/>
    <w:rsid w:val="00BD382C"/>
    <w:rsid w:val="00BD5C12"/>
    <w:rsid w:val="00BD5DA6"/>
    <w:rsid w:val="00BF7D25"/>
    <w:rsid w:val="00C00850"/>
    <w:rsid w:val="00C010C0"/>
    <w:rsid w:val="00C0405F"/>
    <w:rsid w:val="00C209C0"/>
    <w:rsid w:val="00C349E1"/>
    <w:rsid w:val="00C4000B"/>
    <w:rsid w:val="00C40CB5"/>
    <w:rsid w:val="00C54CE6"/>
    <w:rsid w:val="00C550C5"/>
    <w:rsid w:val="00C575E2"/>
    <w:rsid w:val="00C7368B"/>
    <w:rsid w:val="00C92746"/>
    <w:rsid w:val="00CC4DC5"/>
    <w:rsid w:val="00CE1A3A"/>
    <w:rsid w:val="00CE1A7C"/>
    <w:rsid w:val="00CE496F"/>
    <w:rsid w:val="00D0464B"/>
    <w:rsid w:val="00D12C74"/>
    <w:rsid w:val="00D17A8C"/>
    <w:rsid w:val="00D2263F"/>
    <w:rsid w:val="00D56483"/>
    <w:rsid w:val="00D5658F"/>
    <w:rsid w:val="00D56AD6"/>
    <w:rsid w:val="00D57B4D"/>
    <w:rsid w:val="00D70019"/>
    <w:rsid w:val="00D714FC"/>
    <w:rsid w:val="00D74B58"/>
    <w:rsid w:val="00D82ABE"/>
    <w:rsid w:val="00DA4ABA"/>
    <w:rsid w:val="00DA685B"/>
    <w:rsid w:val="00DA742B"/>
    <w:rsid w:val="00DF25C1"/>
    <w:rsid w:val="00DF48F7"/>
    <w:rsid w:val="00DF4964"/>
    <w:rsid w:val="00DF4D73"/>
    <w:rsid w:val="00DF79B0"/>
    <w:rsid w:val="00E1047D"/>
    <w:rsid w:val="00E4050B"/>
    <w:rsid w:val="00E443FA"/>
    <w:rsid w:val="00E53BB0"/>
    <w:rsid w:val="00E54FCE"/>
    <w:rsid w:val="00E60DA1"/>
    <w:rsid w:val="00E921A2"/>
    <w:rsid w:val="00E93D35"/>
    <w:rsid w:val="00EA45DB"/>
    <w:rsid w:val="00EC1877"/>
    <w:rsid w:val="00ED2CD9"/>
    <w:rsid w:val="00EE6F24"/>
    <w:rsid w:val="00F07DA7"/>
    <w:rsid w:val="00F10D82"/>
    <w:rsid w:val="00F23453"/>
    <w:rsid w:val="00F3254F"/>
    <w:rsid w:val="00F43C55"/>
    <w:rsid w:val="00F564C1"/>
    <w:rsid w:val="00F62996"/>
    <w:rsid w:val="00F63FB7"/>
    <w:rsid w:val="00F733CF"/>
    <w:rsid w:val="00F77FA2"/>
    <w:rsid w:val="00F8357A"/>
    <w:rsid w:val="00F912F0"/>
    <w:rsid w:val="00F94D05"/>
    <w:rsid w:val="00FA1B77"/>
    <w:rsid w:val="00FB4B65"/>
    <w:rsid w:val="00FB74B8"/>
    <w:rsid w:val="00FC49E0"/>
    <w:rsid w:val="00FF0484"/>
    <w:rsid w:val="00FF4E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7E724"/>
  <w15:docId w15:val="{F7996034-3CD0-499A-8D2F-018CE164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0E6"/>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5A4EFD"/>
    <w:pPr>
      <w:keepNext/>
      <w:keepLines/>
      <w:spacing w:before="480"/>
      <w:ind w:left="567" w:hanging="567"/>
      <w:outlineLvl w:val="0"/>
    </w:pPr>
    <w:rPr>
      <w:b/>
      <w:sz w:val="28"/>
    </w:rPr>
  </w:style>
  <w:style w:type="paragraph" w:styleId="Heading2">
    <w:name w:val="heading 2"/>
    <w:basedOn w:val="Heading1"/>
    <w:next w:val="Normal"/>
    <w:qFormat/>
    <w:rsid w:val="00686973"/>
    <w:pPr>
      <w:spacing w:before="320"/>
      <w:outlineLvl w:val="1"/>
    </w:pPr>
    <w:rPr>
      <w:sz w:val="24"/>
    </w:rPr>
  </w:style>
  <w:style w:type="paragraph" w:styleId="Heading3">
    <w:name w:val="heading 3"/>
    <w:basedOn w:val="Heading1"/>
    <w:next w:val="Normal"/>
    <w:qFormat/>
    <w:rsid w:val="00686973"/>
    <w:pPr>
      <w:spacing w:before="200"/>
      <w:outlineLvl w:val="2"/>
    </w:pPr>
    <w:rPr>
      <w:sz w:val="24"/>
    </w:rPr>
  </w:style>
  <w:style w:type="paragraph" w:styleId="Heading4">
    <w:name w:val="heading 4"/>
    <w:basedOn w:val="Heading3"/>
    <w:next w:val="Normal"/>
    <w:qFormat/>
    <w:rsid w:val="003A0B7D"/>
    <w:pPr>
      <w:ind w:left="1134" w:hanging="1134"/>
      <w:outlineLvl w:val="3"/>
    </w:pPr>
  </w:style>
  <w:style w:type="paragraph" w:styleId="Heading5">
    <w:name w:val="heading 5"/>
    <w:basedOn w:val="Heading4"/>
    <w:next w:val="Normal"/>
    <w:qFormat/>
    <w:rsid w:val="003A0B7D"/>
    <w:pPr>
      <w:outlineLvl w:val="4"/>
    </w:pPr>
  </w:style>
  <w:style w:type="paragraph" w:styleId="Heading6">
    <w:name w:val="heading 6"/>
    <w:basedOn w:val="Heading4"/>
    <w:next w:val="Normal"/>
    <w:qFormat/>
    <w:rsid w:val="003A0B7D"/>
    <w:pPr>
      <w:outlineLvl w:val="5"/>
    </w:pPr>
  </w:style>
  <w:style w:type="paragraph" w:styleId="Heading7">
    <w:name w:val="heading 7"/>
    <w:basedOn w:val="Heading4"/>
    <w:next w:val="Normal"/>
    <w:qFormat/>
    <w:rsid w:val="003A0B7D"/>
    <w:pPr>
      <w:ind w:left="1701" w:hanging="1701"/>
      <w:outlineLvl w:val="6"/>
    </w:pPr>
  </w:style>
  <w:style w:type="paragraph" w:styleId="Heading8">
    <w:name w:val="heading 8"/>
    <w:basedOn w:val="Heading4"/>
    <w:next w:val="Normal"/>
    <w:qFormat/>
    <w:rsid w:val="003A0B7D"/>
    <w:pPr>
      <w:ind w:left="1701" w:hanging="1701"/>
      <w:outlineLvl w:val="7"/>
    </w:pPr>
  </w:style>
  <w:style w:type="paragraph" w:styleId="Heading9">
    <w:name w:val="heading 9"/>
    <w:basedOn w:val="Heading4"/>
    <w:next w:val="Normal"/>
    <w:qFormat/>
    <w:rsid w:val="003A0B7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3A0B7D"/>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3A0B7D"/>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Date">
    <w:name w:val="Date"/>
    <w:basedOn w:val="Normal"/>
    <w:rsid w:val="003A0B7D"/>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styleId="Footer">
    <w:name w:val="footer"/>
    <w:basedOn w:val="Normal"/>
    <w:rsid w:val="003A0B7D"/>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3A0B7D"/>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5A4EFD"/>
    <w:rPr>
      <w:rFonts w:ascii="Calibri" w:hAnsi="Calibri"/>
      <w:position w:val="6"/>
      <w:sz w:val="16"/>
    </w:rPr>
  </w:style>
  <w:style w:type="paragraph" w:styleId="FootnoteText">
    <w:name w:val="footnote text"/>
    <w:basedOn w:val="Normal"/>
    <w:rsid w:val="003A0B7D"/>
    <w:pPr>
      <w:keepLines/>
      <w:tabs>
        <w:tab w:val="left" w:pos="256"/>
      </w:tabs>
      <w:ind w:left="256" w:hanging="256"/>
    </w:pPr>
  </w:style>
  <w:style w:type="paragraph" w:styleId="NormalIndent">
    <w:name w:val="Normal Indent"/>
    <w:basedOn w:val="Normal"/>
    <w:rsid w:val="003A0B7D"/>
    <w:pPr>
      <w:ind w:left="567"/>
    </w:pPr>
  </w:style>
  <w:style w:type="paragraph" w:customStyle="1" w:styleId="Tablelegend">
    <w:name w:val="Table_legend"/>
    <w:basedOn w:val="Tabletext"/>
    <w:rsid w:val="003A0B7D"/>
    <w:pPr>
      <w:spacing w:before="120"/>
    </w:pPr>
  </w:style>
  <w:style w:type="paragraph" w:customStyle="1" w:styleId="Tabletext">
    <w:name w:val="Table_text"/>
    <w:basedOn w:val="Normal"/>
    <w:rsid w:val="003A0B7D"/>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3A0B7D"/>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3A0B7D"/>
    <w:pPr>
      <w:keepNext/>
      <w:spacing w:before="560" w:after="120"/>
      <w:jc w:val="center"/>
    </w:pPr>
    <w:rPr>
      <w:caps/>
    </w:rPr>
  </w:style>
  <w:style w:type="paragraph" w:customStyle="1" w:styleId="enumlev1">
    <w:name w:val="enumlev1"/>
    <w:basedOn w:val="Normal"/>
    <w:rsid w:val="003A0B7D"/>
    <w:pPr>
      <w:spacing w:before="86"/>
      <w:ind w:left="567" w:hanging="567"/>
    </w:pPr>
  </w:style>
  <w:style w:type="paragraph" w:customStyle="1" w:styleId="enumlev2">
    <w:name w:val="enumlev2"/>
    <w:basedOn w:val="enumlev1"/>
    <w:rsid w:val="003A0B7D"/>
    <w:pPr>
      <w:ind w:left="1134"/>
    </w:pPr>
  </w:style>
  <w:style w:type="paragraph" w:customStyle="1" w:styleId="enumlev3">
    <w:name w:val="enumlev3"/>
    <w:basedOn w:val="enumlev2"/>
    <w:rsid w:val="003A0B7D"/>
    <w:pPr>
      <w:ind w:left="1701"/>
    </w:pPr>
  </w:style>
  <w:style w:type="paragraph" w:customStyle="1" w:styleId="Tablehead">
    <w:name w:val="Table_head"/>
    <w:basedOn w:val="Tabletext"/>
    <w:rsid w:val="003A0B7D"/>
    <w:pPr>
      <w:spacing w:before="120" w:after="120"/>
      <w:jc w:val="center"/>
    </w:pPr>
    <w:rPr>
      <w:b/>
    </w:rPr>
  </w:style>
  <w:style w:type="paragraph" w:customStyle="1" w:styleId="Normalaftertitle">
    <w:name w:val="Normal after title"/>
    <w:basedOn w:val="Normal"/>
    <w:next w:val="Normal"/>
    <w:rsid w:val="003A0B7D"/>
    <w:pPr>
      <w:spacing w:before="240"/>
    </w:pPr>
  </w:style>
  <w:style w:type="paragraph" w:customStyle="1" w:styleId="AnnexNo">
    <w:name w:val="Annex_No"/>
    <w:basedOn w:val="Normal"/>
    <w:next w:val="Annexref"/>
    <w:rsid w:val="00686973"/>
    <w:pPr>
      <w:spacing w:before="720"/>
      <w:jc w:val="center"/>
    </w:pPr>
    <w:rPr>
      <w:caps/>
      <w:sz w:val="28"/>
    </w:rPr>
  </w:style>
  <w:style w:type="paragraph" w:customStyle="1" w:styleId="Annexref">
    <w:name w:val="Annex_ref"/>
    <w:basedOn w:val="Normal"/>
    <w:next w:val="Annextitle"/>
    <w:rsid w:val="00686973"/>
    <w:pPr>
      <w:jc w:val="center"/>
    </w:pPr>
    <w:rPr>
      <w:sz w:val="28"/>
    </w:rPr>
  </w:style>
  <w:style w:type="paragraph" w:customStyle="1" w:styleId="Annextitle">
    <w:name w:val="Annex_title"/>
    <w:basedOn w:val="Normal"/>
    <w:next w:val="Normal"/>
    <w:rsid w:val="00686973"/>
    <w:pPr>
      <w:spacing w:before="240" w:after="240"/>
      <w:jc w:val="center"/>
    </w:pPr>
    <w:rPr>
      <w:b/>
      <w:sz w:val="28"/>
    </w:rPr>
  </w:style>
  <w:style w:type="paragraph" w:customStyle="1" w:styleId="AppendixNo">
    <w:name w:val="Appendix_No"/>
    <w:basedOn w:val="AnnexNo"/>
    <w:next w:val="Appendixref"/>
    <w:rsid w:val="00686973"/>
  </w:style>
  <w:style w:type="paragraph" w:customStyle="1" w:styleId="Appendixref">
    <w:name w:val="Appendix_ref"/>
    <w:basedOn w:val="Annexref"/>
    <w:next w:val="Appendixtitle"/>
    <w:rsid w:val="003A0B7D"/>
  </w:style>
  <w:style w:type="paragraph" w:customStyle="1" w:styleId="Appendixtitle">
    <w:name w:val="Appendix_title"/>
    <w:basedOn w:val="Annextitle"/>
    <w:next w:val="Normal"/>
    <w:rsid w:val="003A0B7D"/>
  </w:style>
  <w:style w:type="paragraph" w:customStyle="1" w:styleId="Reftitle">
    <w:name w:val="Ref_title"/>
    <w:basedOn w:val="Normal"/>
    <w:next w:val="Reftext"/>
    <w:rsid w:val="00686973"/>
    <w:pPr>
      <w:spacing w:before="480"/>
      <w:jc w:val="center"/>
    </w:pPr>
    <w:rPr>
      <w:caps/>
      <w:sz w:val="28"/>
    </w:rPr>
  </w:style>
  <w:style w:type="paragraph" w:customStyle="1" w:styleId="Reftext">
    <w:name w:val="Ref_text"/>
    <w:basedOn w:val="Normal"/>
    <w:rsid w:val="003A0B7D"/>
    <w:pPr>
      <w:ind w:left="567" w:hanging="567"/>
    </w:pPr>
  </w:style>
  <w:style w:type="paragraph" w:customStyle="1" w:styleId="Rectitle">
    <w:name w:val="Rec_title"/>
    <w:basedOn w:val="Normal"/>
    <w:next w:val="Heading1"/>
    <w:rsid w:val="005A4EFD"/>
    <w:pPr>
      <w:spacing w:before="240"/>
      <w:jc w:val="center"/>
    </w:pPr>
    <w:rPr>
      <w:b/>
      <w:sz w:val="28"/>
    </w:rPr>
  </w:style>
  <w:style w:type="paragraph" w:customStyle="1" w:styleId="Call">
    <w:name w:val="Call"/>
    <w:basedOn w:val="Normal"/>
    <w:next w:val="Normal"/>
    <w:rsid w:val="003A0B7D"/>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686973"/>
    <w:pPr>
      <w:spacing w:before="720"/>
      <w:jc w:val="center"/>
    </w:pPr>
    <w:rPr>
      <w:caps/>
      <w:sz w:val="28"/>
    </w:rPr>
  </w:style>
  <w:style w:type="paragraph" w:customStyle="1" w:styleId="toc0">
    <w:name w:val="toc 0"/>
    <w:basedOn w:val="Normal"/>
    <w:next w:val="TOC1"/>
    <w:rsid w:val="003A0B7D"/>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686973"/>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3A0B7D"/>
    <w:pPr>
      <w:tabs>
        <w:tab w:val="clear" w:pos="567"/>
        <w:tab w:val="left" w:pos="851"/>
      </w:tabs>
    </w:pPr>
  </w:style>
  <w:style w:type="paragraph" w:customStyle="1" w:styleId="MinusFootnote">
    <w:name w:val="MinusFootnote"/>
    <w:basedOn w:val="Normal"/>
    <w:rsid w:val="003A0B7D"/>
    <w:pPr>
      <w:ind w:left="-1701" w:hanging="284"/>
    </w:pPr>
  </w:style>
  <w:style w:type="paragraph" w:customStyle="1" w:styleId="Title3">
    <w:name w:val="Title 3"/>
    <w:basedOn w:val="Title2"/>
    <w:next w:val="Normalaftertitle"/>
    <w:rsid w:val="003A0B7D"/>
    <w:rPr>
      <w:caps w:val="0"/>
    </w:rPr>
  </w:style>
  <w:style w:type="paragraph" w:customStyle="1" w:styleId="Title2">
    <w:name w:val="Title 2"/>
    <w:basedOn w:val="Source"/>
    <w:next w:val="Title3"/>
    <w:rsid w:val="003A0B7D"/>
    <w:pPr>
      <w:spacing w:before="240"/>
    </w:pPr>
    <w:rPr>
      <w:b w:val="0"/>
      <w:caps/>
    </w:rPr>
  </w:style>
  <w:style w:type="paragraph" w:customStyle="1" w:styleId="Source">
    <w:name w:val="Source"/>
    <w:basedOn w:val="Normal"/>
    <w:next w:val="Title1"/>
    <w:rsid w:val="00F564C1"/>
    <w:pPr>
      <w:spacing w:before="840"/>
      <w:jc w:val="center"/>
    </w:pPr>
    <w:rPr>
      <w:b/>
      <w:sz w:val="28"/>
    </w:rPr>
  </w:style>
  <w:style w:type="paragraph" w:customStyle="1" w:styleId="Title1">
    <w:name w:val="Title 1"/>
    <w:basedOn w:val="Source"/>
    <w:next w:val="Title2"/>
    <w:rsid w:val="003A0B7D"/>
    <w:pPr>
      <w:spacing w:before="240"/>
    </w:pPr>
    <w:rPr>
      <w:b w:val="0"/>
      <w:caps/>
    </w:rPr>
  </w:style>
  <w:style w:type="paragraph" w:customStyle="1" w:styleId="ArtNo">
    <w:name w:val="Art_No"/>
    <w:basedOn w:val="Normal"/>
    <w:next w:val="Arttitle"/>
    <w:rsid w:val="00686973"/>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686973"/>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3A0B7D"/>
  </w:style>
  <w:style w:type="paragraph" w:customStyle="1" w:styleId="Chaptitle">
    <w:name w:val="Chap_title"/>
    <w:basedOn w:val="Arttitle"/>
    <w:next w:val="Normal"/>
    <w:rsid w:val="003A0B7D"/>
  </w:style>
  <w:style w:type="paragraph" w:customStyle="1" w:styleId="Reasons">
    <w:name w:val="Reasons"/>
    <w:basedOn w:val="Normal"/>
    <w:rsid w:val="003A0B7D"/>
  </w:style>
  <w:style w:type="paragraph" w:customStyle="1" w:styleId="ResNo">
    <w:name w:val="Res_No"/>
    <w:basedOn w:val="AnnexNo"/>
    <w:next w:val="Restitle"/>
    <w:rsid w:val="003A0B7D"/>
  </w:style>
  <w:style w:type="paragraph" w:customStyle="1" w:styleId="Restitle">
    <w:name w:val="Res_title"/>
    <w:basedOn w:val="Annextitle"/>
    <w:next w:val="Normal"/>
    <w:rsid w:val="005A4EFD"/>
  </w:style>
  <w:style w:type="paragraph" w:customStyle="1" w:styleId="AnnexNoS2">
    <w:name w:val="Annex_No_S2"/>
    <w:basedOn w:val="AnnexNo"/>
    <w:next w:val="AnnexrefS2"/>
    <w:rsid w:val="00686973"/>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3A0B7D"/>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3A0B7D"/>
    <w:rPr>
      <w:caps w:val="0"/>
    </w:rPr>
  </w:style>
  <w:style w:type="paragraph" w:customStyle="1" w:styleId="Section2">
    <w:name w:val="Section 2"/>
    <w:basedOn w:val="Section1"/>
    <w:next w:val="Normal"/>
    <w:rsid w:val="003A0B7D"/>
    <w:pPr>
      <w:spacing w:before="240"/>
    </w:pPr>
    <w:rPr>
      <w:b/>
      <w:i/>
    </w:rPr>
  </w:style>
  <w:style w:type="paragraph" w:customStyle="1" w:styleId="AppendixNoS2">
    <w:name w:val="Appendix_No_S2"/>
    <w:basedOn w:val="AppendixNo"/>
    <w:next w:val="Appendixref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686973"/>
    <w:pPr>
      <w:tabs>
        <w:tab w:val="left" w:pos="851"/>
      </w:tabs>
      <w:jc w:val="left"/>
    </w:pPr>
    <w:rPr>
      <w:b/>
      <w:sz w:val="24"/>
    </w:rPr>
  </w:style>
  <w:style w:type="paragraph" w:customStyle="1" w:styleId="ArttitleS2">
    <w:name w:val="Art_title_S2"/>
    <w:basedOn w:val="Arttitle"/>
    <w:next w:val="NormalS2"/>
    <w:rsid w:val="00686973"/>
    <w:pPr>
      <w:tabs>
        <w:tab w:val="left" w:pos="851"/>
      </w:tabs>
      <w:jc w:val="left"/>
    </w:pPr>
    <w:rPr>
      <w:sz w:val="24"/>
    </w:rPr>
  </w:style>
  <w:style w:type="paragraph" w:customStyle="1" w:styleId="ChapNoS2">
    <w:name w:val="Chap_No_S2"/>
    <w:basedOn w:val="ChapNo"/>
    <w:next w:val="ChaptitleS2"/>
    <w:rsid w:val="005A4EFD"/>
    <w:pPr>
      <w:tabs>
        <w:tab w:val="left" w:pos="851"/>
      </w:tabs>
      <w:jc w:val="left"/>
    </w:pPr>
    <w:rPr>
      <w:b/>
      <w:sz w:val="24"/>
    </w:rPr>
  </w:style>
  <w:style w:type="paragraph" w:customStyle="1" w:styleId="ChaptitleS2">
    <w:name w:val="Chap_title_S2"/>
    <w:basedOn w:val="Chaptitle"/>
    <w:next w:val="NormalS2"/>
    <w:rsid w:val="00686973"/>
    <w:pPr>
      <w:tabs>
        <w:tab w:val="left" w:pos="851"/>
      </w:tabs>
      <w:jc w:val="left"/>
    </w:pPr>
    <w:rPr>
      <w:sz w:val="24"/>
    </w:rPr>
  </w:style>
  <w:style w:type="paragraph" w:customStyle="1" w:styleId="enumlev1S2">
    <w:name w:val="enumlev1_S2"/>
    <w:basedOn w:val="enumlev1"/>
    <w:rsid w:val="003A0B7D"/>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3A0B7D"/>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3A0B7D"/>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3A0B7D"/>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686973"/>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3A0B7D"/>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3A0B7D"/>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3A0B7D"/>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3A0B7D"/>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3A0B7D"/>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3A0B7D"/>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3A0B7D"/>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3A0B7D"/>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3A0B7D"/>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3A0B7D"/>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3A0B7D"/>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686973"/>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3A0B7D"/>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686973"/>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686973"/>
    <w:pPr>
      <w:tabs>
        <w:tab w:val="left" w:pos="851"/>
      </w:tabs>
      <w:jc w:val="left"/>
    </w:pPr>
    <w:rPr>
      <w:caps/>
      <w:sz w:val="24"/>
    </w:rPr>
  </w:style>
  <w:style w:type="paragraph" w:customStyle="1" w:styleId="Section2S2">
    <w:name w:val="Section 2_S2"/>
    <w:basedOn w:val="Section2"/>
    <w:next w:val="NormalS2"/>
    <w:rsid w:val="005A4EFD"/>
    <w:pPr>
      <w:tabs>
        <w:tab w:val="left" w:pos="851"/>
      </w:tabs>
      <w:jc w:val="left"/>
    </w:pPr>
    <w:rPr>
      <w:sz w:val="24"/>
    </w:rPr>
  </w:style>
  <w:style w:type="paragraph" w:customStyle="1" w:styleId="TableNoS2">
    <w:name w:val="Table_No_S2"/>
    <w:basedOn w:val="TableNo"/>
    <w:next w:val="TabletitleS2"/>
    <w:rsid w:val="003A0B7D"/>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3A0B7D"/>
    <w:pPr>
      <w:keepNext w:val="0"/>
      <w:tabs>
        <w:tab w:val="clear" w:pos="2948"/>
        <w:tab w:val="clear" w:pos="4082"/>
        <w:tab w:val="left" w:pos="851"/>
      </w:tabs>
      <w:jc w:val="left"/>
    </w:pPr>
  </w:style>
  <w:style w:type="paragraph" w:customStyle="1" w:styleId="TabletextS2">
    <w:name w:val="Table_text_S2"/>
    <w:basedOn w:val="Tabletext"/>
    <w:rsid w:val="003A0B7D"/>
    <w:pPr>
      <w:tabs>
        <w:tab w:val="left" w:pos="851"/>
      </w:tabs>
    </w:pPr>
    <w:rPr>
      <w:b/>
    </w:rPr>
  </w:style>
  <w:style w:type="paragraph" w:customStyle="1" w:styleId="TablelegendS2">
    <w:name w:val="Table_legend_S2"/>
    <w:basedOn w:val="Tablelegend"/>
    <w:rsid w:val="003A0B7D"/>
    <w:pPr>
      <w:tabs>
        <w:tab w:val="left" w:pos="851"/>
      </w:tabs>
      <w:spacing w:after="0"/>
    </w:pPr>
    <w:rPr>
      <w:b/>
    </w:rPr>
  </w:style>
  <w:style w:type="paragraph" w:customStyle="1" w:styleId="FooterS2">
    <w:name w:val="Footer_S2"/>
    <w:basedOn w:val="Footer"/>
    <w:rsid w:val="003A0B7D"/>
    <w:pPr>
      <w:tabs>
        <w:tab w:val="clear" w:pos="5954"/>
        <w:tab w:val="clear" w:pos="9639"/>
        <w:tab w:val="left" w:pos="3686"/>
        <w:tab w:val="right" w:pos="7655"/>
      </w:tabs>
      <w:ind w:left="-1985"/>
    </w:pPr>
  </w:style>
  <w:style w:type="paragraph" w:customStyle="1" w:styleId="HeaderS2">
    <w:name w:val="Header_S2"/>
    <w:basedOn w:val="Normal"/>
    <w:rsid w:val="003A0B7D"/>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3A0B7D"/>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3A0B7D"/>
    <w:pPr>
      <w:tabs>
        <w:tab w:val="left" w:pos="851"/>
      </w:tabs>
      <w:jc w:val="left"/>
    </w:pPr>
  </w:style>
  <w:style w:type="paragraph" w:customStyle="1" w:styleId="NoteS2">
    <w:name w:val="Note_S2"/>
    <w:basedOn w:val="Note"/>
    <w:rsid w:val="003A0B7D"/>
    <w:pPr>
      <w:tabs>
        <w:tab w:val="clear" w:pos="1134"/>
        <w:tab w:val="clear" w:pos="1701"/>
        <w:tab w:val="clear" w:pos="2268"/>
        <w:tab w:val="clear" w:pos="2835"/>
      </w:tabs>
    </w:pPr>
    <w:rPr>
      <w:b/>
    </w:rPr>
  </w:style>
  <w:style w:type="paragraph" w:customStyle="1" w:styleId="Heading1c">
    <w:name w:val="Heading 1c"/>
    <w:basedOn w:val="Heading1"/>
    <w:next w:val="Normal"/>
    <w:rsid w:val="00CC4DC5"/>
    <w:pPr>
      <w:ind w:left="0" w:firstLine="0"/>
      <w:jc w:val="center"/>
      <w:outlineLvl w:val="9"/>
    </w:pPr>
  </w:style>
  <w:style w:type="paragraph" w:customStyle="1" w:styleId="Heading2i">
    <w:name w:val="Heading 2i"/>
    <w:basedOn w:val="Heading2"/>
    <w:next w:val="Normal"/>
    <w:rsid w:val="005A4EFD"/>
    <w:rPr>
      <w:b w:val="0"/>
      <w:i/>
    </w:rPr>
  </w:style>
  <w:style w:type="paragraph" w:customStyle="1" w:styleId="Heading1cS2">
    <w:name w:val="Heading 1c_S2"/>
    <w:basedOn w:val="Heading1c"/>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FirstFooter">
    <w:name w:val="FirstFooter"/>
    <w:basedOn w:val="Footer"/>
    <w:rsid w:val="003A0B7D"/>
    <w:rPr>
      <w:caps w:val="0"/>
    </w:rPr>
  </w:style>
  <w:style w:type="paragraph" w:customStyle="1" w:styleId="Headingb">
    <w:name w:val="Heading_b"/>
    <w:basedOn w:val="Heading3"/>
    <w:next w:val="Normal"/>
    <w:rsid w:val="003A0B7D"/>
    <w:pPr>
      <w:spacing w:before="160"/>
      <w:outlineLvl w:val="0"/>
    </w:pPr>
  </w:style>
  <w:style w:type="paragraph" w:styleId="TOC9">
    <w:name w:val="toc 9"/>
    <w:basedOn w:val="Normal"/>
    <w:next w:val="Normal"/>
    <w:rsid w:val="003A0B7D"/>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5A4EFD"/>
    <w:pPr>
      <w:spacing w:before="160"/>
      <w:outlineLvl w:val="0"/>
    </w:pPr>
    <w:rPr>
      <w:b w:val="0"/>
      <w:i/>
    </w:rPr>
  </w:style>
  <w:style w:type="paragraph" w:customStyle="1" w:styleId="HeadingbS2">
    <w:name w:val="Headingb_S2"/>
    <w:basedOn w:val="Headingb"/>
    <w:next w:val="NormalS2"/>
    <w:rsid w:val="003A0B7D"/>
    <w:pPr>
      <w:tabs>
        <w:tab w:val="clear" w:pos="567"/>
        <w:tab w:val="clear" w:pos="1134"/>
        <w:tab w:val="clear" w:pos="1701"/>
        <w:tab w:val="clear" w:pos="2268"/>
        <w:tab w:val="clear" w:pos="2835"/>
        <w:tab w:val="left" w:pos="851"/>
      </w:tabs>
    </w:pPr>
  </w:style>
  <w:style w:type="paragraph" w:customStyle="1" w:styleId="HeadingiS2">
    <w:name w:val="Headingi_S2"/>
    <w:basedOn w:val="Headingi"/>
    <w:next w:val="NormalS2"/>
    <w:rsid w:val="003A0B7D"/>
    <w:pPr>
      <w:tabs>
        <w:tab w:val="clear" w:pos="567"/>
        <w:tab w:val="clear" w:pos="1134"/>
        <w:tab w:val="clear" w:pos="1701"/>
        <w:tab w:val="clear" w:pos="2268"/>
        <w:tab w:val="clear" w:pos="2835"/>
        <w:tab w:val="left" w:pos="851"/>
      </w:tabs>
    </w:pPr>
    <w:rPr>
      <w:b/>
      <w:i w:val="0"/>
    </w:rPr>
  </w:style>
  <w:style w:type="paragraph" w:customStyle="1" w:styleId="Heading2iS2">
    <w:name w:val="Heading 2i_S2"/>
    <w:basedOn w:val="Heading2i"/>
    <w:next w:val="NormalS2"/>
    <w:rsid w:val="003A0B7D"/>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5A4EFD"/>
    <w:rPr>
      <w:rFonts w:ascii="Calibri" w:hAnsi="Calibri"/>
    </w:rPr>
  </w:style>
  <w:style w:type="character" w:styleId="Hyperlink">
    <w:name w:val="Hyperlink"/>
    <w:basedOn w:val="DefaultParagraphFont"/>
    <w:uiPriority w:val="99"/>
    <w:rsid w:val="00CC4DC5"/>
    <w:rPr>
      <w:rFonts w:ascii="Calibri" w:hAnsi="Calibri"/>
      <w:color w:val="0000FF"/>
      <w:u w:val="single"/>
    </w:rPr>
  </w:style>
  <w:style w:type="paragraph" w:customStyle="1" w:styleId="firstfooter0">
    <w:name w:val="firstfooter"/>
    <w:basedOn w:val="Normal"/>
    <w:rsid w:val="00966CD3"/>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3A0B7D"/>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3A0B7D"/>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686973"/>
    <w:pPr>
      <w:spacing w:before="320"/>
      <w:outlineLvl w:val="1"/>
    </w:pPr>
    <w:rPr>
      <w:sz w:val="24"/>
    </w:rPr>
  </w:style>
  <w:style w:type="paragraph" w:customStyle="1" w:styleId="Heading3pv">
    <w:name w:val="Heading 3pv"/>
    <w:basedOn w:val="Heading1pv"/>
    <w:next w:val="Normalpv"/>
    <w:rsid w:val="00686973"/>
    <w:pPr>
      <w:spacing w:before="200"/>
      <w:outlineLvl w:val="2"/>
    </w:pPr>
    <w:rPr>
      <w:sz w:val="24"/>
    </w:rPr>
  </w:style>
  <w:style w:type="paragraph" w:customStyle="1" w:styleId="NormalendS2">
    <w:name w:val="Normal_end_S2"/>
    <w:basedOn w:val="Normal"/>
    <w:qFormat/>
    <w:rsid w:val="006C7AE3"/>
  </w:style>
  <w:style w:type="paragraph" w:customStyle="1" w:styleId="Dectitle">
    <w:name w:val="Dec_title"/>
    <w:basedOn w:val="Restitle"/>
    <w:next w:val="Normalaftertitle"/>
    <w:qFormat/>
    <w:rsid w:val="00C92746"/>
  </w:style>
  <w:style w:type="paragraph" w:customStyle="1" w:styleId="DecNo">
    <w:name w:val="Dec_No"/>
    <w:basedOn w:val="ResNo"/>
    <w:next w:val="Dectitle"/>
    <w:qFormat/>
    <w:rsid w:val="00C92746"/>
  </w:style>
  <w:style w:type="paragraph" w:customStyle="1" w:styleId="DectitleS2">
    <w:name w:val="Dec_title_S2"/>
    <w:basedOn w:val="RestitleS2"/>
    <w:next w:val="Normal"/>
    <w:qFormat/>
    <w:rsid w:val="00C92746"/>
  </w:style>
  <w:style w:type="paragraph" w:customStyle="1" w:styleId="DecNoS2">
    <w:name w:val="Dec_No_S2"/>
    <w:basedOn w:val="ResNoS2"/>
    <w:next w:val="DectitleS2"/>
    <w:qFormat/>
    <w:rsid w:val="00C92746"/>
  </w:style>
  <w:style w:type="paragraph" w:customStyle="1" w:styleId="SectionNo">
    <w:name w:val="Section_No"/>
    <w:basedOn w:val="ArtNo"/>
    <w:next w:val="Normal"/>
    <w:qFormat/>
    <w:rsid w:val="0090735B"/>
    <w:rPr>
      <w:lang w:val="en-GB"/>
    </w:rPr>
  </w:style>
  <w:style w:type="paragraph" w:customStyle="1" w:styleId="SectionNoS2">
    <w:name w:val="Section_No_S2"/>
    <w:basedOn w:val="ArtNoS2"/>
    <w:next w:val="Normal"/>
    <w:qFormat/>
    <w:rsid w:val="0090735B"/>
    <w:rPr>
      <w:lang w:val="en-GB"/>
    </w:rPr>
  </w:style>
  <w:style w:type="paragraph" w:customStyle="1" w:styleId="Sectiontitle">
    <w:name w:val="Section_title"/>
    <w:basedOn w:val="Arttitle"/>
    <w:next w:val="Normalaftertitle"/>
    <w:qFormat/>
    <w:rsid w:val="0090735B"/>
    <w:rPr>
      <w:lang w:val="en-GB"/>
    </w:rPr>
  </w:style>
  <w:style w:type="paragraph" w:customStyle="1" w:styleId="SectiontitleS2">
    <w:name w:val="Section_title_S2"/>
    <w:basedOn w:val="ArttitleS2"/>
    <w:next w:val="Normal"/>
    <w:qFormat/>
    <w:rsid w:val="0090735B"/>
    <w:rPr>
      <w:lang w:val="en-GB"/>
    </w:rPr>
  </w:style>
  <w:style w:type="paragraph" w:customStyle="1" w:styleId="Proposal">
    <w:name w:val="Proposal"/>
    <w:basedOn w:val="Normal"/>
    <w:next w:val="Normal"/>
    <w:rsid w:val="008B61AF"/>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BD1614"/>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fr-CH"/>
    </w:rPr>
  </w:style>
  <w:style w:type="paragraph" w:customStyle="1" w:styleId="Committee">
    <w:name w:val="Committee"/>
    <w:basedOn w:val="Normal"/>
    <w:qFormat/>
    <w:rsid w:val="00BD1614"/>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zCs w:val="24"/>
      <w:lang w:val="en-US"/>
    </w:rPr>
  </w:style>
  <w:style w:type="character" w:customStyle="1" w:styleId="HeaderChar">
    <w:name w:val="Header Char"/>
    <w:basedOn w:val="DefaultParagraphFont"/>
    <w:link w:val="Header"/>
    <w:rsid w:val="00BD1614"/>
    <w:rPr>
      <w:rFonts w:ascii="Calibri" w:hAnsi="Calibri"/>
      <w:sz w:val="18"/>
      <w:lang w:val="fr-FR" w:eastAsia="en-US"/>
    </w:rPr>
  </w:style>
  <w:style w:type="paragraph" w:styleId="BalloonText">
    <w:name w:val="Balloon Text"/>
    <w:basedOn w:val="Normal"/>
    <w:link w:val="BalloonTextChar"/>
    <w:rsid w:val="00AE0667"/>
    <w:pPr>
      <w:spacing w:before="0"/>
    </w:pPr>
    <w:rPr>
      <w:rFonts w:ascii="Tahoma" w:hAnsi="Tahoma" w:cs="Tahoma"/>
      <w:sz w:val="16"/>
      <w:szCs w:val="16"/>
    </w:rPr>
  </w:style>
  <w:style w:type="character" w:customStyle="1" w:styleId="BalloonTextChar">
    <w:name w:val="Balloon Text Char"/>
    <w:basedOn w:val="DefaultParagraphFont"/>
    <w:link w:val="BalloonText"/>
    <w:rsid w:val="00AE0667"/>
    <w:rPr>
      <w:rFonts w:ascii="Tahoma" w:hAnsi="Tahoma" w:cs="Tahoma"/>
      <w:sz w:val="16"/>
      <w:szCs w:val="16"/>
      <w:lang w:val="fr-FR" w:eastAsia="en-US"/>
    </w:rPr>
  </w:style>
  <w:style w:type="paragraph" w:customStyle="1" w:styleId="OP">
    <w:name w:val="OP"/>
    <w:basedOn w:val="Normal"/>
    <w:next w:val="Normal"/>
    <w:qFormat/>
    <w:rsid w:val="00D5658F"/>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lang w:val="en-GB"/>
    </w:rPr>
  </w:style>
  <w:style w:type="paragraph" w:customStyle="1" w:styleId="OPtitle">
    <w:name w:val="OP_title"/>
    <w:basedOn w:val="Normal"/>
    <w:next w:val="Normalaftertitle"/>
    <w:qFormat/>
    <w:rsid w:val="00D5658F"/>
    <w:pPr>
      <w:jc w:val="center"/>
    </w:pPr>
    <w:rPr>
      <w:b/>
      <w:bCs/>
      <w:lang w:val="en-GB"/>
    </w:rPr>
  </w:style>
  <w:style w:type="paragraph" w:customStyle="1" w:styleId="VolumeTitle">
    <w:name w:val="VolumeTitle"/>
    <w:basedOn w:val="Normal"/>
    <w:next w:val="Normal"/>
    <w:rsid w:val="00270B2F"/>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character" w:customStyle="1" w:styleId="href">
    <w:name w:val="href"/>
    <w:basedOn w:val="DefaultParagraphFont"/>
    <w:rsid w:val="006710E6"/>
    <w:rPr>
      <w:color w:val="auto"/>
    </w:rPr>
  </w:style>
  <w:style w:type="character" w:styleId="UnresolvedMention">
    <w:name w:val="Unresolved Mention"/>
    <w:basedOn w:val="DefaultParagraphFont"/>
    <w:uiPriority w:val="99"/>
    <w:semiHidden/>
    <w:unhideWhenUsed/>
    <w:rsid w:val="007575CC"/>
    <w:rPr>
      <w:color w:val="605E5C"/>
      <w:shd w:val="clear" w:color="auto" w:fill="E1DFDD"/>
    </w:rPr>
  </w:style>
  <w:style w:type="character" w:styleId="FollowedHyperlink">
    <w:name w:val="FollowedHyperlink"/>
    <w:basedOn w:val="DefaultParagraphFont"/>
    <w:semiHidden/>
    <w:unhideWhenUsed/>
    <w:rsid w:val="00901E77"/>
    <w:rPr>
      <w:color w:val="800080" w:themeColor="followedHyperlink"/>
      <w:u w:val="single"/>
    </w:rPr>
  </w:style>
  <w:style w:type="character" w:styleId="PlaceholderText">
    <w:name w:val="Placeholder Text"/>
    <w:basedOn w:val="DefaultParagraphFont"/>
    <w:uiPriority w:val="99"/>
    <w:semiHidden/>
    <w:rsid w:val="00490624"/>
    <w:rPr>
      <w:color w:val="666666"/>
    </w:rPr>
  </w:style>
  <w:style w:type="paragraph" w:styleId="ListParagraph">
    <w:name w:val="List Paragraph"/>
    <w:basedOn w:val="Normal"/>
    <w:link w:val="ListParagraphChar"/>
    <w:uiPriority w:val="34"/>
    <w:qFormat/>
    <w:rsid w:val="00C550C5"/>
    <w:pPr>
      <w:tabs>
        <w:tab w:val="clear" w:pos="567"/>
        <w:tab w:val="left" w:pos="851"/>
      </w:tabs>
      <w:ind w:left="720"/>
      <w:contextualSpacing/>
    </w:pPr>
    <w:rPr>
      <w:lang w:val="en-GB"/>
    </w:rPr>
  </w:style>
  <w:style w:type="character" w:customStyle="1" w:styleId="ListParagraphChar">
    <w:name w:val="List Paragraph Char"/>
    <w:link w:val="ListParagraph"/>
    <w:uiPriority w:val="34"/>
    <w:locked/>
    <w:rsid w:val="00C550C5"/>
    <w:rPr>
      <w:rFonts w:ascii="Calibri" w:hAnsi="Calibri"/>
      <w:sz w:val="24"/>
      <w:lang w:val="en-GB" w:eastAsia="en-US"/>
    </w:rPr>
  </w:style>
  <w:style w:type="character" w:styleId="CommentReference">
    <w:name w:val="annotation reference"/>
    <w:basedOn w:val="DefaultParagraphFont"/>
    <w:semiHidden/>
    <w:unhideWhenUsed/>
    <w:rsid w:val="00717FAC"/>
    <w:rPr>
      <w:sz w:val="16"/>
      <w:szCs w:val="16"/>
    </w:rPr>
  </w:style>
  <w:style w:type="paragraph" w:styleId="CommentText">
    <w:name w:val="annotation text"/>
    <w:basedOn w:val="Normal"/>
    <w:link w:val="CommentTextChar"/>
    <w:semiHidden/>
    <w:unhideWhenUsed/>
    <w:rsid w:val="00717FAC"/>
    <w:rPr>
      <w:sz w:val="20"/>
    </w:rPr>
  </w:style>
  <w:style w:type="character" w:customStyle="1" w:styleId="CommentTextChar">
    <w:name w:val="Comment Text Char"/>
    <w:basedOn w:val="DefaultParagraphFont"/>
    <w:link w:val="CommentText"/>
    <w:semiHidden/>
    <w:rsid w:val="00717FAC"/>
    <w:rPr>
      <w:rFonts w:ascii="Calibri" w:hAnsi="Calibri"/>
      <w:lang w:val="fr-FR" w:eastAsia="en-US"/>
    </w:rPr>
  </w:style>
  <w:style w:type="paragraph" w:styleId="CommentSubject">
    <w:name w:val="annotation subject"/>
    <w:basedOn w:val="CommentText"/>
    <w:next w:val="CommentText"/>
    <w:link w:val="CommentSubjectChar"/>
    <w:semiHidden/>
    <w:unhideWhenUsed/>
    <w:rsid w:val="00717FAC"/>
    <w:rPr>
      <w:b/>
      <w:bCs/>
    </w:rPr>
  </w:style>
  <w:style w:type="character" w:customStyle="1" w:styleId="CommentSubjectChar">
    <w:name w:val="Comment Subject Char"/>
    <w:basedOn w:val="CommentTextChar"/>
    <w:link w:val="CommentSubject"/>
    <w:semiHidden/>
    <w:rsid w:val="00717FAC"/>
    <w:rPr>
      <w:rFonts w:ascii="Calibri" w:hAnsi="Calibri"/>
      <w:b/>
      <w:bCs/>
      <w:lang w:val="fr-FR" w:eastAsia="en-US"/>
    </w:rPr>
  </w:style>
  <w:style w:type="paragraph" w:styleId="Revision">
    <w:name w:val="Revision"/>
    <w:hidden/>
    <w:uiPriority w:val="99"/>
    <w:semiHidden/>
    <w:rsid w:val="00717FAC"/>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F2A05-FD7E-4093-9702-679374771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11430</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d'avis 4 - Connectivité spatiale</dc:title>
  <dc:subject>World telecommunication/information and communication technology policy forum</dc:subject>
  <cp:keywords>WTPF, WTPF-26</cp:keywords>
  <dc:description/>
  <dcterms:created xsi:type="dcterms:W3CDTF">2026-08-20T13:57:00Z</dcterms:created>
  <dcterms:modified xsi:type="dcterms:W3CDTF">2026-08-20T13:59:00Z</dcterms:modified>
  <cp:category>Conference document</cp:category>
</cp:coreProperties>
</file>