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7230"/>
        <w:gridCol w:w="2801"/>
      </w:tblGrid>
      <w:tr w:rsidR="00161CDA" w14:paraId="03BCE568" w14:textId="77777777" w:rsidTr="004D7CC5">
        <w:trPr>
          <w:cantSplit/>
          <w:trHeight w:hRule="exact" w:val="1417"/>
        </w:trPr>
        <w:tc>
          <w:tcPr>
            <w:tcW w:w="10031" w:type="dxa"/>
            <w:gridSpan w:val="2"/>
            <w:tcMar>
              <w:left w:w="0" w:type="dxa"/>
              <w:right w:w="0" w:type="dxa"/>
            </w:tcMar>
            <w:vAlign w:val="center"/>
          </w:tcPr>
          <w:p w14:paraId="051B4F46" w14:textId="791ED469" w:rsidR="00161CDA" w:rsidRPr="00D96B4B" w:rsidRDefault="00995B9D" w:rsidP="003038E3">
            <w:pPr>
              <w:spacing w:before="0" w:line="240" w:lineRule="atLeast"/>
              <w:rPr>
                <w:rFonts w:cstheme="minorHAnsi"/>
              </w:rPr>
            </w:pPr>
            <w:r>
              <w:rPr>
                <w:rFonts w:cstheme="minorHAnsi"/>
                <w:noProof/>
              </w:rPr>
              <w:drawing>
                <wp:inline distT="0" distB="0" distL="0" distR="0" wp14:anchorId="2EC7AF44" wp14:editId="290077B3">
                  <wp:extent cx="6660000" cy="971807"/>
                  <wp:effectExtent l="0" t="0" r="7620" b="0"/>
                  <wp:docPr id="670453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53709" name="Picture 670453709"/>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EF3B7A" w:rsidRPr="00617BE4" w14:paraId="68FE0BD7" w14:textId="77777777" w:rsidTr="004D7CC5">
        <w:trPr>
          <w:cantSplit/>
          <w:trHeight w:val="283"/>
        </w:trPr>
        <w:tc>
          <w:tcPr>
            <w:tcW w:w="10031" w:type="dxa"/>
            <w:gridSpan w:val="2"/>
            <w:tcBorders>
              <w:bottom w:val="single" w:sz="12" w:space="0" w:color="71716F"/>
            </w:tcBorders>
          </w:tcPr>
          <w:p w14:paraId="00B98A5F" w14:textId="77777777" w:rsidR="00EF3B7A" w:rsidRPr="00D96B4B" w:rsidRDefault="00EF3B7A" w:rsidP="003038E3">
            <w:pPr>
              <w:spacing w:before="0"/>
              <w:rPr>
                <w:rFonts w:cstheme="minorHAnsi"/>
                <w:szCs w:val="24"/>
              </w:rPr>
            </w:pPr>
            <w:bookmarkStart w:id="0" w:name="ditulogo"/>
            <w:bookmarkStart w:id="1" w:name="dhead"/>
            <w:bookmarkEnd w:id="0"/>
          </w:p>
        </w:tc>
      </w:tr>
      <w:tr w:rsidR="001A16ED" w:rsidRPr="00C324A8" w14:paraId="03FE5922" w14:textId="77777777" w:rsidTr="004D7CC5">
        <w:trPr>
          <w:cantSplit/>
          <w:trHeight w:val="255"/>
        </w:trPr>
        <w:tc>
          <w:tcPr>
            <w:tcW w:w="7230" w:type="dxa"/>
            <w:tcBorders>
              <w:top w:val="single" w:sz="12" w:space="0" w:color="71716F"/>
            </w:tcBorders>
          </w:tcPr>
          <w:p w14:paraId="7519332F" w14:textId="77777777" w:rsidR="001A16ED" w:rsidRPr="00D96B4B" w:rsidRDefault="001A16ED" w:rsidP="003038E3">
            <w:pPr>
              <w:spacing w:before="0"/>
              <w:rPr>
                <w:rFonts w:cstheme="minorHAnsi"/>
                <w:b/>
                <w:smallCaps/>
                <w:sz w:val="20"/>
              </w:rPr>
            </w:pPr>
          </w:p>
        </w:tc>
        <w:tc>
          <w:tcPr>
            <w:tcW w:w="2801" w:type="dxa"/>
            <w:tcBorders>
              <w:top w:val="single" w:sz="12" w:space="0" w:color="71716F"/>
            </w:tcBorders>
            <w:tcMar>
              <w:right w:w="0" w:type="dxa"/>
            </w:tcMar>
          </w:tcPr>
          <w:p w14:paraId="62CD95F2" w14:textId="77777777" w:rsidR="001A16ED" w:rsidRPr="00D96B4B" w:rsidRDefault="001A16ED" w:rsidP="003038E3">
            <w:pPr>
              <w:spacing w:before="0"/>
              <w:rPr>
                <w:rFonts w:cstheme="minorHAnsi"/>
                <w:sz w:val="20"/>
              </w:rPr>
            </w:pPr>
          </w:p>
        </w:tc>
      </w:tr>
      <w:tr w:rsidR="0042354C" w:rsidRPr="00C324A8" w14:paraId="592C84BE" w14:textId="77777777" w:rsidTr="004D7CC5">
        <w:trPr>
          <w:cantSplit/>
          <w:trHeight w:val="23"/>
        </w:trPr>
        <w:tc>
          <w:tcPr>
            <w:tcW w:w="7230" w:type="dxa"/>
          </w:tcPr>
          <w:p w14:paraId="4FAE1643" w14:textId="77777777" w:rsidR="0042354C" w:rsidRPr="00D96B4B" w:rsidRDefault="0042354C" w:rsidP="0042354C">
            <w:pPr>
              <w:pStyle w:val="Committee"/>
              <w:spacing w:after="0"/>
            </w:pPr>
            <w:bookmarkStart w:id="2" w:name="dnum" w:colFirst="1" w:colLast="1"/>
            <w:bookmarkStart w:id="3" w:name="dmeeting" w:colFirst="0" w:colLast="0"/>
            <w:bookmarkEnd w:id="1"/>
          </w:p>
        </w:tc>
        <w:tc>
          <w:tcPr>
            <w:tcW w:w="2801" w:type="dxa"/>
            <w:tcMar>
              <w:right w:w="0" w:type="dxa"/>
            </w:tcMar>
          </w:tcPr>
          <w:p w14:paraId="6498E8EC" w14:textId="7DE6B479" w:rsidR="0042354C" w:rsidRPr="00F44B1A" w:rsidRDefault="0042354C" w:rsidP="0042354C">
            <w:pPr>
              <w:tabs>
                <w:tab w:val="left" w:pos="851"/>
              </w:tabs>
              <w:spacing w:before="0"/>
              <w:rPr>
                <w:rFonts w:cstheme="minorHAnsi"/>
                <w:b/>
                <w:szCs w:val="24"/>
              </w:rPr>
            </w:pPr>
          </w:p>
        </w:tc>
      </w:tr>
      <w:tr w:rsidR="0042354C" w:rsidRPr="00C324A8" w14:paraId="45712F76" w14:textId="77777777" w:rsidTr="004D7CC5">
        <w:trPr>
          <w:cantSplit/>
          <w:trHeight w:val="23"/>
        </w:trPr>
        <w:tc>
          <w:tcPr>
            <w:tcW w:w="7230" w:type="dxa"/>
          </w:tcPr>
          <w:p w14:paraId="1BED5327" w14:textId="77777777" w:rsidR="0042354C" w:rsidRPr="00841AB4" w:rsidRDefault="0042354C" w:rsidP="0042354C">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7A9BC8BF" w14:textId="275440C3" w:rsidR="0042354C" w:rsidRPr="00B63517" w:rsidRDefault="00A9011B" w:rsidP="0042354C">
            <w:pPr>
              <w:spacing w:before="0"/>
              <w:rPr>
                <w:rFonts w:cstheme="minorHAnsi"/>
                <w:b/>
                <w:bCs/>
                <w:szCs w:val="24"/>
              </w:rPr>
            </w:pPr>
            <w:r>
              <w:rPr>
                <w:rFonts w:cstheme="minorHAnsi"/>
                <w:b/>
                <w:bCs/>
                <w:szCs w:val="24"/>
              </w:rPr>
              <w:t>29</w:t>
            </w:r>
            <w:r w:rsidR="00B63517" w:rsidRPr="00B63517">
              <w:rPr>
                <w:rFonts w:cstheme="minorHAnsi"/>
                <w:b/>
                <w:bCs/>
                <w:szCs w:val="24"/>
              </w:rPr>
              <w:t xml:space="preserve"> </w:t>
            </w:r>
            <w:r>
              <w:rPr>
                <w:rFonts w:cstheme="minorHAnsi"/>
                <w:b/>
                <w:bCs/>
                <w:szCs w:val="24"/>
              </w:rPr>
              <w:t xml:space="preserve">April </w:t>
            </w:r>
            <w:r w:rsidR="00B63517" w:rsidRPr="00B63517">
              <w:rPr>
                <w:rFonts w:cstheme="minorHAnsi"/>
                <w:b/>
                <w:bCs/>
                <w:szCs w:val="24"/>
              </w:rPr>
              <w:t>2026</w:t>
            </w:r>
          </w:p>
        </w:tc>
      </w:tr>
      <w:tr w:rsidR="001A16ED" w:rsidRPr="00C324A8" w14:paraId="0F102227" w14:textId="77777777" w:rsidTr="004D7CC5">
        <w:trPr>
          <w:cantSplit/>
          <w:trHeight w:val="23"/>
        </w:trPr>
        <w:tc>
          <w:tcPr>
            <w:tcW w:w="7230" w:type="dxa"/>
          </w:tcPr>
          <w:p w14:paraId="2236A73F" w14:textId="77777777" w:rsidR="001A16ED" w:rsidRPr="00D96B4B" w:rsidRDefault="001A16ED" w:rsidP="003038E3">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25BAEC83" w14:textId="77777777" w:rsidR="001A16ED" w:rsidRPr="00D96B4B" w:rsidRDefault="0044665A" w:rsidP="003038E3">
            <w:pPr>
              <w:tabs>
                <w:tab w:val="left" w:pos="993"/>
              </w:tabs>
              <w:spacing w:before="0"/>
              <w:rPr>
                <w:rFonts w:cstheme="minorHAnsi"/>
                <w:b/>
                <w:szCs w:val="24"/>
              </w:rPr>
            </w:pPr>
            <w:r>
              <w:rPr>
                <w:rFonts w:cstheme="minorHAnsi"/>
                <w:b/>
                <w:szCs w:val="24"/>
              </w:rPr>
              <w:t>Original: English</w:t>
            </w:r>
          </w:p>
        </w:tc>
      </w:tr>
      <w:tr w:rsidR="001A16ED" w:rsidRPr="00C324A8" w14:paraId="4D70CF4B" w14:textId="77777777" w:rsidTr="004D7CC5">
        <w:trPr>
          <w:cantSplit/>
          <w:trHeight w:val="23"/>
        </w:trPr>
        <w:tc>
          <w:tcPr>
            <w:tcW w:w="10031" w:type="dxa"/>
            <w:gridSpan w:val="2"/>
          </w:tcPr>
          <w:p w14:paraId="78FAED5C" w14:textId="77777777" w:rsidR="001A16ED" w:rsidRPr="00D96B4B" w:rsidRDefault="001A16ED" w:rsidP="003038E3">
            <w:pPr>
              <w:tabs>
                <w:tab w:val="left" w:pos="993"/>
              </w:tabs>
              <w:rPr>
                <w:rFonts w:ascii="Verdana" w:hAnsi="Verdana"/>
                <w:b/>
                <w:szCs w:val="24"/>
              </w:rPr>
            </w:pPr>
          </w:p>
        </w:tc>
      </w:tr>
    </w:tbl>
    <w:p w14:paraId="1E6DEECC" w14:textId="77777777" w:rsidR="00B63517" w:rsidRDefault="00B63517" w:rsidP="008F2087">
      <w:pPr>
        <w:pStyle w:val="OpNo"/>
      </w:pPr>
      <w:bookmarkStart w:id="8" w:name="_Hlk133586559"/>
      <w:bookmarkStart w:id="9" w:name="_Hlk133421428"/>
      <w:bookmarkEnd w:id="6"/>
      <w:bookmarkEnd w:id="7"/>
      <w:r w:rsidRPr="00B3515D">
        <w:t xml:space="preserve">DRAFT OPINION </w:t>
      </w:r>
      <w:r>
        <w:t>4</w:t>
      </w:r>
    </w:p>
    <w:p w14:paraId="7A6EDD86" w14:textId="6E9E51F7" w:rsidR="00B63517" w:rsidRPr="00B3515D" w:rsidRDefault="00B63517" w:rsidP="008F2087">
      <w:pPr>
        <w:pStyle w:val="Optitle0"/>
      </w:pPr>
      <w:r w:rsidRPr="006C423F">
        <w:t xml:space="preserve">Space </w:t>
      </w:r>
      <w:r w:rsidR="00D813BE" w:rsidRPr="006C423F">
        <w:t>connectivity</w:t>
      </w:r>
    </w:p>
    <w:bookmarkEnd w:id="8"/>
    <w:bookmarkEnd w:id="9"/>
    <w:p w14:paraId="48B7D624" w14:textId="77777777" w:rsidR="00AF2922" w:rsidRPr="006975BE" w:rsidRDefault="00AF2922" w:rsidP="00AF2922">
      <w:pPr>
        <w:pStyle w:val="Normalaftertitle"/>
        <w:jc w:val="both"/>
        <w:rPr>
          <w:rFonts w:asciiTheme="minorHAnsi" w:eastAsia="Calibri" w:hAnsiTheme="minorHAnsi" w:cstheme="minorHAnsi"/>
          <w:szCs w:val="24"/>
        </w:rPr>
      </w:pPr>
      <w:r w:rsidRPr="006975BE">
        <w:rPr>
          <w:rFonts w:asciiTheme="minorHAnsi" w:eastAsia="Calibri" w:hAnsiTheme="minorHAnsi" w:cstheme="minorHAnsi"/>
          <w:szCs w:val="24"/>
        </w:rPr>
        <w:t>The seventh World Telecommunication/ICT Policy Forum (Nassau, 2026),</w:t>
      </w:r>
    </w:p>
    <w:p w14:paraId="4F9F004A" w14:textId="77777777" w:rsidR="00AF2922" w:rsidRPr="006975BE" w:rsidRDefault="00AF2922" w:rsidP="00AF2922">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recalling</w:t>
      </w:r>
    </w:p>
    <w:p w14:paraId="21DAEF3A" w14:textId="7E042289"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i/>
          <w:szCs w:val="24"/>
        </w:rPr>
        <w:t>a)</w:t>
      </w:r>
      <w:r w:rsidRPr="006975BE">
        <w:rPr>
          <w:rFonts w:asciiTheme="minorHAnsi" w:hAnsiTheme="minorHAnsi" w:cstheme="minorHAnsi"/>
          <w:i/>
          <w:szCs w:val="24"/>
        </w:rPr>
        <w:tab/>
      </w:r>
      <w:r w:rsidRPr="006975BE">
        <w:rPr>
          <w:rFonts w:asciiTheme="minorHAnsi" w:hAnsiTheme="minorHAnsi" w:cstheme="minorHAnsi"/>
          <w:szCs w:val="24"/>
        </w:rPr>
        <w:t xml:space="preserve">Resolution 70/1 of the United Nations General Assembly (UNGA), on </w:t>
      </w:r>
      <w:r w:rsidR="007A76B7">
        <w:rPr>
          <w:rFonts w:asciiTheme="minorHAnsi" w:hAnsiTheme="minorHAnsi" w:cstheme="minorHAnsi"/>
          <w:szCs w:val="24"/>
        </w:rPr>
        <w:t>t</w:t>
      </w:r>
      <w:r w:rsidRPr="006975BE">
        <w:rPr>
          <w:rFonts w:asciiTheme="minorHAnsi" w:hAnsiTheme="minorHAnsi" w:cstheme="minorHAnsi"/>
          <w:szCs w:val="24"/>
        </w:rPr>
        <w:t xml:space="preserve">ransforming our world: the 2030 Agenda for Sustainable Development; </w:t>
      </w:r>
    </w:p>
    <w:p w14:paraId="67183D77"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i/>
          <w:szCs w:val="24"/>
        </w:rPr>
        <w:t>b)</w:t>
      </w:r>
      <w:r w:rsidRPr="006975BE">
        <w:rPr>
          <w:rFonts w:asciiTheme="minorHAnsi" w:hAnsiTheme="minorHAnsi" w:cstheme="minorHAnsi"/>
          <w:i/>
          <w:szCs w:val="24"/>
        </w:rPr>
        <w:tab/>
      </w:r>
      <w:r w:rsidRPr="006975BE">
        <w:rPr>
          <w:rFonts w:asciiTheme="minorHAnsi" w:hAnsiTheme="minorHAnsi" w:cstheme="minorHAnsi"/>
          <w:szCs w:val="24"/>
        </w:rPr>
        <w:t xml:space="preserve">Resolution 76/3 of UNGA, on the “Space2030” Agenda: space as a driver of sustainable development; </w:t>
      </w:r>
    </w:p>
    <w:p w14:paraId="27FADD51"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i/>
          <w:szCs w:val="24"/>
        </w:rPr>
        <w:t>c)</w:t>
      </w:r>
      <w:r w:rsidRPr="006975BE">
        <w:rPr>
          <w:rFonts w:asciiTheme="minorHAnsi" w:hAnsiTheme="minorHAnsi" w:cstheme="minorHAnsi"/>
          <w:i/>
          <w:szCs w:val="24"/>
        </w:rPr>
        <w:tab/>
      </w:r>
      <w:r w:rsidRPr="006975BE">
        <w:rPr>
          <w:rFonts w:asciiTheme="minorHAnsi" w:hAnsiTheme="minorHAnsi" w:cstheme="minorHAnsi"/>
          <w:szCs w:val="24"/>
        </w:rPr>
        <w:t>the relevant provision of Article 44 of the ITU Constitution;</w:t>
      </w:r>
    </w:p>
    <w:p w14:paraId="5E093328" w14:textId="7FADDB4D"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i/>
          <w:szCs w:val="24"/>
        </w:rPr>
        <w:t>d)</w:t>
      </w:r>
      <w:r w:rsidRPr="006975BE">
        <w:rPr>
          <w:rFonts w:asciiTheme="minorHAnsi" w:hAnsiTheme="minorHAnsi" w:cstheme="minorHAnsi"/>
          <w:i/>
          <w:szCs w:val="24"/>
        </w:rPr>
        <w:tab/>
      </w:r>
      <w:r w:rsidRPr="006975BE">
        <w:rPr>
          <w:rFonts w:asciiTheme="minorHAnsi" w:hAnsiTheme="minorHAnsi" w:cstheme="minorHAnsi"/>
          <w:szCs w:val="24"/>
        </w:rPr>
        <w:t>relevant resolutions of the Plenipotentiary Conference related to the topic of space-based telecommunication/information and communication technology (ICT) networks and services, including, among others, Resolution 139 (</w:t>
      </w:r>
      <w:r w:rsidR="007A76B7">
        <w:rPr>
          <w:rFonts w:asciiTheme="minorHAnsi" w:hAnsiTheme="minorHAnsi" w:cstheme="minorHAnsi"/>
          <w:szCs w:val="24"/>
        </w:rPr>
        <w:t>Rev.</w:t>
      </w:r>
      <w:r w:rsidR="00A830AC">
        <w:rPr>
          <w:rFonts w:asciiTheme="minorHAnsi" w:hAnsiTheme="minorHAnsi" w:cstheme="minorHAnsi"/>
          <w:szCs w:val="24"/>
        </w:rPr>
        <w:t xml:space="preserve"> </w:t>
      </w:r>
      <w:r w:rsidRPr="006975BE">
        <w:rPr>
          <w:rFonts w:asciiTheme="minorHAnsi" w:hAnsiTheme="minorHAnsi" w:cstheme="minorHAnsi"/>
          <w:szCs w:val="24"/>
        </w:rPr>
        <w:t xml:space="preserve">Bucharest, 2022), Resolution 186 (Rev. Bucharest, 2022), Resolution 218 (Bucharest, 2022) and Resolution 219 (Bucharest, 2022); </w:t>
      </w:r>
    </w:p>
    <w:p w14:paraId="21FC715B"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i/>
          <w:szCs w:val="24"/>
        </w:rPr>
        <w:t>e)</w:t>
      </w:r>
      <w:r w:rsidRPr="006975BE">
        <w:rPr>
          <w:rFonts w:asciiTheme="minorHAnsi" w:hAnsiTheme="minorHAnsi" w:cstheme="minorHAnsi"/>
          <w:i/>
          <w:szCs w:val="24"/>
        </w:rPr>
        <w:tab/>
      </w:r>
      <w:r w:rsidRPr="006975BE">
        <w:rPr>
          <w:rFonts w:asciiTheme="minorHAnsi" w:hAnsiTheme="minorHAnsi" w:cstheme="minorHAnsi"/>
          <w:szCs w:val="24"/>
        </w:rPr>
        <w:t>relevant resolutions of the main conferences and assemblies of the three Sectors of ITU related to the topic of space-based telecommunication/ICT networks and services, including, among others, Resolution 22 (Rev. Dubai, 2023) of the World Radiocommunication Conference; Resolutions 11 (Rev. Baku, 2025), 37 (Rev. Baku, 2025), 77 (Rev. Baku, 2025)</w:t>
      </w:r>
      <w:r w:rsidRPr="006975BE">
        <w:rPr>
          <w:szCs w:val="24"/>
        </w:rPr>
        <w:t xml:space="preserve"> of the </w:t>
      </w:r>
      <w:r w:rsidRPr="006975BE">
        <w:rPr>
          <w:rFonts w:asciiTheme="minorHAnsi" w:hAnsiTheme="minorHAnsi" w:cstheme="minorHAnsi"/>
          <w:szCs w:val="24"/>
        </w:rPr>
        <w:t>World Telecommunication Development Conference, and Resolution 74 (Dubai, 2023) of the Radiocommunication Assembly;</w:t>
      </w:r>
    </w:p>
    <w:p w14:paraId="6C957225"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i/>
          <w:szCs w:val="24"/>
        </w:rPr>
        <w:t>f)</w:t>
      </w:r>
      <w:r w:rsidRPr="006975BE">
        <w:rPr>
          <w:rFonts w:asciiTheme="minorHAnsi" w:hAnsiTheme="minorHAnsi" w:cstheme="minorHAnsi"/>
          <w:i/>
          <w:szCs w:val="24"/>
        </w:rPr>
        <w:tab/>
      </w:r>
      <w:r w:rsidRPr="006975BE">
        <w:rPr>
          <w:rFonts w:asciiTheme="minorHAnsi" w:hAnsiTheme="minorHAnsi" w:cstheme="minorHAnsi"/>
          <w:szCs w:val="24"/>
        </w:rPr>
        <w:t>relevant provisions of Article 18 of the Radio Regulations (Rev. Dubai, 2023);</w:t>
      </w:r>
    </w:p>
    <w:p w14:paraId="3C48D739"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i/>
          <w:szCs w:val="24"/>
        </w:rPr>
        <w:t>g)</w:t>
      </w:r>
      <w:r w:rsidRPr="006975BE">
        <w:rPr>
          <w:rFonts w:asciiTheme="minorHAnsi" w:hAnsiTheme="minorHAnsi" w:cstheme="minorHAnsi"/>
          <w:i/>
          <w:szCs w:val="24"/>
        </w:rPr>
        <w:tab/>
      </w:r>
      <w:r w:rsidRPr="006975BE">
        <w:rPr>
          <w:rFonts w:asciiTheme="minorHAnsi" w:hAnsiTheme="minorHAnsi" w:cstheme="minorHAnsi"/>
          <w:szCs w:val="24"/>
        </w:rPr>
        <w:t>relevant best practice guidelines developed under the Global Symposium for Regulators (GSR),</w:t>
      </w:r>
    </w:p>
    <w:p w14:paraId="51758132" w14:textId="77777777" w:rsidR="00AF2922" w:rsidRPr="006975BE" w:rsidRDefault="00AF2922" w:rsidP="00AF2922">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considering</w:t>
      </w:r>
    </w:p>
    <w:p w14:paraId="23EA2CB0"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a)</w:t>
      </w:r>
      <w:r w:rsidRPr="006975BE">
        <w:rPr>
          <w:rFonts w:asciiTheme="minorHAnsi" w:eastAsia="Calibri" w:hAnsiTheme="minorHAnsi" w:cstheme="minorHAnsi"/>
          <w:i/>
          <w:szCs w:val="24"/>
          <w:lang w:eastAsia="zh-CN"/>
        </w:rPr>
        <w:tab/>
      </w:r>
      <w:r w:rsidRPr="006975BE">
        <w:rPr>
          <w:rFonts w:asciiTheme="minorHAnsi" w:hAnsiTheme="minorHAnsi" w:cstheme="minorHAnsi"/>
          <w:szCs w:val="24"/>
        </w:rPr>
        <w:t>that</w:t>
      </w:r>
      <w:r w:rsidRPr="006975BE">
        <w:rPr>
          <w:rFonts w:asciiTheme="minorHAnsi" w:eastAsia="Calibri" w:hAnsiTheme="minorHAnsi" w:cstheme="minorHAnsi"/>
          <w:szCs w:val="24"/>
          <w:lang w:eastAsia="zh-CN"/>
        </w:rPr>
        <w:t xml:space="preserve"> identifying and advocating tools and measures to accelerate </w:t>
      </w:r>
      <w:r w:rsidRPr="006975BE">
        <w:rPr>
          <w:rFonts w:asciiTheme="minorHAnsi" w:eastAsia="Aptos" w:hAnsiTheme="minorHAnsi" w:cstheme="minorHAnsi"/>
          <w:szCs w:val="24"/>
        </w:rPr>
        <w:t>space-based telecommunication/ICT networks and services can support global econom</w:t>
      </w:r>
      <w:r w:rsidRPr="006975BE">
        <w:rPr>
          <w:rFonts w:asciiTheme="minorHAnsi" w:eastAsia="Calibri" w:hAnsiTheme="minorHAnsi" w:cstheme="minorHAnsi"/>
          <w:szCs w:val="24"/>
          <w:lang w:eastAsia="zh-CN"/>
        </w:rPr>
        <w:t>ic prosperity, improve digital inclusion, and address disparities in access to space-based technologies;</w:t>
      </w:r>
    </w:p>
    <w:p w14:paraId="69C12763"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b)</w:t>
      </w:r>
      <w:r w:rsidRPr="006975BE">
        <w:rPr>
          <w:rFonts w:asciiTheme="minorHAnsi" w:eastAsia="Calibri" w:hAnsiTheme="minorHAnsi" w:cstheme="minorHAnsi"/>
          <w:i/>
          <w:szCs w:val="24"/>
          <w:lang w:eastAsia="zh-CN"/>
        </w:rPr>
        <w:tab/>
      </w:r>
      <w:r w:rsidRPr="006975BE">
        <w:rPr>
          <w:rFonts w:asciiTheme="minorHAnsi" w:eastAsia="Aptos" w:hAnsiTheme="minorHAnsi" w:cstheme="minorHAnsi"/>
          <w:szCs w:val="24"/>
        </w:rPr>
        <w:t>that strengthening tools and platforms for effective international cooperation with regards to the Radio Regulations are essential to enabling inclusive participation in space-based</w:t>
      </w:r>
      <w:r w:rsidRPr="006975BE">
        <w:rPr>
          <w:rFonts w:asciiTheme="minorHAnsi" w:eastAsia="Calibri" w:hAnsiTheme="minorHAnsi" w:cstheme="minorHAnsi"/>
          <w:szCs w:val="24"/>
          <w:lang w:eastAsia="zh-CN"/>
        </w:rPr>
        <w:t xml:space="preserve"> telecommunication/ICT;</w:t>
      </w:r>
    </w:p>
    <w:p w14:paraId="3210FDCC"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lastRenderedPageBreak/>
        <w:t>c)</w:t>
      </w:r>
      <w:r w:rsidRPr="006975BE">
        <w:rPr>
          <w:rFonts w:asciiTheme="minorHAnsi" w:eastAsia="Calibri" w:hAnsiTheme="minorHAnsi" w:cstheme="minorHAnsi"/>
          <w:i/>
          <w:szCs w:val="24"/>
          <w:lang w:eastAsia="zh-CN"/>
        </w:rPr>
        <w:tab/>
      </w:r>
      <w:r w:rsidRPr="006975BE">
        <w:rPr>
          <w:rFonts w:asciiTheme="minorHAnsi" w:eastAsia="Calibri" w:hAnsiTheme="minorHAnsi" w:cstheme="minorHAnsi"/>
          <w:szCs w:val="24"/>
          <w:lang w:eastAsia="zh-CN"/>
        </w:rPr>
        <w:t xml:space="preserve">that </w:t>
      </w:r>
      <w:r w:rsidRPr="006975BE">
        <w:rPr>
          <w:rFonts w:asciiTheme="minorHAnsi" w:eastAsia="Aptos" w:hAnsiTheme="minorHAnsi" w:cstheme="minorHAnsi"/>
          <w:szCs w:val="24"/>
        </w:rPr>
        <w:t>innovative approaches for addressing the impacts of space-based telecommunications/ICTs related debris can help support long-term continuity of space-based teleco</w:t>
      </w:r>
      <w:r w:rsidRPr="006975BE">
        <w:rPr>
          <w:rFonts w:asciiTheme="minorHAnsi" w:eastAsia="Calibri" w:hAnsiTheme="minorHAnsi" w:cstheme="minorHAnsi"/>
          <w:szCs w:val="24"/>
          <w:lang w:eastAsia="zh-CN"/>
        </w:rPr>
        <w:t>mmunication/ICT services;</w:t>
      </w:r>
    </w:p>
    <w:p w14:paraId="50E5461D"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d)</w:t>
      </w:r>
      <w:r w:rsidRPr="006975BE">
        <w:rPr>
          <w:rFonts w:asciiTheme="minorHAnsi" w:eastAsia="Calibri" w:hAnsiTheme="minorHAnsi" w:cstheme="minorHAnsi"/>
          <w:i/>
          <w:szCs w:val="24"/>
          <w:lang w:eastAsia="zh-CN"/>
        </w:rPr>
        <w:tab/>
      </w:r>
      <w:r w:rsidRPr="006975BE">
        <w:rPr>
          <w:rFonts w:asciiTheme="minorHAnsi" w:eastAsia="Calibri" w:hAnsiTheme="minorHAnsi" w:cstheme="minorHAnsi"/>
          <w:szCs w:val="24"/>
          <w:lang w:eastAsia="zh-CN"/>
        </w:rPr>
        <w:t>that governments face both opportunities and challenges in harnessing space-based telecommunication/ICT networks and services, and that their role is crucial in shaping policies that foster innovation while ensuring the responsible use of radio frequency spectrum and associated satellite orbits;</w:t>
      </w:r>
    </w:p>
    <w:p w14:paraId="06BF998F"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e)</w:t>
      </w:r>
      <w:r w:rsidRPr="006975BE">
        <w:rPr>
          <w:rFonts w:asciiTheme="minorHAnsi" w:eastAsia="Calibri" w:hAnsiTheme="minorHAnsi" w:cstheme="minorHAnsi"/>
          <w:i/>
          <w:szCs w:val="24"/>
          <w:lang w:eastAsia="zh-CN"/>
        </w:rPr>
        <w:tab/>
      </w:r>
      <w:r w:rsidRPr="006975BE">
        <w:rPr>
          <w:rFonts w:asciiTheme="minorHAnsi" w:eastAsia="Calibri" w:hAnsiTheme="minorHAnsi" w:cstheme="minorHAnsi"/>
          <w:szCs w:val="24"/>
          <w:lang w:eastAsia="zh-CN"/>
        </w:rPr>
        <w:t>that the ITU Constitution recognizes the sovereign right of each Member State to regulate its telecommunications, both terrestrial and space-based;</w:t>
      </w:r>
    </w:p>
    <w:p w14:paraId="7F72C050"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i/>
          <w:szCs w:val="24"/>
          <w:lang w:eastAsia="zh-CN"/>
        </w:rPr>
        <w:t>f)</w:t>
      </w:r>
      <w:r w:rsidRPr="006975BE">
        <w:rPr>
          <w:rFonts w:asciiTheme="minorHAnsi" w:eastAsia="Calibri" w:hAnsiTheme="minorHAnsi" w:cstheme="minorHAnsi"/>
          <w:i/>
          <w:szCs w:val="24"/>
          <w:lang w:eastAsia="zh-CN"/>
        </w:rPr>
        <w:tab/>
      </w:r>
      <w:r w:rsidRPr="006975BE">
        <w:rPr>
          <w:rFonts w:asciiTheme="minorHAnsi" w:eastAsia="Calibri" w:hAnsiTheme="minorHAnsi" w:cstheme="minorHAnsi"/>
          <w:szCs w:val="24"/>
          <w:lang w:eastAsia="zh-CN"/>
        </w:rPr>
        <w:t>that ITU initiatives such as the Space Sustainability Forum are designed as opportunities to present, discuss good, practices, guidelines, and strategies necessary to ensure that space remains accessible and sustainable for both current and future space activities,</w:t>
      </w:r>
    </w:p>
    <w:p w14:paraId="7048B432" w14:textId="77777777" w:rsidR="00AF2922" w:rsidRPr="006975BE" w:rsidRDefault="00AF2922" w:rsidP="00AF2922">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recognising</w:t>
      </w:r>
    </w:p>
    <w:p w14:paraId="3035DB2D" w14:textId="77777777" w:rsidR="00AF2922" w:rsidRPr="006975BE" w:rsidRDefault="00AF2922" w:rsidP="00AF2922">
      <w:pPr>
        <w:jc w:val="both"/>
        <w:rPr>
          <w:rFonts w:asciiTheme="minorHAnsi" w:eastAsia="Aptos" w:hAnsiTheme="minorHAnsi" w:cstheme="minorHAnsi"/>
          <w:szCs w:val="24"/>
        </w:rPr>
      </w:pPr>
      <w:r w:rsidRPr="006975BE">
        <w:rPr>
          <w:rFonts w:asciiTheme="minorHAnsi" w:eastAsia="Aptos" w:hAnsiTheme="minorHAnsi" w:cstheme="minorHAnsi"/>
          <w:i/>
          <w:szCs w:val="24"/>
        </w:rPr>
        <w:t>a)</w:t>
      </w:r>
      <w:r w:rsidRPr="006975BE">
        <w:rPr>
          <w:rFonts w:asciiTheme="minorHAnsi" w:eastAsia="Aptos" w:hAnsiTheme="minorHAnsi" w:cstheme="minorHAnsi"/>
          <w:i/>
          <w:szCs w:val="24"/>
        </w:rPr>
        <w:tab/>
      </w:r>
      <w:r w:rsidRPr="006975BE">
        <w:rPr>
          <w:rFonts w:asciiTheme="minorHAnsi" w:hAnsiTheme="minorHAnsi" w:cstheme="minorHAnsi"/>
          <w:szCs w:val="24"/>
          <w:lang w:eastAsia="zh-CN"/>
        </w:rPr>
        <w:t>that the p</w:t>
      </w:r>
      <w:r w:rsidRPr="006975BE">
        <w:rPr>
          <w:rFonts w:asciiTheme="minorHAnsi" w:eastAsia="Aptos" w:hAnsiTheme="minorHAnsi" w:cstheme="minorHAnsi"/>
          <w:szCs w:val="24"/>
        </w:rPr>
        <w:t xml:space="preserve">rivate sector has a leading role in deploying space-based telecommunication/ICT networks and </w:t>
      </w:r>
      <w:r w:rsidRPr="006975BE">
        <w:rPr>
          <w:rFonts w:asciiTheme="minorHAnsi" w:eastAsia="Calibri" w:hAnsiTheme="minorHAnsi" w:cstheme="minorHAnsi"/>
          <w:szCs w:val="24"/>
          <w:lang w:eastAsia="zh-CN"/>
        </w:rPr>
        <w:t>services</w:t>
      </w:r>
      <w:r w:rsidRPr="006975BE">
        <w:rPr>
          <w:rFonts w:asciiTheme="minorHAnsi" w:eastAsia="Aptos" w:hAnsiTheme="minorHAnsi" w:cstheme="minorHAnsi"/>
          <w:szCs w:val="24"/>
        </w:rPr>
        <w:t>, and that it continues to develop technological innovations and creative business models alongside other stakeholders including government, academia, and civil society;</w:t>
      </w:r>
    </w:p>
    <w:p w14:paraId="1D260E50" w14:textId="60AAD3D9" w:rsidR="00AF2922" w:rsidRPr="006975BE" w:rsidRDefault="00AF2922" w:rsidP="00AF2922">
      <w:pPr>
        <w:jc w:val="both"/>
        <w:rPr>
          <w:rFonts w:asciiTheme="minorHAnsi" w:eastAsia="Aptos" w:hAnsiTheme="minorHAnsi" w:cstheme="minorHAnsi"/>
          <w:szCs w:val="24"/>
        </w:rPr>
      </w:pPr>
      <w:r w:rsidRPr="006975BE">
        <w:rPr>
          <w:rFonts w:asciiTheme="minorHAnsi" w:eastAsia="Aptos" w:hAnsiTheme="minorHAnsi" w:cstheme="minorHAnsi"/>
          <w:i/>
          <w:szCs w:val="24"/>
        </w:rPr>
        <w:t>b)</w:t>
      </w:r>
      <w:r w:rsidRPr="006975BE">
        <w:rPr>
          <w:rFonts w:asciiTheme="minorHAnsi" w:eastAsia="Aptos" w:hAnsiTheme="minorHAnsi" w:cstheme="minorHAnsi"/>
          <w:i/>
          <w:szCs w:val="24"/>
        </w:rPr>
        <w:tab/>
      </w:r>
      <w:r w:rsidRPr="006975BE">
        <w:rPr>
          <w:rFonts w:asciiTheme="minorHAnsi" w:eastAsia="Aptos" w:hAnsiTheme="minorHAnsi" w:cstheme="minorHAnsi"/>
          <w:szCs w:val="24"/>
        </w:rPr>
        <w:t xml:space="preserve">that space-based telecommunication/ICT networks and services, including satellites in geostationary orbit (GSO) and non-geostationary orbit (non-GSO), have an ability to help in bridging the digital divides by provide connectivity in wide geographical areas with potential deployment cost-savings due to a reduced need for ground infrastructure, providing a resilient solution for connectivity to people in low population density areas including underserved regions, especially in least developed countries (LDCs), </w:t>
      </w:r>
      <w:r w:rsidRPr="006975BE">
        <w:rPr>
          <w:rFonts w:asciiTheme="minorHAnsi" w:eastAsiaTheme="minorEastAsia" w:hAnsiTheme="minorHAnsi" w:cstheme="minorHAnsi"/>
          <w:szCs w:val="24"/>
          <w:lang w:eastAsia="zh-CN"/>
        </w:rPr>
        <w:t>landlocked developing countries</w:t>
      </w:r>
      <w:r w:rsidRPr="006975BE">
        <w:rPr>
          <w:rFonts w:asciiTheme="minorHAnsi" w:eastAsia="Aptos" w:hAnsiTheme="minorHAnsi" w:cstheme="minorHAnsi"/>
          <w:szCs w:val="24"/>
        </w:rPr>
        <w:t xml:space="preserve"> (LLDCs), and </w:t>
      </w:r>
      <w:r w:rsidRPr="006975BE">
        <w:rPr>
          <w:rFonts w:asciiTheme="minorHAnsi" w:eastAsiaTheme="minorEastAsia" w:hAnsiTheme="minorHAnsi" w:cstheme="minorHAnsi"/>
          <w:szCs w:val="24"/>
          <w:lang w:eastAsia="zh-CN"/>
        </w:rPr>
        <w:t>small island developing States</w:t>
      </w:r>
      <w:r w:rsidRPr="006975BE">
        <w:rPr>
          <w:rFonts w:asciiTheme="minorHAnsi" w:eastAsia="Aptos" w:hAnsiTheme="minorHAnsi" w:cstheme="minorHAnsi"/>
          <w:szCs w:val="24"/>
        </w:rPr>
        <w:t xml:space="preserve"> (SIDS);</w:t>
      </w:r>
    </w:p>
    <w:p w14:paraId="57FFD90B" w14:textId="77777777" w:rsidR="00AF2922" w:rsidRPr="006975BE" w:rsidRDefault="00AF2922" w:rsidP="00AF2922">
      <w:pPr>
        <w:jc w:val="both"/>
        <w:rPr>
          <w:rFonts w:asciiTheme="minorHAnsi" w:eastAsia="Aptos" w:hAnsiTheme="minorHAnsi" w:cstheme="minorHAnsi"/>
          <w:szCs w:val="24"/>
        </w:rPr>
      </w:pPr>
      <w:r w:rsidRPr="006975BE">
        <w:rPr>
          <w:rFonts w:asciiTheme="minorHAnsi" w:eastAsia="Aptos" w:hAnsiTheme="minorHAnsi" w:cstheme="minorHAnsi"/>
          <w:i/>
          <w:szCs w:val="24"/>
        </w:rPr>
        <w:t>c)</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space-based telecommunication/ICT networks and services used by both non-GSO and GSO systems are rapidly evolving, and that the complementarity of the two systems is one of the key opportunities for expanding connectivity;</w:t>
      </w:r>
      <w:bookmarkStart w:id="10" w:name="_Hlk175572783"/>
    </w:p>
    <w:p w14:paraId="0D366DDD" w14:textId="77777777" w:rsidR="00AF2922" w:rsidRPr="006975BE" w:rsidRDefault="00AF2922" w:rsidP="00AF2922">
      <w:pPr>
        <w:jc w:val="both"/>
        <w:rPr>
          <w:rFonts w:asciiTheme="minorHAnsi" w:eastAsia="Aptos" w:hAnsiTheme="minorHAnsi" w:cstheme="minorHAnsi"/>
          <w:szCs w:val="24"/>
        </w:rPr>
      </w:pPr>
      <w:r w:rsidRPr="006975BE">
        <w:rPr>
          <w:rFonts w:asciiTheme="minorHAnsi" w:eastAsia="Aptos" w:hAnsiTheme="minorHAnsi" w:cstheme="minorHAnsi"/>
          <w:i/>
          <w:szCs w:val="24"/>
        </w:rPr>
        <w:t>d)</w:t>
      </w:r>
      <w:r w:rsidRPr="006975BE">
        <w:rPr>
          <w:rFonts w:asciiTheme="minorHAnsi" w:eastAsia="Aptos" w:hAnsiTheme="minorHAnsi" w:cstheme="minorHAnsi"/>
          <w:i/>
          <w:szCs w:val="24"/>
        </w:rPr>
        <w:tab/>
      </w:r>
      <w:r w:rsidRPr="006975BE">
        <w:rPr>
          <w:rFonts w:asciiTheme="minorHAnsi" w:eastAsia="Aptos" w:hAnsiTheme="minorHAnsi" w:cstheme="minorHAnsi"/>
          <w:szCs w:val="24"/>
        </w:rPr>
        <w:t xml:space="preserve">that industry good practices, combined with enabling forward-ward leaning policy frameworks, contribute to maximizing the potential of space-based </w:t>
      </w:r>
      <w:bookmarkEnd w:id="10"/>
      <w:r w:rsidRPr="006975BE">
        <w:rPr>
          <w:rFonts w:asciiTheme="minorHAnsi" w:eastAsia="Aptos" w:hAnsiTheme="minorHAnsi" w:cstheme="minorHAnsi"/>
          <w:szCs w:val="24"/>
        </w:rPr>
        <w:t>telecommunication/ICT networks and services;</w:t>
      </w:r>
    </w:p>
    <w:p w14:paraId="7C217C37" w14:textId="77777777" w:rsidR="00AF2922" w:rsidRPr="006975BE" w:rsidRDefault="00AF2922" w:rsidP="00AF2922">
      <w:pPr>
        <w:jc w:val="both"/>
        <w:rPr>
          <w:rFonts w:asciiTheme="minorHAnsi" w:eastAsia="Aptos" w:hAnsiTheme="minorHAnsi" w:cstheme="minorHAnsi"/>
          <w:szCs w:val="24"/>
        </w:rPr>
      </w:pPr>
      <w:r w:rsidRPr="006975BE">
        <w:rPr>
          <w:rFonts w:asciiTheme="minorHAnsi" w:eastAsia="Aptos" w:hAnsiTheme="minorHAnsi" w:cstheme="minorHAnsi"/>
          <w:i/>
          <w:szCs w:val="24"/>
        </w:rPr>
        <w:t>e)</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capacity-building efforts, including the sharing of best practices and events such as the Global Symposium for Regulators and with the recent development of the GSR-24 and GSR-25 Best Practice Guidelines, can help countries keep pace with the rapid deployment of space-based telecommunication/ICT networks and services can help inform administrations evolving national regulatory approaches as countries address issues such as licensing and security;</w:t>
      </w:r>
    </w:p>
    <w:p w14:paraId="2BA74E61" w14:textId="148E0FCA" w:rsidR="00AF2922" w:rsidRPr="006975BE" w:rsidRDefault="00AF2922" w:rsidP="00AF2922">
      <w:pPr>
        <w:jc w:val="both"/>
        <w:rPr>
          <w:rFonts w:asciiTheme="minorHAnsi" w:eastAsia="Aptos" w:hAnsiTheme="minorHAnsi" w:cstheme="minorHAnsi"/>
          <w:szCs w:val="24"/>
        </w:rPr>
      </w:pPr>
      <w:r w:rsidRPr="006975BE">
        <w:rPr>
          <w:rFonts w:asciiTheme="minorHAnsi" w:eastAsia="Aptos" w:hAnsiTheme="minorHAnsi" w:cstheme="minorHAnsi"/>
          <w:i/>
          <w:szCs w:val="24"/>
        </w:rPr>
        <w:t>f)</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equitable access to space-based telecommunication/ICT networks and services calls for reflection on challenges still to be addressed such as space-based telecommunications/ICT</w:t>
      </w:r>
      <w:r w:rsidRPr="006975BE">
        <w:rPr>
          <w:rFonts w:asciiTheme="minorHAnsi" w:eastAsia="Aptos" w:hAnsiTheme="minorHAnsi" w:cstheme="minorHAnsi"/>
          <w:szCs w:val="24"/>
        </w:rPr>
        <w:noBreakHyphen/>
        <w:t xml:space="preserve">related resources utilization; </w:t>
      </w:r>
    </w:p>
    <w:p w14:paraId="4C76B794" w14:textId="77777777" w:rsidR="00AF2922" w:rsidRPr="006975BE" w:rsidRDefault="00AF2922" w:rsidP="00AF2922">
      <w:pPr>
        <w:jc w:val="both"/>
        <w:rPr>
          <w:rFonts w:asciiTheme="minorHAnsi" w:eastAsia="Aptos" w:hAnsiTheme="minorHAnsi" w:cstheme="minorHAnsi"/>
          <w:szCs w:val="24"/>
        </w:rPr>
      </w:pPr>
      <w:r w:rsidRPr="006975BE">
        <w:rPr>
          <w:rFonts w:asciiTheme="minorHAnsi" w:eastAsia="Aptos" w:hAnsiTheme="minorHAnsi" w:cstheme="minorHAnsi"/>
          <w:i/>
          <w:szCs w:val="24"/>
        </w:rPr>
        <w:t>g)</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the ITU has a specific mandate over telecommunications/ICTs, including space-based telecommunication/ICT networks and services, that complements competencies within the wider United Nations system and that efforts need to be coordinated to avoid duplication of efforts across agencies;</w:t>
      </w:r>
    </w:p>
    <w:p w14:paraId="016D8887" w14:textId="77777777" w:rsidR="00AF2922" w:rsidRPr="006975BE" w:rsidRDefault="00AF2922" w:rsidP="00AF2922">
      <w:pPr>
        <w:jc w:val="both"/>
        <w:rPr>
          <w:rFonts w:asciiTheme="minorHAnsi" w:eastAsia="Aptos" w:hAnsiTheme="minorHAnsi" w:cstheme="minorHAnsi"/>
          <w:szCs w:val="24"/>
        </w:rPr>
      </w:pPr>
      <w:r w:rsidRPr="006975BE">
        <w:rPr>
          <w:rFonts w:asciiTheme="minorHAnsi" w:eastAsia="Aptos" w:hAnsiTheme="minorHAnsi" w:cstheme="minorHAnsi"/>
          <w:i/>
          <w:szCs w:val="24"/>
        </w:rPr>
        <w:lastRenderedPageBreak/>
        <w:t>h)</w:t>
      </w:r>
      <w:r w:rsidRPr="006975BE">
        <w:rPr>
          <w:rFonts w:asciiTheme="minorHAnsi" w:eastAsia="Aptos" w:hAnsiTheme="minorHAnsi" w:cstheme="minorHAnsi"/>
          <w:i/>
          <w:szCs w:val="24"/>
        </w:rPr>
        <w:tab/>
      </w:r>
      <w:r w:rsidRPr="006975BE">
        <w:rPr>
          <w:rFonts w:asciiTheme="minorHAnsi" w:eastAsia="Aptos" w:hAnsiTheme="minorHAnsi" w:cstheme="minorHAnsi"/>
          <w:szCs w:val="24"/>
        </w:rPr>
        <w:t>that space connectivity can strengthen national resilience and disaster response when integrated into national emergency telecommunications plans,</w:t>
      </w:r>
    </w:p>
    <w:p w14:paraId="621B5BC3" w14:textId="77777777" w:rsidR="00AF2922" w:rsidRPr="006975BE" w:rsidRDefault="00AF2922" w:rsidP="00AF2922">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is of the view</w:t>
      </w:r>
    </w:p>
    <w:p w14:paraId="4E9C34F0"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szCs w:val="24"/>
        </w:rPr>
        <w:t>1</w:t>
      </w:r>
      <w:r w:rsidRPr="006975BE">
        <w:rPr>
          <w:rFonts w:asciiTheme="minorHAnsi" w:hAnsiTheme="minorHAnsi" w:cstheme="minorHAnsi"/>
          <w:szCs w:val="24"/>
        </w:rPr>
        <w:tab/>
      </w:r>
      <w:r w:rsidRPr="006975BE">
        <w:rPr>
          <w:rFonts w:asciiTheme="minorHAnsi" w:hAnsiTheme="minorHAnsi" w:cstheme="minorHAnsi"/>
          <w:szCs w:val="24"/>
          <w:lang w:eastAsia="zh-CN"/>
        </w:rPr>
        <w:t xml:space="preserve">that </w:t>
      </w:r>
      <w:r w:rsidRPr="006975BE">
        <w:rPr>
          <w:rFonts w:asciiTheme="minorHAnsi" w:eastAsia="Calibri" w:hAnsiTheme="minorHAnsi" w:cstheme="minorHAnsi"/>
          <w:szCs w:val="24"/>
          <w:lang w:eastAsia="zh-CN"/>
        </w:rPr>
        <w:t>the</w:t>
      </w:r>
      <w:r w:rsidRPr="006975BE">
        <w:rPr>
          <w:rFonts w:asciiTheme="minorHAnsi" w:hAnsiTheme="minorHAnsi" w:cstheme="minorHAnsi"/>
          <w:szCs w:val="24"/>
          <w:lang w:eastAsia="zh-CN"/>
        </w:rPr>
        <w:t xml:space="preserve"> promotion and use of space-based telecommunication/ICT network</w:t>
      </w:r>
      <w:r w:rsidRPr="006975BE">
        <w:rPr>
          <w:rFonts w:asciiTheme="minorHAnsi" w:hAnsiTheme="minorHAnsi" w:cstheme="minorHAnsi"/>
          <w:szCs w:val="24"/>
        </w:rPr>
        <w:t>s and services</w:t>
      </w:r>
      <w:r w:rsidRPr="006975BE">
        <w:rPr>
          <w:rFonts w:asciiTheme="minorHAnsi" w:eastAsia="Calibri" w:hAnsiTheme="minorHAnsi" w:cstheme="minorHAnsi"/>
          <w:szCs w:val="24"/>
        </w:rPr>
        <w:t>,</w:t>
      </w:r>
      <w:r w:rsidRPr="006975BE">
        <w:rPr>
          <w:rFonts w:asciiTheme="minorHAnsi" w:eastAsia="Calibri" w:hAnsiTheme="minorHAnsi" w:cstheme="minorHAnsi"/>
          <w:szCs w:val="24"/>
          <w:lang w:eastAsia="zh-CN"/>
        </w:rPr>
        <w:t xml:space="preserve"> </w:t>
      </w:r>
      <w:r w:rsidRPr="006975BE">
        <w:rPr>
          <w:rFonts w:asciiTheme="minorHAnsi" w:hAnsiTheme="minorHAnsi" w:cstheme="minorHAnsi"/>
          <w:szCs w:val="24"/>
          <w:lang w:eastAsia="zh-CN"/>
        </w:rPr>
        <w:t xml:space="preserve">independently or </w:t>
      </w:r>
      <w:r w:rsidRPr="006975BE">
        <w:rPr>
          <w:rFonts w:asciiTheme="minorHAnsi" w:hAnsiTheme="minorHAnsi" w:cstheme="minorHAnsi"/>
          <w:szCs w:val="24"/>
        </w:rPr>
        <w:t>together, where appropriate,</w:t>
      </w:r>
      <w:r w:rsidRPr="006975BE">
        <w:rPr>
          <w:rFonts w:asciiTheme="minorHAnsi" w:eastAsia="Aptos" w:hAnsiTheme="minorHAnsi" w:cstheme="minorHAnsi"/>
          <w:szCs w:val="24"/>
        </w:rPr>
        <w:t xml:space="preserve"> </w:t>
      </w:r>
      <w:r w:rsidRPr="006975BE">
        <w:rPr>
          <w:rFonts w:asciiTheme="minorHAnsi" w:eastAsia="Calibri" w:hAnsiTheme="minorHAnsi" w:cstheme="minorHAnsi"/>
          <w:szCs w:val="24"/>
          <w:lang w:eastAsia="zh-CN"/>
        </w:rPr>
        <w:t xml:space="preserve">with terrestrial networks and services, can contribute to </w:t>
      </w:r>
      <w:r w:rsidRPr="006975BE">
        <w:rPr>
          <w:rFonts w:asciiTheme="minorHAnsi" w:hAnsiTheme="minorHAnsi" w:cstheme="minorHAnsi"/>
          <w:szCs w:val="24"/>
        </w:rPr>
        <w:t xml:space="preserve">sustainable, social and economic development and particularly for underserved areas, including in LDCs, LLDCs, and SIDS for ensuring long term benefits and addressing emerging challenges; </w:t>
      </w:r>
    </w:p>
    <w:p w14:paraId="59A7AC1C" w14:textId="77777777" w:rsidR="00AF2922" w:rsidRPr="006975BE" w:rsidRDefault="00AF2922" w:rsidP="00AF2922">
      <w:pPr>
        <w:widowControl w:val="0"/>
        <w:jc w:val="both"/>
        <w:rPr>
          <w:rFonts w:asciiTheme="minorHAnsi" w:hAnsiTheme="minorHAnsi" w:cstheme="minorHAnsi"/>
          <w:szCs w:val="24"/>
        </w:rPr>
      </w:pPr>
      <w:r w:rsidRPr="006975BE">
        <w:rPr>
          <w:rFonts w:asciiTheme="minorHAnsi" w:hAnsiTheme="minorHAnsi" w:cstheme="minorHAnsi"/>
          <w:szCs w:val="24"/>
        </w:rPr>
        <w:t>2</w:t>
      </w:r>
      <w:r w:rsidRPr="006975BE">
        <w:rPr>
          <w:rFonts w:asciiTheme="minorHAnsi" w:hAnsiTheme="minorHAnsi" w:cstheme="minorHAnsi"/>
          <w:szCs w:val="24"/>
        </w:rPr>
        <w:tab/>
        <w:t xml:space="preserve">that an enabling environment based on transparent, stable, updated, policies and regulatory frameworks support investment in, and access to, space-based telecommunication/ICT networks and services; </w:t>
      </w:r>
    </w:p>
    <w:p w14:paraId="10828E9C"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szCs w:val="24"/>
        </w:rPr>
        <w:t>3</w:t>
      </w:r>
      <w:r w:rsidRPr="006975BE">
        <w:rPr>
          <w:rFonts w:asciiTheme="minorHAnsi" w:hAnsiTheme="minorHAnsi" w:cstheme="minorHAnsi"/>
          <w:szCs w:val="24"/>
        </w:rPr>
        <w:tab/>
        <w:t xml:space="preserve">that adopting technologically neutral approaches to connectivity targets benefit consumer’s choice and provides flexibility to choose the most suitable solution; </w:t>
      </w:r>
    </w:p>
    <w:p w14:paraId="7BA5A161"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szCs w:val="24"/>
        </w:rPr>
        <w:t>4</w:t>
      </w:r>
      <w:r w:rsidRPr="006975BE">
        <w:rPr>
          <w:rFonts w:asciiTheme="minorHAnsi" w:hAnsiTheme="minorHAnsi" w:cstheme="minorHAnsi"/>
          <w:szCs w:val="24"/>
        </w:rPr>
        <w:tab/>
        <w:t>that administrations may find it beneficial to consider updating regulatory policies and measures, if they deem appropriate, to adapt to innovation, in the deployment and development of space-based telecommunication/ICT satellite networks and services, encouraging industry participation and conditions that allow space based and terrestrial services to develop;</w:t>
      </w:r>
    </w:p>
    <w:p w14:paraId="1C2CF49C"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szCs w:val="24"/>
        </w:rPr>
        <w:t>5</w:t>
      </w:r>
      <w:r w:rsidRPr="006975BE">
        <w:rPr>
          <w:rFonts w:asciiTheme="minorHAnsi" w:hAnsiTheme="minorHAnsi" w:cstheme="minorHAnsi"/>
          <w:szCs w:val="24"/>
        </w:rPr>
        <w:tab/>
        <w:t>that global partnerships and international cooperation with other UN agencies, international organizations, and stakeholders are essential to promote Member State engagement in space communication activities, particularly for developing countries, contributing towards achieving the SDGs, without prejudice to national priorities and approaches;</w:t>
      </w:r>
    </w:p>
    <w:p w14:paraId="03B0CD95"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szCs w:val="24"/>
        </w:rPr>
        <w:t>6</w:t>
      </w:r>
      <w:r w:rsidRPr="006975BE">
        <w:rPr>
          <w:rFonts w:asciiTheme="minorHAnsi" w:hAnsiTheme="minorHAnsi" w:cstheme="minorHAnsi"/>
          <w:szCs w:val="24"/>
        </w:rPr>
        <w:tab/>
        <w:t>that exploring avenues for international cooperation, knowledge exchange initiatives, can facilitate equitable opportunities presented by space-based telecommunication/ICT applications and services;</w:t>
      </w:r>
    </w:p>
    <w:p w14:paraId="30CB767E"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szCs w:val="24"/>
        </w:rPr>
        <w:t>7</w:t>
      </w:r>
      <w:r w:rsidRPr="006975BE">
        <w:rPr>
          <w:rFonts w:asciiTheme="minorHAnsi" w:hAnsiTheme="minorHAnsi" w:cstheme="minorHAnsi"/>
          <w:szCs w:val="24"/>
        </w:rPr>
        <w:tab/>
        <w:t>that support for research and innovation may contribute to the long-term sustainability of space-based telecommunication/ICT activities, fostering collaboration among concerned entities, within their mandates, and multistakeholder cooperation, including industry;</w:t>
      </w:r>
    </w:p>
    <w:p w14:paraId="088D7D71"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szCs w:val="24"/>
        </w:rPr>
        <w:t>8</w:t>
      </w:r>
      <w:r w:rsidRPr="006975BE">
        <w:rPr>
          <w:rFonts w:asciiTheme="minorHAnsi" w:hAnsiTheme="minorHAnsi" w:cstheme="minorHAnsi"/>
          <w:szCs w:val="24"/>
        </w:rPr>
        <w:tab/>
        <w:t>that public and private sector investment in space-based telecommunications/ICTs plays an important role in in expanding connectivity, and addressing barriers to investment can foster innovation and accelerate access to connectivity,</w:t>
      </w:r>
    </w:p>
    <w:p w14:paraId="37121E56" w14:textId="77777777" w:rsidR="00AF2922" w:rsidRPr="006975BE" w:rsidRDefault="00AF2922" w:rsidP="00AF2922">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invites Member States</w:t>
      </w:r>
    </w:p>
    <w:p w14:paraId="4D228B41" w14:textId="77777777" w:rsidR="00AF2922" w:rsidRPr="006975BE" w:rsidRDefault="00AF2922" w:rsidP="00AF2922">
      <w:pPr>
        <w:jc w:val="both"/>
        <w:rPr>
          <w:rFonts w:asciiTheme="minorHAnsi" w:hAnsiTheme="minorHAnsi" w:cstheme="minorHAnsi"/>
          <w:szCs w:val="24"/>
        </w:rPr>
      </w:pPr>
      <w:r w:rsidRPr="006975BE">
        <w:rPr>
          <w:rFonts w:asciiTheme="minorHAnsi" w:hAnsiTheme="minorHAnsi" w:cstheme="minorHAnsi"/>
          <w:szCs w:val="24"/>
        </w:rPr>
        <w:t>1</w:t>
      </w:r>
      <w:r w:rsidRPr="006975BE">
        <w:rPr>
          <w:rFonts w:asciiTheme="minorHAnsi" w:hAnsiTheme="minorHAnsi" w:cstheme="minorHAnsi"/>
          <w:szCs w:val="24"/>
        </w:rPr>
        <w:tab/>
      </w:r>
      <w:r w:rsidRPr="006975BE">
        <w:rPr>
          <w:rFonts w:asciiTheme="minorHAnsi" w:eastAsia="Calibri" w:hAnsiTheme="minorHAnsi" w:cstheme="minorHAnsi"/>
          <w:szCs w:val="24"/>
          <w:lang w:eastAsia="zh-CN"/>
        </w:rPr>
        <w:t xml:space="preserve">to </w:t>
      </w:r>
      <w:r w:rsidRPr="006975BE">
        <w:rPr>
          <w:rFonts w:asciiTheme="minorHAnsi" w:hAnsiTheme="minorHAnsi" w:cstheme="minorHAnsi"/>
          <w:szCs w:val="24"/>
        </w:rPr>
        <w:t xml:space="preserve">consider adopting policy and regulatory measures that facilitate access to space-based telecommunication/ICT networks and services as referred to in </w:t>
      </w:r>
      <w:r w:rsidRPr="006975BE">
        <w:rPr>
          <w:rFonts w:asciiTheme="minorHAnsi" w:hAnsiTheme="minorHAnsi" w:cstheme="minorHAnsi"/>
          <w:i/>
          <w:iCs/>
          <w:szCs w:val="24"/>
        </w:rPr>
        <w:t>is of the view</w:t>
      </w:r>
      <w:r w:rsidRPr="006975BE">
        <w:rPr>
          <w:rFonts w:asciiTheme="minorHAnsi" w:hAnsiTheme="minorHAnsi" w:cstheme="minorHAnsi"/>
          <w:szCs w:val="24"/>
        </w:rPr>
        <w:t xml:space="preserve"> 4; </w:t>
      </w:r>
    </w:p>
    <w:p w14:paraId="4145176D"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2</w:t>
      </w:r>
      <w:r w:rsidRPr="006975BE">
        <w:rPr>
          <w:rFonts w:asciiTheme="minorHAnsi" w:eastAsia="Calibri" w:hAnsiTheme="minorHAnsi" w:cstheme="minorHAnsi"/>
          <w:szCs w:val="24"/>
          <w:lang w:eastAsia="zh-CN"/>
        </w:rPr>
        <w:tab/>
      </w:r>
      <w:r w:rsidRPr="006975BE">
        <w:rPr>
          <w:rFonts w:asciiTheme="minorHAnsi" w:hAnsiTheme="minorHAnsi" w:cstheme="minorHAnsi"/>
          <w:szCs w:val="24"/>
        </w:rPr>
        <w:t>to consider technologically inclusive approaches to connectivity targets, based on good practices that provide</w:t>
      </w:r>
      <w:r w:rsidRPr="006975BE">
        <w:rPr>
          <w:rFonts w:asciiTheme="minorHAnsi" w:eastAsia="Calibri" w:hAnsiTheme="minorHAnsi" w:cstheme="minorHAnsi"/>
          <w:szCs w:val="24"/>
          <w:lang w:eastAsia="zh-CN"/>
        </w:rPr>
        <w:t xml:space="preserve"> consumers and providers flexibility to choose the technology that best fits local needs,</w:t>
      </w:r>
    </w:p>
    <w:p w14:paraId="12A09022" w14:textId="77777777" w:rsidR="00AF2922" w:rsidRPr="006975BE" w:rsidRDefault="00AF2922" w:rsidP="00AF2922">
      <w:pPr>
        <w:pStyle w:val="Call"/>
        <w:jc w:val="both"/>
        <w:rPr>
          <w:rFonts w:asciiTheme="minorHAnsi" w:eastAsia="Calibri" w:hAnsiTheme="minorHAnsi" w:cstheme="minorHAnsi"/>
          <w:szCs w:val="24"/>
        </w:rPr>
      </w:pPr>
      <w:r w:rsidRPr="006975BE">
        <w:rPr>
          <w:rFonts w:asciiTheme="minorHAnsi" w:eastAsia="Calibri" w:hAnsiTheme="minorHAnsi" w:cstheme="minorHAnsi"/>
          <w:szCs w:val="24"/>
        </w:rPr>
        <w:t>invites Member States, Sector Members and other</w:t>
      </w:r>
      <w:r w:rsidRPr="006975BE">
        <w:rPr>
          <w:rFonts w:asciiTheme="minorHAnsi" w:eastAsia="Aptos" w:hAnsiTheme="minorHAnsi" w:cstheme="minorHAnsi"/>
          <w:szCs w:val="24"/>
        </w:rPr>
        <w:t xml:space="preserve"> </w:t>
      </w:r>
      <w:r w:rsidRPr="006975BE">
        <w:rPr>
          <w:rFonts w:asciiTheme="minorHAnsi" w:eastAsia="Calibri" w:hAnsiTheme="minorHAnsi" w:cstheme="minorHAnsi"/>
          <w:szCs w:val="24"/>
        </w:rPr>
        <w:t xml:space="preserve">stakeholders to work collaboratively </w:t>
      </w:r>
    </w:p>
    <w:p w14:paraId="34C63288"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1</w:t>
      </w:r>
      <w:r w:rsidRPr="006975BE">
        <w:rPr>
          <w:rFonts w:asciiTheme="minorHAnsi" w:eastAsia="Calibri" w:hAnsiTheme="minorHAnsi" w:cstheme="minorHAnsi"/>
          <w:szCs w:val="24"/>
          <w:lang w:eastAsia="zh-CN"/>
        </w:rPr>
        <w:tab/>
        <w:t xml:space="preserve">to consider actively participating in relevant international fora focused on space-based telecommunications/ICTs aimed at bridging the digital divides; </w:t>
      </w:r>
    </w:p>
    <w:p w14:paraId="328D5E81"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2</w:t>
      </w:r>
      <w:r w:rsidRPr="006975BE">
        <w:rPr>
          <w:rFonts w:asciiTheme="minorHAnsi" w:eastAsia="Calibri" w:hAnsiTheme="minorHAnsi" w:cstheme="minorHAnsi"/>
          <w:szCs w:val="24"/>
          <w:lang w:eastAsia="zh-CN"/>
        </w:rPr>
        <w:tab/>
        <w:t xml:space="preserve">to enhance global partnerships and strengthen cooperation to promote and harness space-based telecommunication/ICT networks and services for sustainable development; </w:t>
      </w:r>
    </w:p>
    <w:p w14:paraId="746F3F32" w14:textId="77777777" w:rsidR="00AF2922" w:rsidRPr="006975BE" w:rsidRDefault="00AF2922" w:rsidP="00AF2922">
      <w:pPr>
        <w:jc w:val="both"/>
        <w:rPr>
          <w:rFonts w:asciiTheme="minorHAnsi" w:eastAsia="Calibri" w:hAnsiTheme="minorHAnsi" w:cstheme="minorHAnsi"/>
          <w:szCs w:val="24"/>
          <w:lang w:eastAsia="zh-CN"/>
        </w:rPr>
      </w:pPr>
      <w:bookmarkStart w:id="11" w:name="_Hlk219985672"/>
      <w:r w:rsidRPr="006975BE">
        <w:rPr>
          <w:rFonts w:asciiTheme="minorHAnsi" w:eastAsia="Calibri" w:hAnsiTheme="minorHAnsi" w:cstheme="minorHAnsi"/>
          <w:szCs w:val="24"/>
          <w:lang w:eastAsia="zh-CN"/>
        </w:rPr>
        <w:lastRenderedPageBreak/>
        <w:t>3</w:t>
      </w:r>
      <w:r w:rsidRPr="006975BE">
        <w:rPr>
          <w:rFonts w:asciiTheme="minorHAnsi" w:eastAsia="Calibri" w:hAnsiTheme="minorHAnsi" w:cstheme="minorHAnsi"/>
          <w:szCs w:val="24"/>
          <w:lang w:eastAsia="zh-CN"/>
        </w:rPr>
        <w:tab/>
        <w:t xml:space="preserve">to promote collaboration and sharing of good practices on policy and regulatory frameworks for space-based telecommunication/ICT networks and services; </w:t>
      </w:r>
    </w:p>
    <w:bookmarkEnd w:id="11"/>
    <w:p w14:paraId="6AD8542D"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4</w:t>
      </w:r>
      <w:r w:rsidRPr="006975BE">
        <w:rPr>
          <w:rFonts w:asciiTheme="minorHAnsi" w:eastAsia="Calibri" w:hAnsiTheme="minorHAnsi" w:cstheme="minorHAnsi"/>
          <w:szCs w:val="24"/>
          <w:lang w:eastAsia="zh-CN"/>
        </w:rPr>
        <w:tab/>
        <w:t xml:space="preserve">to facilitate the collaboration between terrestrial network and non-terrestrial space-based telecommunication/ICT operators to take advantage of new and emerging telecommunication/ICT services and technologies; </w:t>
      </w:r>
    </w:p>
    <w:p w14:paraId="08223BA9"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5</w:t>
      </w:r>
      <w:r w:rsidRPr="006975BE">
        <w:rPr>
          <w:rFonts w:asciiTheme="minorHAnsi" w:eastAsia="Calibri" w:hAnsiTheme="minorHAnsi" w:cstheme="minorHAnsi"/>
          <w:szCs w:val="24"/>
          <w:lang w:eastAsia="zh-CN"/>
        </w:rPr>
        <w:tab/>
        <w:t>to strengthen policy and regulatory frameworks for development and deployment of space-based telecommunication/ICT networks and services,</w:t>
      </w:r>
    </w:p>
    <w:p w14:paraId="245778DF" w14:textId="77777777" w:rsidR="00AF2922" w:rsidRPr="006975BE" w:rsidRDefault="00AF2922" w:rsidP="00AF2922">
      <w:pPr>
        <w:pStyle w:val="Call"/>
        <w:rPr>
          <w:rFonts w:asciiTheme="minorHAnsi" w:eastAsia="SimSun" w:hAnsiTheme="minorHAnsi" w:cstheme="minorHAnsi"/>
          <w:szCs w:val="24"/>
          <w:lang w:eastAsia="zh-CN"/>
        </w:rPr>
      </w:pPr>
      <w:r w:rsidRPr="006975BE">
        <w:rPr>
          <w:rFonts w:asciiTheme="minorHAnsi" w:eastAsia="Calibri" w:hAnsiTheme="minorHAnsi" w:cstheme="minorHAnsi"/>
          <w:szCs w:val="24"/>
        </w:rPr>
        <w:t xml:space="preserve">invites the Secretary-General, </w:t>
      </w:r>
      <w:r w:rsidRPr="006975BE">
        <w:rPr>
          <w:rFonts w:asciiTheme="minorHAnsi" w:eastAsia="SimSun" w:hAnsiTheme="minorHAnsi" w:cstheme="minorHAnsi"/>
          <w:szCs w:val="24"/>
        </w:rPr>
        <w:t>in close collaboration with the Directors of the</w:t>
      </w:r>
      <w:r w:rsidRPr="006975BE">
        <w:rPr>
          <w:rFonts w:asciiTheme="minorHAnsi" w:eastAsia="SimSun" w:hAnsiTheme="minorHAnsi" w:cstheme="minorHAnsi"/>
          <w:szCs w:val="24"/>
          <w:lang w:eastAsia="zh-CN"/>
        </w:rPr>
        <w:t xml:space="preserve"> Radiocommunication and Development Bureaux</w:t>
      </w:r>
    </w:p>
    <w:p w14:paraId="4AC4B883"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1</w:t>
      </w:r>
      <w:r w:rsidRPr="006975BE">
        <w:rPr>
          <w:rFonts w:asciiTheme="minorHAnsi" w:eastAsia="Calibri" w:hAnsiTheme="minorHAnsi" w:cstheme="minorHAnsi"/>
          <w:szCs w:val="24"/>
          <w:lang w:eastAsia="zh-CN"/>
        </w:rPr>
        <w:tab/>
        <w:t xml:space="preserve">to continue to </w:t>
      </w:r>
      <w:r w:rsidRPr="006975BE">
        <w:rPr>
          <w:rFonts w:asciiTheme="minorHAnsi" w:hAnsiTheme="minorHAnsi" w:cstheme="minorHAnsi"/>
          <w:szCs w:val="24"/>
          <w:lang w:eastAsia="zh-CN"/>
        </w:rPr>
        <w:t xml:space="preserve">facilitate and strengthen ITU efforts to promote access to space-based </w:t>
      </w:r>
      <w:r w:rsidRPr="006975BE">
        <w:rPr>
          <w:rFonts w:asciiTheme="minorHAnsi" w:eastAsia="Calibri" w:hAnsiTheme="minorHAnsi" w:cstheme="minorHAnsi"/>
          <w:szCs w:val="24"/>
          <w:lang w:eastAsia="zh-CN"/>
        </w:rPr>
        <w:t>telecommunication/ICT networks and services as part of broader ITU efforts to achieve universal and meaningful connectivity and the sustainable use of outer space connectivity resources such as radio frequency spectrum and associated orbits by the telecommunication/ICT sector;</w:t>
      </w:r>
    </w:p>
    <w:p w14:paraId="77E74796" w14:textId="77777777" w:rsidR="00AF2922" w:rsidRPr="006975BE" w:rsidRDefault="00AF2922" w:rsidP="00AF2922">
      <w:pPr>
        <w:jc w:val="both"/>
        <w:rPr>
          <w:rFonts w:asciiTheme="minorHAnsi" w:eastAsia="Calibri" w:hAnsiTheme="minorHAnsi" w:cstheme="minorHAnsi"/>
          <w:szCs w:val="24"/>
          <w:lang w:eastAsia="zh-CN"/>
        </w:rPr>
      </w:pPr>
      <w:r w:rsidRPr="006975BE">
        <w:rPr>
          <w:rFonts w:asciiTheme="minorHAnsi" w:eastAsia="Calibri" w:hAnsiTheme="minorHAnsi" w:cstheme="minorHAnsi"/>
          <w:szCs w:val="24"/>
          <w:lang w:eastAsia="zh-CN"/>
        </w:rPr>
        <w:t>2</w:t>
      </w:r>
      <w:r w:rsidRPr="006975BE">
        <w:rPr>
          <w:rFonts w:asciiTheme="minorHAnsi" w:eastAsia="Calibri" w:hAnsiTheme="minorHAnsi" w:cstheme="minorHAnsi"/>
          <w:szCs w:val="24"/>
          <w:lang w:eastAsia="zh-CN"/>
        </w:rPr>
        <w:tab/>
        <w:t>to continue to support regulators and policy makers by capacity building through developing tools and resources, including case studies of modern good practices on space-based telecommunications/ICTs.</w:t>
      </w:r>
    </w:p>
    <w:p w14:paraId="42510A6B" w14:textId="77777777" w:rsidR="00B63517" w:rsidRPr="007031A4" w:rsidRDefault="00B63517" w:rsidP="00EC3236">
      <w:pPr>
        <w:tabs>
          <w:tab w:val="clear" w:pos="567"/>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p>
    <w:p w14:paraId="60102A23" w14:textId="6DFEF96E" w:rsidR="0042354C" w:rsidRPr="0008540E" w:rsidRDefault="00B63517" w:rsidP="008A01B0">
      <w:pPr>
        <w:jc w:val="center"/>
      </w:pPr>
      <w:r>
        <w:t>______________</w:t>
      </w:r>
    </w:p>
    <w:sectPr w:rsidR="0042354C" w:rsidRPr="0008540E" w:rsidSect="00361097">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D0270" w14:textId="77777777" w:rsidR="00C017CE" w:rsidRDefault="00C017CE">
      <w:r>
        <w:separator/>
      </w:r>
    </w:p>
  </w:endnote>
  <w:endnote w:type="continuationSeparator" w:id="0">
    <w:p w14:paraId="61A9B0C0" w14:textId="77777777" w:rsidR="00C017CE" w:rsidRDefault="00C0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DBE7" w14:textId="77777777" w:rsidR="00A516BB" w:rsidRPr="0042354C" w:rsidRDefault="0042354C" w:rsidP="0042354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B63517">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685A5" w14:textId="77777777" w:rsidR="00C017CE" w:rsidRDefault="00C017CE">
      <w:r>
        <w:t>____________________</w:t>
      </w:r>
    </w:p>
  </w:footnote>
  <w:footnote w:type="continuationSeparator" w:id="0">
    <w:p w14:paraId="21B0B75E" w14:textId="77777777" w:rsidR="00C017CE" w:rsidRDefault="00C0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7DCF" w14:textId="77777777" w:rsidR="0042354C" w:rsidRDefault="0042354C" w:rsidP="0042354C">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517"/>
    <w:rsid w:val="00000AF8"/>
    <w:rsid w:val="00001935"/>
    <w:rsid w:val="000035FC"/>
    <w:rsid w:val="000048E4"/>
    <w:rsid w:val="00004F8B"/>
    <w:rsid w:val="00010B2A"/>
    <w:rsid w:val="00011208"/>
    <w:rsid w:val="000143FA"/>
    <w:rsid w:val="00014808"/>
    <w:rsid w:val="00015E97"/>
    <w:rsid w:val="00017DAB"/>
    <w:rsid w:val="000235EC"/>
    <w:rsid w:val="00041924"/>
    <w:rsid w:val="000507C1"/>
    <w:rsid w:val="00053B97"/>
    <w:rsid w:val="00055C50"/>
    <w:rsid w:val="00082EB9"/>
    <w:rsid w:val="000842DF"/>
    <w:rsid w:val="0008540E"/>
    <w:rsid w:val="00094B4F"/>
    <w:rsid w:val="000A1015"/>
    <w:rsid w:val="000B03F9"/>
    <w:rsid w:val="000B0A77"/>
    <w:rsid w:val="000B0D6C"/>
    <w:rsid w:val="000B596F"/>
    <w:rsid w:val="000B5BB9"/>
    <w:rsid w:val="000B7152"/>
    <w:rsid w:val="000C4701"/>
    <w:rsid w:val="000E4C7A"/>
    <w:rsid w:val="000E5E15"/>
    <w:rsid w:val="000F5A9A"/>
    <w:rsid w:val="000F73D1"/>
    <w:rsid w:val="001001C5"/>
    <w:rsid w:val="00105EFE"/>
    <w:rsid w:val="00106777"/>
    <w:rsid w:val="0011489E"/>
    <w:rsid w:val="00114BA3"/>
    <w:rsid w:val="00115DEC"/>
    <w:rsid w:val="0012014C"/>
    <w:rsid w:val="00123F09"/>
    <w:rsid w:val="00127FA6"/>
    <w:rsid w:val="00136175"/>
    <w:rsid w:val="00140FF0"/>
    <w:rsid w:val="00142F28"/>
    <w:rsid w:val="00146057"/>
    <w:rsid w:val="00161C12"/>
    <w:rsid w:val="00161CDA"/>
    <w:rsid w:val="00163CD4"/>
    <w:rsid w:val="0016633C"/>
    <w:rsid w:val="00171990"/>
    <w:rsid w:val="00195B70"/>
    <w:rsid w:val="001A0EEB"/>
    <w:rsid w:val="001A16ED"/>
    <w:rsid w:val="001B18AB"/>
    <w:rsid w:val="001B70D1"/>
    <w:rsid w:val="001C2D51"/>
    <w:rsid w:val="001C3804"/>
    <w:rsid w:val="001D3322"/>
    <w:rsid w:val="001E01A5"/>
    <w:rsid w:val="001E18AB"/>
    <w:rsid w:val="001E1C8F"/>
    <w:rsid w:val="001F0B24"/>
    <w:rsid w:val="001F4060"/>
    <w:rsid w:val="002115E0"/>
    <w:rsid w:val="00215F12"/>
    <w:rsid w:val="00232B31"/>
    <w:rsid w:val="00235A3B"/>
    <w:rsid w:val="00243BE4"/>
    <w:rsid w:val="00256E96"/>
    <w:rsid w:val="00257188"/>
    <w:rsid w:val="002578B4"/>
    <w:rsid w:val="002646C6"/>
    <w:rsid w:val="00267D12"/>
    <w:rsid w:val="00281792"/>
    <w:rsid w:val="0028799E"/>
    <w:rsid w:val="00290125"/>
    <w:rsid w:val="002962A8"/>
    <w:rsid w:val="002A56C0"/>
    <w:rsid w:val="002C4D84"/>
    <w:rsid w:val="002E77F4"/>
    <w:rsid w:val="002F36B9"/>
    <w:rsid w:val="002F5FA2"/>
    <w:rsid w:val="003038E3"/>
    <w:rsid w:val="003126B0"/>
    <w:rsid w:val="00314127"/>
    <w:rsid w:val="00314C12"/>
    <w:rsid w:val="003261C3"/>
    <w:rsid w:val="003453DA"/>
    <w:rsid w:val="0035205B"/>
    <w:rsid w:val="00357754"/>
    <w:rsid w:val="003578E4"/>
    <w:rsid w:val="00361097"/>
    <w:rsid w:val="00373A0D"/>
    <w:rsid w:val="003740BC"/>
    <w:rsid w:val="00375076"/>
    <w:rsid w:val="00375BBA"/>
    <w:rsid w:val="003826EA"/>
    <w:rsid w:val="003903CE"/>
    <w:rsid w:val="00395CE4"/>
    <w:rsid w:val="003A32AD"/>
    <w:rsid w:val="003A33F1"/>
    <w:rsid w:val="003A3938"/>
    <w:rsid w:val="003A4E67"/>
    <w:rsid w:val="003A5FFB"/>
    <w:rsid w:val="003A7923"/>
    <w:rsid w:val="003A7FB6"/>
    <w:rsid w:val="003B3751"/>
    <w:rsid w:val="003F0763"/>
    <w:rsid w:val="003F2121"/>
    <w:rsid w:val="003F2E54"/>
    <w:rsid w:val="003F5771"/>
    <w:rsid w:val="003F61F3"/>
    <w:rsid w:val="004014B0"/>
    <w:rsid w:val="004059B0"/>
    <w:rsid w:val="0042354C"/>
    <w:rsid w:val="00426AC1"/>
    <w:rsid w:val="004321DC"/>
    <w:rsid w:val="00435AA4"/>
    <w:rsid w:val="00435EA8"/>
    <w:rsid w:val="004360BB"/>
    <w:rsid w:val="0044665A"/>
    <w:rsid w:val="004529ED"/>
    <w:rsid w:val="0045533C"/>
    <w:rsid w:val="004606DA"/>
    <w:rsid w:val="00463092"/>
    <w:rsid w:val="004676C0"/>
    <w:rsid w:val="00474E00"/>
    <w:rsid w:val="004835DB"/>
    <w:rsid w:val="00491D2D"/>
    <w:rsid w:val="00494797"/>
    <w:rsid w:val="004B0C10"/>
    <w:rsid w:val="004B167B"/>
    <w:rsid w:val="004C0EF7"/>
    <w:rsid w:val="004C19D7"/>
    <w:rsid w:val="004C297B"/>
    <w:rsid w:val="004C73C9"/>
    <w:rsid w:val="004D7CC5"/>
    <w:rsid w:val="004E01FA"/>
    <w:rsid w:val="004E6764"/>
    <w:rsid w:val="004F041D"/>
    <w:rsid w:val="004F1C55"/>
    <w:rsid w:val="004F7925"/>
    <w:rsid w:val="00504FE5"/>
    <w:rsid w:val="00507348"/>
    <w:rsid w:val="00522C97"/>
    <w:rsid w:val="00527BEA"/>
    <w:rsid w:val="005356FD"/>
    <w:rsid w:val="00547D75"/>
    <w:rsid w:val="00551C8B"/>
    <w:rsid w:val="00554E24"/>
    <w:rsid w:val="00555A0F"/>
    <w:rsid w:val="00567130"/>
    <w:rsid w:val="0057034B"/>
    <w:rsid w:val="00581E8F"/>
    <w:rsid w:val="00586A98"/>
    <w:rsid w:val="00591C15"/>
    <w:rsid w:val="005927A4"/>
    <w:rsid w:val="00592E8C"/>
    <w:rsid w:val="00596B48"/>
    <w:rsid w:val="005B10E8"/>
    <w:rsid w:val="005B5026"/>
    <w:rsid w:val="005B661F"/>
    <w:rsid w:val="005C3315"/>
    <w:rsid w:val="005E1CC3"/>
    <w:rsid w:val="005F05C8"/>
    <w:rsid w:val="00604079"/>
    <w:rsid w:val="00606A6A"/>
    <w:rsid w:val="00617BE4"/>
    <w:rsid w:val="00620233"/>
    <w:rsid w:val="00627DF4"/>
    <w:rsid w:val="00635E04"/>
    <w:rsid w:val="006404B0"/>
    <w:rsid w:val="0066499C"/>
    <w:rsid w:val="00676E68"/>
    <w:rsid w:val="006A7108"/>
    <w:rsid w:val="006B2035"/>
    <w:rsid w:val="006B40DA"/>
    <w:rsid w:val="006C5D5D"/>
    <w:rsid w:val="006D139F"/>
    <w:rsid w:val="006E215D"/>
    <w:rsid w:val="006E57C8"/>
    <w:rsid w:val="006E70E1"/>
    <w:rsid w:val="006F565E"/>
    <w:rsid w:val="006F794B"/>
    <w:rsid w:val="00701ABB"/>
    <w:rsid w:val="00711035"/>
    <w:rsid w:val="007130ED"/>
    <w:rsid w:val="007140CF"/>
    <w:rsid w:val="0071582A"/>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7B8B"/>
    <w:rsid w:val="00794795"/>
    <w:rsid w:val="007949EA"/>
    <w:rsid w:val="00796849"/>
    <w:rsid w:val="00796DAE"/>
    <w:rsid w:val="007A59C3"/>
    <w:rsid w:val="007A76B7"/>
    <w:rsid w:val="007B0E06"/>
    <w:rsid w:val="007B30FC"/>
    <w:rsid w:val="007C3643"/>
    <w:rsid w:val="007C617F"/>
    <w:rsid w:val="007D17CB"/>
    <w:rsid w:val="007D5061"/>
    <w:rsid w:val="007D7003"/>
    <w:rsid w:val="007E00D2"/>
    <w:rsid w:val="007E2AD4"/>
    <w:rsid w:val="007E3469"/>
    <w:rsid w:val="007E7B63"/>
    <w:rsid w:val="007F78BD"/>
    <w:rsid w:val="00810AD6"/>
    <w:rsid w:val="0082780C"/>
    <w:rsid w:val="008333C7"/>
    <w:rsid w:val="00833E0F"/>
    <w:rsid w:val="008404FD"/>
    <w:rsid w:val="00841AB4"/>
    <w:rsid w:val="00846DBA"/>
    <w:rsid w:val="00850AEF"/>
    <w:rsid w:val="00855DAB"/>
    <w:rsid w:val="00860C6A"/>
    <w:rsid w:val="00862891"/>
    <w:rsid w:val="00875048"/>
    <w:rsid w:val="00875BE1"/>
    <w:rsid w:val="00877715"/>
    <w:rsid w:val="00895CE3"/>
    <w:rsid w:val="0089603F"/>
    <w:rsid w:val="00897970"/>
    <w:rsid w:val="008A01B0"/>
    <w:rsid w:val="008B5A71"/>
    <w:rsid w:val="008D3BE2"/>
    <w:rsid w:val="008D4D98"/>
    <w:rsid w:val="008E2A7B"/>
    <w:rsid w:val="008E6E9B"/>
    <w:rsid w:val="008F2C56"/>
    <w:rsid w:val="008F3C99"/>
    <w:rsid w:val="00900D5B"/>
    <w:rsid w:val="009236FE"/>
    <w:rsid w:val="00940E00"/>
    <w:rsid w:val="00945D4B"/>
    <w:rsid w:val="0094741F"/>
    <w:rsid w:val="00950E0F"/>
    <w:rsid w:val="0096150D"/>
    <w:rsid w:val="009630FA"/>
    <w:rsid w:val="00967103"/>
    <w:rsid w:val="00967670"/>
    <w:rsid w:val="00970996"/>
    <w:rsid w:val="009800CC"/>
    <w:rsid w:val="00995B9D"/>
    <w:rsid w:val="009A078E"/>
    <w:rsid w:val="009A2B30"/>
    <w:rsid w:val="009A4211"/>
    <w:rsid w:val="009A47A2"/>
    <w:rsid w:val="009E425E"/>
    <w:rsid w:val="009E4322"/>
    <w:rsid w:val="009F4384"/>
    <w:rsid w:val="009F442D"/>
    <w:rsid w:val="009F50DA"/>
    <w:rsid w:val="00A06D56"/>
    <w:rsid w:val="00A2517E"/>
    <w:rsid w:val="00A314A2"/>
    <w:rsid w:val="00A516BB"/>
    <w:rsid w:val="00A619C5"/>
    <w:rsid w:val="00A808E1"/>
    <w:rsid w:val="00A8262F"/>
    <w:rsid w:val="00A830AC"/>
    <w:rsid w:val="00A84B32"/>
    <w:rsid w:val="00A84B3A"/>
    <w:rsid w:val="00A87124"/>
    <w:rsid w:val="00A9011B"/>
    <w:rsid w:val="00A93B71"/>
    <w:rsid w:val="00AB0B32"/>
    <w:rsid w:val="00AB190D"/>
    <w:rsid w:val="00AB2D04"/>
    <w:rsid w:val="00AB5C39"/>
    <w:rsid w:val="00AB75A9"/>
    <w:rsid w:val="00AD1C5C"/>
    <w:rsid w:val="00AD566F"/>
    <w:rsid w:val="00AF0849"/>
    <w:rsid w:val="00AF2922"/>
    <w:rsid w:val="00B156F9"/>
    <w:rsid w:val="00B1733E"/>
    <w:rsid w:val="00B23CD4"/>
    <w:rsid w:val="00B25A86"/>
    <w:rsid w:val="00B304B9"/>
    <w:rsid w:val="00B55E1A"/>
    <w:rsid w:val="00B57988"/>
    <w:rsid w:val="00B62032"/>
    <w:rsid w:val="00B63517"/>
    <w:rsid w:val="00B65F8C"/>
    <w:rsid w:val="00B72227"/>
    <w:rsid w:val="00B7263B"/>
    <w:rsid w:val="00B73F47"/>
    <w:rsid w:val="00B7638A"/>
    <w:rsid w:val="00B80DF9"/>
    <w:rsid w:val="00B81C62"/>
    <w:rsid w:val="00B840D8"/>
    <w:rsid w:val="00B96467"/>
    <w:rsid w:val="00BA154E"/>
    <w:rsid w:val="00BA37CE"/>
    <w:rsid w:val="00BA4692"/>
    <w:rsid w:val="00BA75DD"/>
    <w:rsid w:val="00BC6FDB"/>
    <w:rsid w:val="00BC7DE8"/>
    <w:rsid w:val="00BD1D95"/>
    <w:rsid w:val="00BE0966"/>
    <w:rsid w:val="00BF43BA"/>
    <w:rsid w:val="00BF5722"/>
    <w:rsid w:val="00BF6268"/>
    <w:rsid w:val="00BF720B"/>
    <w:rsid w:val="00C017CE"/>
    <w:rsid w:val="00C04511"/>
    <w:rsid w:val="00C112A3"/>
    <w:rsid w:val="00C16846"/>
    <w:rsid w:val="00C34851"/>
    <w:rsid w:val="00C42A5B"/>
    <w:rsid w:val="00C5419D"/>
    <w:rsid w:val="00C56038"/>
    <w:rsid w:val="00C6729F"/>
    <w:rsid w:val="00C70164"/>
    <w:rsid w:val="00C72664"/>
    <w:rsid w:val="00C86F24"/>
    <w:rsid w:val="00CA38C9"/>
    <w:rsid w:val="00CB4984"/>
    <w:rsid w:val="00CB5DD7"/>
    <w:rsid w:val="00CB7795"/>
    <w:rsid w:val="00CB77D5"/>
    <w:rsid w:val="00CC14F0"/>
    <w:rsid w:val="00CE1B90"/>
    <w:rsid w:val="00CE3B0F"/>
    <w:rsid w:val="00CE40BB"/>
    <w:rsid w:val="00CF1C71"/>
    <w:rsid w:val="00CF510F"/>
    <w:rsid w:val="00D07696"/>
    <w:rsid w:val="00D11956"/>
    <w:rsid w:val="00D15A98"/>
    <w:rsid w:val="00D33AFC"/>
    <w:rsid w:val="00D500DC"/>
    <w:rsid w:val="00D54B39"/>
    <w:rsid w:val="00D64FF3"/>
    <w:rsid w:val="00D657A2"/>
    <w:rsid w:val="00D75620"/>
    <w:rsid w:val="00D760C8"/>
    <w:rsid w:val="00D813BE"/>
    <w:rsid w:val="00D83FFD"/>
    <w:rsid w:val="00D8451F"/>
    <w:rsid w:val="00D8617D"/>
    <w:rsid w:val="00D92563"/>
    <w:rsid w:val="00DC7C10"/>
    <w:rsid w:val="00DD26B1"/>
    <w:rsid w:val="00DD5177"/>
    <w:rsid w:val="00DE16B8"/>
    <w:rsid w:val="00DE20DF"/>
    <w:rsid w:val="00DE4CC2"/>
    <w:rsid w:val="00DF23FC"/>
    <w:rsid w:val="00DF39CD"/>
    <w:rsid w:val="00DF3BBE"/>
    <w:rsid w:val="00E0094D"/>
    <w:rsid w:val="00E10A17"/>
    <w:rsid w:val="00E13427"/>
    <w:rsid w:val="00E1374D"/>
    <w:rsid w:val="00E20134"/>
    <w:rsid w:val="00E24CB2"/>
    <w:rsid w:val="00E313E9"/>
    <w:rsid w:val="00E31D1C"/>
    <w:rsid w:val="00E32981"/>
    <w:rsid w:val="00E34312"/>
    <w:rsid w:val="00E3536D"/>
    <w:rsid w:val="00E44456"/>
    <w:rsid w:val="00E553B9"/>
    <w:rsid w:val="00E56E57"/>
    <w:rsid w:val="00E62EC4"/>
    <w:rsid w:val="00E6599B"/>
    <w:rsid w:val="00E726DE"/>
    <w:rsid w:val="00E844D5"/>
    <w:rsid w:val="00E86536"/>
    <w:rsid w:val="00E871C2"/>
    <w:rsid w:val="00EA1BAA"/>
    <w:rsid w:val="00EA681B"/>
    <w:rsid w:val="00ED401C"/>
    <w:rsid w:val="00EE333B"/>
    <w:rsid w:val="00EF2642"/>
    <w:rsid w:val="00EF3681"/>
    <w:rsid w:val="00EF3B7A"/>
    <w:rsid w:val="00EF4AAB"/>
    <w:rsid w:val="00F10790"/>
    <w:rsid w:val="00F10E7C"/>
    <w:rsid w:val="00F13C1E"/>
    <w:rsid w:val="00F16F17"/>
    <w:rsid w:val="00F20BC2"/>
    <w:rsid w:val="00F3225F"/>
    <w:rsid w:val="00F342E4"/>
    <w:rsid w:val="00F35330"/>
    <w:rsid w:val="00F40860"/>
    <w:rsid w:val="00F41C91"/>
    <w:rsid w:val="00F433A4"/>
    <w:rsid w:val="00F4421A"/>
    <w:rsid w:val="00F44B1A"/>
    <w:rsid w:val="00F47316"/>
    <w:rsid w:val="00F55DA5"/>
    <w:rsid w:val="00F94BC2"/>
    <w:rsid w:val="00F95ABE"/>
    <w:rsid w:val="00F9756D"/>
    <w:rsid w:val="00FB5F12"/>
    <w:rsid w:val="00FC5117"/>
    <w:rsid w:val="00FD417F"/>
    <w:rsid w:val="00FD6BFD"/>
    <w:rsid w:val="00FD7255"/>
    <w:rsid w:val="00FD7B1D"/>
    <w:rsid w:val="00FE1E22"/>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8DC94"/>
  <w15:docId w15:val="{65C2707A-8DEB-43A5-B932-FF631A80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character" w:styleId="PlaceholderText">
    <w:name w:val="Placeholder Text"/>
    <w:basedOn w:val="DefaultParagraphFont"/>
    <w:uiPriority w:val="99"/>
    <w:semiHidden/>
    <w:rsid w:val="0042354C"/>
    <w:rPr>
      <w:color w:val="666666"/>
    </w:rPr>
  </w:style>
  <w:style w:type="paragraph" w:customStyle="1" w:styleId="OpNo">
    <w:name w:val="Op_No"/>
    <w:basedOn w:val="ResNo"/>
    <w:rsid w:val="00B63517"/>
  </w:style>
  <w:style w:type="paragraph" w:customStyle="1" w:styleId="Optitle0">
    <w:name w:val="Op_title"/>
    <w:basedOn w:val="Restitle"/>
    <w:rsid w:val="00B63517"/>
    <w:rPr>
      <w:rFonts w:eastAsia="Calibri"/>
    </w:rPr>
  </w:style>
  <w:style w:type="paragraph" w:styleId="Revision">
    <w:name w:val="Revision"/>
    <w:hidden/>
    <w:uiPriority w:val="99"/>
    <w:semiHidden/>
    <w:rsid w:val="007A76B7"/>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1237</Words>
  <Characters>8277</Characters>
  <Application>Microsoft Office Word</Application>
  <DocSecurity>0</DocSecurity>
  <Lines>140</Lines>
  <Paragraphs>58</Paragraphs>
  <ScaleCrop>false</ScaleCrop>
  <HeadingPairs>
    <vt:vector size="2" baseType="variant">
      <vt:variant>
        <vt:lpstr>Title</vt:lpstr>
      </vt:variant>
      <vt:variant>
        <vt:i4>1</vt:i4>
      </vt:variant>
    </vt:vector>
  </HeadingPairs>
  <TitlesOfParts>
    <vt:vector size="1" baseType="lpstr">
      <vt:lpstr>Draft Opinion 4 - Space connectivity</vt:lpstr>
    </vt:vector>
  </TitlesOfParts>
  <Manager/>
  <Company>ITU</Company>
  <LinksUpToDate>false</LinksUpToDate>
  <CharactersWithSpaces>9456</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4 - Space connectivity</dc:title>
  <dc:subject>World telecommunication/information and communication technology policy forum</dc:subject>
  <dc:creator>De La Rosa Trivino, Maria Dolores</dc:creator>
  <cp:keywords>WTPF, WTPF-26</cp:keywords>
  <cp:lastModifiedBy>GBS-2</cp:lastModifiedBy>
  <cp:revision>4</cp:revision>
  <dcterms:created xsi:type="dcterms:W3CDTF">2026-08-13T16:27:00Z</dcterms:created>
  <dcterms:modified xsi:type="dcterms:W3CDTF">2026-08-14T08:19:00Z</dcterms:modified>
  <cp:category>Conference document</cp:category>
</cp:coreProperties>
</file>