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78D9A849" w14:textId="77777777" w:rsidTr="003433B7">
        <w:trPr>
          <w:cantSplit/>
          <w:trHeight w:hRule="exact" w:val="1418"/>
        </w:trPr>
        <w:tc>
          <w:tcPr>
            <w:tcW w:w="9672" w:type="dxa"/>
            <w:gridSpan w:val="2"/>
            <w:vAlign w:val="center"/>
          </w:tcPr>
          <w:p w14:paraId="372A9D19" w14:textId="77777777" w:rsidR="00EB3ADA" w:rsidRPr="003A0ECA" w:rsidRDefault="003A0C0D" w:rsidP="003A0C0D">
            <w:pPr>
              <w:tabs>
                <w:tab w:val="clear" w:pos="567"/>
                <w:tab w:val="clear" w:pos="1134"/>
                <w:tab w:val="clear" w:pos="1701"/>
                <w:tab w:val="clear" w:pos="2268"/>
                <w:tab w:val="clear" w:pos="2835"/>
                <w:tab w:val="left" w:pos="794"/>
              </w:tabs>
              <w:overflowPunct/>
              <w:autoSpaceDE/>
              <w:autoSpaceDN/>
              <w:bidi w:val="0"/>
              <w:adjustRightInd/>
              <w:spacing w:before="0" w:line="240" w:lineRule="auto"/>
              <w:jc w:val="left"/>
              <w:textAlignment w:val="auto"/>
              <w:rPr>
                <w:rtl/>
                <w:lang w:val="en-US" w:eastAsia="zh-CN"/>
              </w:rPr>
            </w:pPr>
            <w:r>
              <w:rPr>
                <w:noProof/>
                <w:rtl/>
                <w:lang w:val="ar-EG" w:eastAsia="zh-CN"/>
              </w:rPr>
              <w:drawing>
                <wp:inline distT="0" distB="0" distL="0" distR="0" wp14:anchorId="4C6F58CE" wp14:editId="66AEBCF6">
                  <wp:extent cx="6660000" cy="971958"/>
                  <wp:effectExtent l="0" t="0" r="0" b="0"/>
                  <wp:docPr id="205566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9901" name="Picture 20556699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958"/>
                          </a:xfrm>
                          <a:prstGeom prst="rect">
                            <a:avLst/>
                          </a:prstGeom>
                        </pic:spPr>
                      </pic:pic>
                    </a:graphicData>
                  </a:graphic>
                </wp:inline>
              </w:drawing>
            </w:r>
          </w:p>
        </w:tc>
      </w:tr>
      <w:tr w:rsidR="00EB3ADA" w:rsidRPr="003A0ECA" w14:paraId="6DB513F3" w14:textId="77777777" w:rsidTr="00EB3ADA">
        <w:trPr>
          <w:cantSplit/>
          <w:trHeight w:val="283"/>
        </w:trPr>
        <w:tc>
          <w:tcPr>
            <w:tcW w:w="9672" w:type="dxa"/>
            <w:gridSpan w:val="2"/>
            <w:tcBorders>
              <w:bottom w:val="single" w:sz="12" w:space="0" w:color="71716F"/>
            </w:tcBorders>
          </w:tcPr>
          <w:p w14:paraId="511A016A"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196E737C" w14:textId="77777777" w:rsidTr="00EB3ADA">
        <w:trPr>
          <w:cantSplit/>
          <w:trHeight w:val="255"/>
        </w:trPr>
        <w:tc>
          <w:tcPr>
            <w:tcW w:w="6620" w:type="dxa"/>
            <w:tcBorders>
              <w:top w:val="single" w:sz="12" w:space="0" w:color="71716F"/>
            </w:tcBorders>
          </w:tcPr>
          <w:p w14:paraId="56CB4650"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4F5560C6"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0DC3758F" w14:textId="77777777" w:rsidTr="00EB3ADA">
        <w:trPr>
          <w:cantSplit/>
        </w:trPr>
        <w:tc>
          <w:tcPr>
            <w:tcW w:w="6620" w:type="dxa"/>
          </w:tcPr>
          <w:p w14:paraId="3D511092" w14:textId="77777777" w:rsidR="00F27DBC" w:rsidRPr="00F27DBC" w:rsidRDefault="00F27DBC" w:rsidP="00F27DBC">
            <w:pPr>
              <w:pStyle w:val="Committee"/>
              <w:rPr>
                <w:rtl/>
                <w:lang w:eastAsia="zh-CN"/>
              </w:rPr>
            </w:pPr>
          </w:p>
        </w:tc>
        <w:tc>
          <w:tcPr>
            <w:tcW w:w="3052" w:type="dxa"/>
            <w:vAlign w:val="center"/>
          </w:tcPr>
          <w:p w14:paraId="69F5978A" w14:textId="3590E576" w:rsidR="00F27DBC" w:rsidRPr="003A0ECA" w:rsidRDefault="00F27DBC"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p>
        </w:tc>
      </w:tr>
      <w:tr w:rsidR="00F27DBC" w:rsidRPr="003A0ECA" w14:paraId="317964C0" w14:textId="77777777" w:rsidTr="00EB3ADA">
        <w:trPr>
          <w:cantSplit/>
        </w:trPr>
        <w:tc>
          <w:tcPr>
            <w:tcW w:w="6620" w:type="dxa"/>
          </w:tcPr>
          <w:p w14:paraId="1E819C0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6D4CAC42" w14:textId="40224EBB" w:rsidR="00F27DBC" w:rsidRPr="003A0ECA" w:rsidRDefault="00970392"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rFonts w:hint="cs"/>
                <w:b/>
                <w:bCs/>
                <w:rtl/>
              </w:rPr>
              <w:t xml:space="preserve">29 أبريل </w:t>
            </w:r>
            <w:r w:rsidR="00515E95" w:rsidRPr="00F37276">
              <w:rPr>
                <w:b/>
                <w:bCs/>
              </w:rPr>
              <w:t>20</w:t>
            </w:r>
            <w:r w:rsidR="00515E95">
              <w:rPr>
                <w:b/>
                <w:bCs/>
              </w:rPr>
              <w:t>2</w:t>
            </w:r>
            <w:r w:rsidR="003433B7">
              <w:rPr>
                <w:b/>
                <w:bCs/>
              </w:rPr>
              <w:t>6</w:t>
            </w:r>
          </w:p>
        </w:tc>
      </w:tr>
      <w:tr w:rsidR="00F27DBC" w:rsidRPr="003A0ECA" w14:paraId="57C928DE" w14:textId="77777777" w:rsidTr="00EB3ADA">
        <w:trPr>
          <w:cantSplit/>
        </w:trPr>
        <w:tc>
          <w:tcPr>
            <w:tcW w:w="6620" w:type="dxa"/>
          </w:tcPr>
          <w:p w14:paraId="191AEE7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393C4252"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12AA962A" w14:textId="77777777" w:rsidTr="00EB3ADA">
        <w:trPr>
          <w:cantSplit/>
        </w:trPr>
        <w:tc>
          <w:tcPr>
            <w:tcW w:w="6620" w:type="dxa"/>
          </w:tcPr>
          <w:p w14:paraId="5B31A7C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1AFDB8E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32439D14" w14:textId="77777777" w:rsidTr="00EB3ADA">
        <w:trPr>
          <w:cantSplit/>
        </w:trPr>
        <w:tc>
          <w:tcPr>
            <w:tcW w:w="9672" w:type="dxa"/>
            <w:gridSpan w:val="2"/>
          </w:tcPr>
          <w:p w14:paraId="75575422" w14:textId="5BCD6984" w:rsidR="003A0ECA" w:rsidRPr="003A0ECA" w:rsidRDefault="00970392" w:rsidP="00970392">
            <w:pPr>
              <w:pStyle w:val="OpNo"/>
              <w:framePr w:hSpace="0" w:wrap="auto" w:yAlign="inline"/>
            </w:pPr>
            <w:r w:rsidRPr="00970392">
              <w:rPr>
                <w:rtl/>
                <w:lang w:bidi="ar-EG"/>
              </w:rPr>
              <w:t xml:space="preserve">مشروع الرأي </w:t>
            </w:r>
            <w:r w:rsidR="004F002E">
              <w:rPr>
                <w:lang w:val="en-GB"/>
              </w:rPr>
              <w:t>4</w:t>
            </w:r>
          </w:p>
        </w:tc>
      </w:tr>
      <w:tr w:rsidR="003A0ECA" w:rsidRPr="003A0ECA" w14:paraId="4F63F357" w14:textId="77777777" w:rsidTr="00EB3ADA">
        <w:trPr>
          <w:cantSplit/>
        </w:trPr>
        <w:tc>
          <w:tcPr>
            <w:tcW w:w="9672" w:type="dxa"/>
            <w:gridSpan w:val="2"/>
          </w:tcPr>
          <w:p w14:paraId="66EDE480" w14:textId="506564DF" w:rsidR="003A0ECA" w:rsidRPr="00190E86" w:rsidRDefault="00C53031" w:rsidP="00FF1E2A">
            <w:pPr>
              <w:pStyle w:val="Optitle0"/>
              <w:bidi/>
              <w:rPr>
                <w:rFonts w:hint="default"/>
                <w:lang w:bidi="en-GB"/>
              </w:rPr>
            </w:pPr>
            <w:r w:rsidRPr="004D017B">
              <w:rPr>
                <w:rFonts w:hint="default"/>
                <w:rtl/>
              </w:rPr>
              <w:t>التوصيلية الفضائية</w:t>
            </w:r>
          </w:p>
        </w:tc>
      </w:tr>
    </w:tbl>
    <w:p w14:paraId="27F17530" w14:textId="77777777" w:rsidR="00CE0E6C" w:rsidRPr="004D017B" w:rsidRDefault="00CE0E6C" w:rsidP="00CE0E6C">
      <w:pPr>
        <w:pStyle w:val="Normalaftertitle"/>
        <w:rPr>
          <w:rtl/>
          <w:lang w:bidi="en-GB"/>
        </w:rPr>
      </w:pPr>
      <w:r w:rsidRPr="004D017B">
        <w:rPr>
          <w:rtl/>
          <w:lang w:bidi="ar-SA"/>
        </w:rPr>
        <w:t>إن المنتدى العالمي السابع لسياسات الاتصالات/تكنولوجيا المعلومات والاتصالات (ناس</w:t>
      </w:r>
      <w:r>
        <w:rPr>
          <w:rFonts w:hint="cs"/>
          <w:rtl/>
          <w:lang w:bidi="ar-SA"/>
        </w:rPr>
        <w:t>ا</w:t>
      </w:r>
      <w:r w:rsidRPr="004D017B">
        <w:rPr>
          <w:rtl/>
          <w:lang w:bidi="ar-SA"/>
        </w:rPr>
        <w:t xml:space="preserve">و، </w:t>
      </w:r>
      <w:r w:rsidRPr="004D017B">
        <w:rPr>
          <w:lang w:bidi="ar-SA"/>
        </w:rPr>
        <w:t>2026</w:t>
      </w:r>
      <w:r w:rsidRPr="004D017B">
        <w:rPr>
          <w:rtl/>
          <w:lang w:bidi="ar-SA"/>
        </w:rPr>
        <w:t>)،</w:t>
      </w:r>
    </w:p>
    <w:p w14:paraId="752988D4" w14:textId="1BFEE119" w:rsidR="00CE0E6C" w:rsidRPr="004D017B" w:rsidRDefault="00CE0E6C" w:rsidP="00CE0E6C">
      <w:pPr>
        <w:pStyle w:val="Call"/>
        <w:rPr>
          <w:rtl/>
          <w:lang w:bidi="en-GB"/>
        </w:rPr>
      </w:pPr>
      <w:r w:rsidRPr="004D017B">
        <w:rPr>
          <w:rtl/>
          <w:lang w:bidi="ar-SA"/>
        </w:rPr>
        <w:t xml:space="preserve">إذ </w:t>
      </w:r>
      <w:r w:rsidR="00AC0380">
        <w:rPr>
          <w:rFonts w:hint="cs"/>
          <w:rtl/>
          <w:lang w:bidi="ar-SA"/>
        </w:rPr>
        <w:t>يذكِّر</w:t>
      </w:r>
    </w:p>
    <w:p w14:paraId="5573176A" w14:textId="018C5F99" w:rsidR="00CE0E6C" w:rsidRDefault="00CE0E6C" w:rsidP="00CE0E6C">
      <w:pPr>
        <w:rPr>
          <w:rtl/>
          <w:lang w:bidi="ar-SA"/>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r>
      <w:r w:rsidR="000C4E81">
        <w:rPr>
          <w:rFonts w:hint="cs"/>
          <w:rtl/>
          <w:lang w:bidi="ar-SA"/>
        </w:rPr>
        <w:t>ب</w:t>
      </w:r>
      <w:r w:rsidRPr="004D017B">
        <w:rPr>
          <w:rtl/>
          <w:lang w:bidi="ar-SA"/>
        </w:rPr>
        <w:t xml:space="preserve">القرار </w:t>
      </w:r>
      <w:r>
        <w:rPr>
          <w:lang w:bidi="ar-SA"/>
        </w:rPr>
        <w:t>70/1</w:t>
      </w:r>
      <w:r w:rsidRPr="004D017B">
        <w:rPr>
          <w:rtl/>
          <w:lang w:bidi="ar-SA"/>
        </w:rPr>
        <w:t xml:space="preserve"> للجمعية العامة للأمم المتحدة </w:t>
      </w:r>
      <w:r w:rsidRPr="005144AB">
        <w:rPr>
          <w:lang w:val="en-US" w:bidi="ar-SA"/>
        </w:rPr>
        <w:t>(UNGA)</w:t>
      </w:r>
      <w:r w:rsidRPr="004D017B">
        <w:rPr>
          <w:rtl/>
          <w:lang w:bidi="ar-SA"/>
        </w:rPr>
        <w:t xml:space="preserve">، بشأن تحويل عالمنا: خطة التنمية المستدامة لعام </w:t>
      </w:r>
      <w:r w:rsidRPr="004D017B">
        <w:rPr>
          <w:lang w:bidi="ar-SA"/>
        </w:rPr>
        <w:t>2030</w:t>
      </w:r>
      <w:r w:rsidRPr="004D017B">
        <w:rPr>
          <w:rtl/>
          <w:lang w:bidi="ar-SA"/>
        </w:rPr>
        <w:t>؛</w:t>
      </w:r>
    </w:p>
    <w:p w14:paraId="3B5614A6" w14:textId="013C2C87" w:rsidR="00CE0E6C" w:rsidRDefault="00CE0E6C" w:rsidP="00CE0E6C">
      <w:pPr>
        <w:rPr>
          <w:rtl/>
          <w:lang w:bidi="ar-SA"/>
        </w:rPr>
      </w:pPr>
      <w:r w:rsidRPr="004E53B3">
        <w:rPr>
          <w:i/>
          <w:iCs/>
          <w:rtl/>
          <w:lang w:bidi="ar-SA"/>
        </w:rPr>
        <w:t>ب)</w:t>
      </w:r>
      <w:r w:rsidRPr="004E53B3">
        <w:rPr>
          <w:rtl/>
          <w:lang w:bidi="ar-SA"/>
        </w:rPr>
        <w:tab/>
      </w:r>
      <w:r w:rsidR="000C4E81">
        <w:rPr>
          <w:rFonts w:hint="cs"/>
          <w:rtl/>
          <w:lang w:bidi="ar-SA"/>
        </w:rPr>
        <w:t>ب</w:t>
      </w:r>
      <w:r w:rsidRPr="004E53B3">
        <w:rPr>
          <w:rtl/>
          <w:lang w:bidi="ar-SA"/>
        </w:rPr>
        <w:t xml:space="preserve">القرار </w:t>
      </w:r>
      <w:r w:rsidRPr="004E53B3">
        <w:rPr>
          <w:lang w:bidi="ar-SA"/>
        </w:rPr>
        <w:t>76/3</w:t>
      </w:r>
      <w:r w:rsidRPr="004E53B3">
        <w:rPr>
          <w:rtl/>
          <w:lang w:bidi="ar-SA"/>
        </w:rPr>
        <w:t xml:space="preserve"> الصادر عن الجمعية العامة للأمم المتحدة، بشأن خطة </w:t>
      </w:r>
      <w:r w:rsidRPr="004E53B3">
        <w:rPr>
          <w:rFonts w:hint="cs"/>
          <w:rtl/>
          <w:lang w:bidi="ar-SA"/>
        </w:rPr>
        <w:t>"</w:t>
      </w:r>
      <w:r w:rsidRPr="004E53B3">
        <w:rPr>
          <w:rtl/>
          <w:lang w:bidi="ar-SA"/>
        </w:rPr>
        <w:t xml:space="preserve">الفضاء </w:t>
      </w:r>
      <w:r w:rsidRPr="004E53B3">
        <w:rPr>
          <w:lang w:bidi="ar-SA"/>
        </w:rPr>
        <w:t>2030</w:t>
      </w:r>
      <w:r w:rsidRPr="004E53B3">
        <w:rPr>
          <w:rFonts w:hint="cs"/>
          <w:rtl/>
          <w:lang w:bidi="ar-SA"/>
        </w:rPr>
        <w:t>":</w:t>
      </w:r>
      <w:r w:rsidRPr="004E53B3">
        <w:rPr>
          <w:rtl/>
          <w:lang w:bidi="ar-SA"/>
        </w:rPr>
        <w:t xml:space="preserve"> الفضاء باعتباره محركاً للتنمية</w:t>
      </w:r>
      <w:r>
        <w:rPr>
          <w:rFonts w:hint="cs"/>
          <w:rtl/>
          <w:lang w:bidi="ar-SA"/>
        </w:rPr>
        <w:t> </w:t>
      </w:r>
      <w:r w:rsidRPr="004E53B3">
        <w:rPr>
          <w:rtl/>
          <w:lang w:bidi="ar-SA"/>
        </w:rPr>
        <w:t>المستدامة؛</w:t>
      </w:r>
    </w:p>
    <w:p w14:paraId="706307A8" w14:textId="7C84F681" w:rsidR="00CE0E6C" w:rsidRPr="004D017B" w:rsidRDefault="00CE0E6C" w:rsidP="00CE0E6C">
      <w:pPr>
        <w:rPr>
          <w:rtl/>
          <w:lang w:bidi="en-GB"/>
        </w:rPr>
      </w:pPr>
      <w:r w:rsidRPr="004D017B">
        <w:rPr>
          <w:i/>
          <w:iCs/>
          <w:rtl/>
          <w:lang w:bidi="ar-SA"/>
        </w:rPr>
        <w:t>ج)</w:t>
      </w:r>
      <w:r w:rsidRPr="004D017B">
        <w:rPr>
          <w:rtl/>
          <w:lang w:bidi="ar-SA"/>
        </w:rPr>
        <w:tab/>
      </w:r>
      <w:r w:rsidR="000C4E81">
        <w:rPr>
          <w:rFonts w:hint="cs"/>
          <w:rtl/>
          <w:lang w:bidi="ar-SA"/>
        </w:rPr>
        <w:t>ب</w:t>
      </w:r>
      <w:r w:rsidRPr="004D017B">
        <w:rPr>
          <w:rtl/>
          <w:lang w:bidi="ar-SA"/>
        </w:rPr>
        <w:t xml:space="preserve">الأحكام ذات الصلة من المادة </w:t>
      </w:r>
      <w:r w:rsidRPr="004D017B">
        <w:rPr>
          <w:lang w:bidi="ar-SA"/>
        </w:rPr>
        <w:t>44</w:t>
      </w:r>
      <w:r w:rsidRPr="004D017B">
        <w:rPr>
          <w:rtl/>
          <w:lang w:bidi="ar-SA"/>
        </w:rPr>
        <w:t xml:space="preserve"> من دستور الاتحاد؛</w:t>
      </w:r>
    </w:p>
    <w:p w14:paraId="2229B2B1" w14:textId="13F1B8CC" w:rsidR="00CE0E6C" w:rsidRPr="004972EB" w:rsidRDefault="00CE0E6C" w:rsidP="00CE0E6C">
      <w:pPr>
        <w:rPr>
          <w:rtl/>
          <w:lang w:bidi="ar-SA"/>
        </w:rPr>
      </w:pPr>
      <w:r w:rsidRPr="004972EB">
        <w:rPr>
          <w:i/>
          <w:iCs/>
          <w:rtl/>
          <w:lang w:bidi="ar-SA"/>
        </w:rPr>
        <w:t>د</w:t>
      </w:r>
      <w:r w:rsidRPr="004972EB">
        <w:rPr>
          <w:rFonts w:hint="cs"/>
          <w:i/>
          <w:iCs/>
          <w:rtl/>
          <w:lang w:bidi="ar-SA"/>
        </w:rPr>
        <w:t> </w:t>
      </w:r>
      <w:r w:rsidRPr="004972EB">
        <w:rPr>
          <w:i/>
          <w:iCs/>
          <w:rtl/>
          <w:lang w:bidi="ar-SA"/>
        </w:rPr>
        <w:t>)</w:t>
      </w:r>
      <w:r w:rsidRPr="004972EB">
        <w:rPr>
          <w:rtl/>
          <w:lang w:bidi="ar-SA"/>
        </w:rPr>
        <w:tab/>
      </w:r>
      <w:r w:rsidR="000C4E81">
        <w:rPr>
          <w:rFonts w:hint="cs"/>
          <w:rtl/>
          <w:lang w:bidi="ar-SA"/>
        </w:rPr>
        <w:t>ب</w:t>
      </w:r>
      <w:r w:rsidRPr="004972EB">
        <w:rPr>
          <w:rtl/>
          <w:lang w:bidi="ar-SA"/>
        </w:rPr>
        <w:t>القرارات ذات الصلة الصادرة عن مؤتمر المندوبين المفوضين والمتعلقة بموضوع شبكات وخدمات الاتصالات/تكنولوجيا المعلومات والاتصالات</w:t>
      </w:r>
      <w:r w:rsidRPr="004972EB">
        <w:rPr>
          <w:rFonts w:hint="cs"/>
          <w:rtl/>
          <w:lang w:bidi="ar-SA"/>
        </w:rPr>
        <w:t xml:space="preserve"> </w:t>
      </w:r>
      <w:r w:rsidRPr="004972EB">
        <w:rPr>
          <w:lang w:val="en-US" w:bidi="ar-SA"/>
        </w:rPr>
        <w:t>(ICT)</w:t>
      </w:r>
      <w:r w:rsidRPr="004972EB">
        <w:rPr>
          <w:rtl/>
          <w:lang w:bidi="ar-SA"/>
        </w:rPr>
        <w:t xml:space="preserve"> القائمة على الفضاء، ومنها، على سبيل المثال لا الحصر، القرار </w:t>
      </w:r>
      <w:r w:rsidRPr="004972EB">
        <w:rPr>
          <w:lang w:bidi="ar-SA"/>
        </w:rPr>
        <w:t>139</w:t>
      </w:r>
      <w:r w:rsidRPr="004972EB">
        <w:rPr>
          <w:rtl/>
          <w:lang w:bidi="ar-SA"/>
        </w:rPr>
        <w:t xml:space="preserve"> (</w:t>
      </w:r>
      <w:r w:rsidRPr="004972EB">
        <w:rPr>
          <w:spacing w:val="2"/>
          <w:rtl/>
          <w:lang w:bidi="ar-SA"/>
        </w:rPr>
        <w:t xml:space="preserve">المراجَع في </w:t>
      </w:r>
      <w:r w:rsidRPr="004972EB">
        <w:rPr>
          <w:rtl/>
          <w:lang w:bidi="ar-SA"/>
        </w:rPr>
        <w:t xml:space="preserve">بوخارست، </w:t>
      </w:r>
      <w:r w:rsidRPr="004972EB">
        <w:rPr>
          <w:lang w:bidi="ar-SA"/>
        </w:rPr>
        <w:t>2022</w:t>
      </w:r>
      <w:r w:rsidRPr="004972EB">
        <w:rPr>
          <w:rtl/>
          <w:lang w:bidi="ar-SA"/>
        </w:rPr>
        <w:t>)، والقرار</w:t>
      </w:r>
      <w:r>
        <w:rPr>
          <w:rFonts w:hint="cs"/>
          <w:rtl/>
          <w:lang w:bidi="ar-SA"/>
        </w:rPr>
        <w:t> </w:t>
      </w:r>
      <w:r w:rsidRPr="004972EB">
        <w:rPr>
          <w:lang w:bidi="ar-SA"/>
        </w:rPr>
        <w:t>186</w:t>
      </w:r>
      <w:r w:rsidRPr="004972EB">
        <w:rPr>
          <w:rtl/>
          <w:lang w:bidi="ar-SA"/>
        </w:rPr>
        <w:t xml:space="preserve"> (المراجَع في بوخارست، </w:t>
      </w:r>
      <w:r w:rsidRPr="004972EB">
        <w:rPr>
          <w:lang w:bidi="ar-SA"/>
        </w:rPr>
        <w:t>2022</w:t>
      </w:r>
      <w:r w:rsidRPr="004972EB">
        <w:rPr>
          <w:rtl/>
          <w:lang w:bidi="ar-SA"/>
        </w:rPr>
        <w:t xml:space="preserve">)، والقرار </w:t>
      </w:r>
      <w:r w:rsidRPr="004972EB">
        <w:rPr>
          <w:lang w:bidi="ar-SA"/>
        </w:rPr>
        <w:t>218</w:t>
      </w:r>
      <w:r w:rsidRPr="004972EB">
        <w:rPr>
          <w:rtl/>
          <w:lang w:bidi="ar-SA"/>
        </w:rPr>
        <w:t xml:space="preserve"> (بوخارست، </w:t>
      </w:r>
      <w:r w:rsidRPr="004972EB">
        <w:rPr>
          <w:lang w:bidi="ar-SA"/>
        </w:rPr>
        <w:t>2022</w:t>
      </w:r>
      <w:r w:rsidRPr="004972EB">
        <w:rPr>
          <w:rtl/>
          <w:lang w:bidi="ar-SA"/>
        </w:rPr>
        <w:t xml:space="preserve">)، والقرار </w:t>
      </w:r>
      <w:r w:rsidRPr="004972EB">
        <w:rPr>
          <w:lang w:bidi="ar-SA"/>
        </w:rPr>
        <w:t>219</w:t>
      </w:r>
      <w:r w:rsidRPr="004972EB">
        <w:rPr>
          <w:rtl/>
          <w:lang w:bidi="ar-SA"/>
        </w:rPr>
        <w:t xml:space="preserve"> (بوخارست، </w:t>
      </w:r>
      <w:r w:rsidRPr="004972EB">
        <w:rPr>
          <w:lang w:bidi="ar-SA"/>
        </w:rPr>
        <w:t>2022</w:t>
      </w:r>
      <w:r w:rsidRPr="004972EB">
        <w:rPr>
          <w:rtl/>
          <w:lang w:bidi="ar-SA"/>
        </w:rPr>
        <w:t>)؛</w:t>
      </w:r>
    </w:p>
    <w:p w14:paraId="34B8F11D" w14:textId="49465C40" w:rsidR="00CE0E6C" w:rsidRPr="004972EB" w:rsidRDefault="00CE0E6C" w:rsidP="00CE0E6C">
      <w:pPr>
        <w:rPr>
          <w:spacing w:val="2"/>
          <w:rtl/>
          <w:lang w:bidi="en-GB"/>
        </w:rPr>
      </w:pPr>
      <w:r w:rsidRPr="004972EB">
        <w:rPr>
          <w:i/>
          <w:iCs/>
          <w:spacing w:val="2"/>
          <w:rtl/>
          <w:lang w:bidi="ar-SA"/>
        </w:rPr>
        <w:t>ه‍</w:t>
      </w:r>
      <w:r w:rsidRPr="004972EB">
        <w:rPr>
          <w:rFonts w:hint="cs"/>
          <w:i/>
          <w:iCs/>
          <w:spacing w:val="2"/>
          <w:rtl/>
          <w:lang w:bidi="ar-SA"/>
        </w:rPr>
        <w:t>ـ </w:t>
      </w:r>
      <w:r w:rsidRPr="004972EB">
        <w:rPr>
          <w:i/>
          <w:iCs/>
          <w:spacing w:val="2"/>
          <w:rtl/>
          <w:lang w:bidi="ar-SA"/>
        </w:rPr>
        <w:t>)</w:t>
      </w:r>
      <w:r>
        <w:rPr>
          <w:i/>
          <w:iCs/>
          <w:spacing w:val="2"/>
          <w:rtl/>
          <w:lang w:bidi="ar-SA"/>
        </w:rPr>
        <w:tab/>
      </w:r>
      <w:r w:rsidR="000C4E81">
        <w:rPr>
          <w:rFonts w:hint="cs"/>
          <w:spacing w:val="2"/>
          <w:rtl/>
          <w:lang w:bidi="ar-SA"/>
        </w:rPr>
        <w:t xml:space="preserve">بالقرارات </w:t>
      </w:r>
      <w:r w:rsidRPr="004972EB">
        <w:rPr>
          <w:spacing w:val="2"/>
          <w:rtl/>
          <w:lang w:bidi="ar-SA"/>
        </w:rPr>
        <w:t>ذات الصلة الصادرة عن المؤتمرات والجمعيات الرئيسية لقطاعات الاتحاد الدولي للاتصالات الثلاثة والمتعلقة بموضوع شبكات وخدمات الاتصالات/تكنولوجيا المعلومات والاتصالات القائمة على الفضاء، ومنها، في جملة أمور، القرار</w:t>
      </w:r>
      <w:r w:rsidRPr="004972EB">
        <w:rPr>
          <w:rFonts w:hint="cs"/>
          <w:spacing w:val="2"/>
          <w:rtl/>
          <w:lang w:bidi="ar-SA"/>
        </w:rPr>
        <w:t> </w:t>
      </w:r>
      <w:r w:rsidRPr="004972EB">
        <w:rPr>
          <w:spacing w:val="2"/>
          <w:lang w:bidi="ar-SA"/>
        </w:rPr>
        <w:t>22</w:t>
      </w:r>
      <w:r w:rsidRPr="004972EB">
        <w:rPr>
          <w:rFonts w:hint="cs"/>
          <w:spacing w:val="2"/>
          <w:rtl/>
          <w:lang w:bidi="ar-SA"/>
        </w:rPr>
        <w:t> </w:t>
      </w:r>
      <w:r w:rsidRPr="004972EB">
        <w:rPr>
          <w:spacing w:val="2"/>
          <w:rtl/>
          <w:lang w:bidi="ar-SA"/>
        </w:rPr>
        <w:t xml:space="preserve">(المراجَع في دبي، </w:t>
      </w:r>
      <w:r w:rsidRPr="004972EB">
        <w:rPr>
          <w:spacing w:val="2"/>
          <w:lang w:bidi="ar-SA"/>
        </w:rPr>
        <w:t>2023</w:t>
      </w:r>
      <w:r w:rsidRPr="004972EB">
        <w:rPr>
          <w:spacing w:val="2"/>
          <w:rtl/>
          <w:lang w:bidi="ar-SA"/>
        </w:rPr>
        <w:t xml:space="preserve">) للمؤتمر العالمي للاتصالات الراديوية؛ والقرارات </w:t>
      </w:r>
      <w:r w:rsidRPr="004972EB">
        <w:rPr>
          <w:spacing w:val="2"/>
          <w:lang w:bidi="ar-SA"/>
        </w:rPr>
        <w:t>11</w:t>
      </w:r>
      <w:r w:rsidRPr="004972EB">
        <w:rPr>
          <w:spacing w:val="2"/>
          <w:rtl/>
          <w:lang w:bidi="ar-SA"/>
        </w:rPr>
        <w:t xml:space="preserve"> (المراجَع في باكو، </w:t>
      </w:r>
      <w:r w:rsidRPr="004972EB">
        <w:rPr>
          <w:spacing w:val="2"/>
          <w:lang w:bidi="ar-SA"/>
        </w:rPr>
        <w:t>2025</w:t>
      </w:r>
      <w:r w:rsidRPr="004972EB">
        <w:rPr>
          <w:spacing w:val="2"/>
          <w:rtl/>
          <w:lang w:bidi="ar-SA"/>
        </w:rPr>
        <w:t>)، و</w:t>
      </w:r>
      <w:r w:rsidRPr="004972EB">
        <w:rPr>
          <w:spacing w:val="2"/>
          <w:lang w:bidi="ar-SA"/>
        </w:rPr>
        <w:t>37</w:t>
      </w:r>
      <w:r>
        <w:rPr>
          <w:rFonts w:hint="cs"/>
          <w:spacing w:val="2"/>
          <w:rtl/>
          <w:lang w:bidi="ar-SA"/>
        </w:rPr>
        <w:t> </w:t>
      </w:r>
      <w:r w:rsidRPr="004972EB">
        <w:rPr>
          <w:spacing w:val="2"/>
          <w:rtl/>
          <w:lang w:bidi="ar-SA"/>
        </w:rPr>
        <w:t xml:space="preserve">(المراجَع في باكو، </w:t>
      </w:r>
      <w:r w:rsidRPr="004972EB">
        <w:rPr>
          <w:spacing w:val="2"/>
          <w:lang w:bidi="ar-SA"/>
        </w:rPr>
        <w:t>2025</w:t>
      </w:r>
      <w:r w:rsidRPr="004972EB">
        <w:rPr>
          <w:spacing w:val="2"/>
          <w:rtl/>
          <w:lang w:bidi="ar-SA"/>
        </w:rPr>
        <w:t>)، و</w:t>
      </w:r>
      <w:r w:rsidRPr="004972EB">
        <w:rPr>
          <w:spacing w:val="2"/>
          <w:lang w:bidi="ar-SA"/>
        </w:rPr>
        <w:t>77</w:t>
      </w:r>
      <w:r w:rsidRPr="004972EB">
        <w:rPr>
          <w:spacing w:val="2"/>
          <w:rtl/>
          <w:lang w:bidi="ar-SA"/>
        </w:rPr>
        <w:t xml:space="preserve"> (المراجَع في باكو، </w:t>
      </w:r>
      <w:r w:rsidRPr="004972EB">
        <w:rPr>
          <w:spacing w:val="2"/>
          <w:lang w:bidi="ar-SA"/>
        </w:rPr>
        <w:t>2025</w:t>
      </w:r>
      <w:r w:rsidRPr="004972EB">
        <w:rPr>
          <w:spacing w:val="2"/>
          <w:rtl/>
          <w:lang w:bidi="ar-SA"/>
        </w:rPr>
        <w:t xml:space="preserve">) للمؤتمر العالمي لتنمية الاتصالات؛ والقرار </w:t>
      </w:r>
      <w:r w:rsidRPr="004972EB">
        <w:rPr>
          <w:spacing w:val="2"/>
          <w:lang w:bidi="ar-SA"/>
        </w:rPr>
        <w:t>74</w:t>
      </w:r>
      <w:r w:rsidRPr="004972EB">
        <w:rPr>
          <w:spacing w:val="2"/>
          <w:rtl/>
          <w:lang w:bidi="ar-SA"/>
        </w:rPr>
        <w:t xml:space="preserve"> (دبي، </w:t>
      </w:r>
      <w:r w:rsidRPr="004972EB">
        <w:rPr>
          <w:spacing w:val="2"/>
          <w:lang w:bidi="ar-SA"/>
        </w:rPr>
        <w:t>2023</w:t>
      </w:r>
      <w:r w:rsidRPr="004972EB">
        <w:rPr>
          <w:spacing w:val="2"/>
          <w:rtl/>
          <w:lang w:bidi="ar-SA"/>
        </w:rPr>
        <w:t>) لجمعية الاتصالات الراديوية؛</w:t>
      </w:r>
    </w:p>
    <w:p w14:paraId="3606C3F2" w14:textId="2B4DCDBB" w:rsidR="00CE0E6C" w:rsidRPr="004D017B" w:rsidRDefault="00CE0E6C" w:rsidP="00CE0E6C">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r>
      <w:r w:rsidR="000C4E81">
        <w:rPr>
          <w:rFonts w:hint="cs"/>
          <w:rtl/>
          <w:lang w:bidi="ar-SA"/>
        </w:rPr>
        <w:t>ب</w:t>
      </w:r>
      <w:r w:rsidRPr="004D017B">
        <w:rPr>
          <w:rtl/>
          <w:lang w:bidi="ar-SA"/>
        </w:rPr>
        <w:t xml:space="preserve">الأحكام ذات الصلة من المادة </w:t>
      </w:r>
      <w:r w:rsidRPr="004D017B">
        <w:rPr>
          <w:lang w:bidi="ar-SA"/>
        </w:rPr>
        <w:t>18</w:t>
      </w:r>
      <w:r w:rsidRPr="004D017B">
        <w:rPr>
          <w:rtl/>
          <w:lang w:bidi="ar-SA"/>
        </w:rPr>
        <w:t xml:space="preserve"> من لوائح الراديو (</w:t>
      </w:r>
      <w:r>
        <w:rPr>
          <w:rtl/>
          <w:lang w:bidi="ar-SA"/>
        </w:rPr>
        <w:t>المراجَع</w:t>
      </w:r>
      <w:r w:rsidRPr="004D017B">
        <w:rPr>
          <w:rtl/>
          <w:lang w:bidi="ar-SA"/>
        </w:rPr>
        <w:t xml:space="preserve">ة في دبي، </w:t>
      </w:r>
      <w:r w:rsidRPr="004D017B">
        <w:rPr>
          <w:lang w:bidi="ar-SA"/>
        </w:rPr>
        <w:t>2023</w:t>
      </w:r>
      <w:r w:rsidRPr="004D017B">
        <w:rPr>
          <w:rtl/>
          <w:lang w:bidi="ar-SA"/>
        </w:rPr>
        <w:t>)؛</w:t>
      </w:r>
    </w:p>
    <w:p w14:paraId="3C97EFA9" w14:textId="62DA478A" w:rsidR="00CE0E6C" w:rsidRPr="004D017B" w:rsidRDefault="00CE0E6C" w:rsidP="00CE0E6C">
      <w:pPr>
        <w:rPr>
          <w:rtl/>
          <w:lang w:bidi="en-GB"/>
        </w:rPr>
      </w:pPr>
      <w:r w:rsidRPr="004D017B">
        <w:rPr>
          <w:i/>
          <w:iCs/>
          <w:rtl/>
          <w:lang w:bidi="ar-SA"/>
        </w:rPr>
        <w:t>ز</w:t>
      </w:r>
      <w:r>
        <w:rPr>
          <w:rFonts w:hint="cs"/>
          <w:i/>
          <w:iCs/>
          <w:rtl/>
          <w:lang w:bidi="ar-SA"/>
        </w:rPr>
        <w:t> </w:t>
      </w:r>
      <w:r w:rsidRPr="004D017B">
        <w:rPr>
          <w:i/>
          <w:iCs/>
          <w:rtl/>
          <w:lang w:bidi="ar-SA"/>
        </w:rPr>
        <w:t>)</w:t>
      </w:r>
      <w:r w:rsidRPr="004D017B">
        <w:rPr>
          <w:rtl/>
          <w:lang w:bidi="ar-SA"/>
        </w:rPr>
        <w:tab/>
      </w:r>
      <w:r w:rsidR="000C4E81">
        <w:rPr>
          <w:rFonts w:hint="cs"/>
          <w:rtl/>
          <w:lang w:bidi="ar-SA"/>
        </w:rPr>
        <w:t>ب</w:t>
      </w:r>
      <w:r w:rsidRPr="004D017B">
        <w:rPr>
          <w:rtl/>
          <w:lang w:bidi="ar-SA"/>
        </w:rPr>
        <w:t>المبادئ التوجيهية ذات الصلة لأفضل الممارسات التي وضعت في إطار الندوة العالمية لمنظمي الاتصالات</w:t>
      </w:r>
      <w:r>
        <w:rPr>
          <w:rFonts w:hint="cs"/>
          <w:rtl/>
          <w:lang w:bidi="ar-SA"/>
        </w:rPr>
        <w:t xml:space="preserve"> </w:t>
      </w:r>
      <w:r>
        <w:rPr>
          <w:lang w:val="en-US" w:bidi="ar-SA"/>
        </w:rPr>
        <w:t>(GSR)</w:t>
      </w:r>
      <w:r w:rsidRPr="004D017B">
        <w:rPr>
          <w:rtl/>
          <w:lang w:bidi="ar-SA"/>
        </w:rPr>
        <w:t>،</w:t>
      </w:r>
    </w:p>
    <w:p w14:paraId="2BD1EA95" w14:textId="77777777" w:rsidR="00CE0E6C" w:rsidRPr="004D017B" w:rsidRDefault="00CE0E6C" w:rsidP="00CE0E6C">
      <w:pPr>
        <w:pStyle w:val="Call"/>
        <w:rPr>
          <w:rtl/>
          <w:lang w:bidi="en-GB"/>
        </w:rPr>
      </w:pPr>
      <w:r w:rsidRPr="004D017B">
        <w:rPr>
          <w:rtl/>
          <w:lang w:bidi="ar-SA"/>
        </w:rPr>
        <w:t>وإذ يضع في اعتباره</w:t>
      </w:r>
    </w:p>
    <w:p w14:paraId="2F2114D8" w14:textId="77777777" w:rsidR="00CE0E6C" w:rsidRPr="004D017B" w:rsidRDefault="00CE0E6C" w:rsidP="00CE0E6C">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أن تحديد الأدوات والتدابير اللازمة لتسريع وتيرة شبكات وخدمات الاتصالات/تكنولوجيا المعلومات والاتصالات القائمة في الفضاء والدعوة إليها يمكن أن تدعم الازدهار الاقتصادي العالمي وتحسن الشمول الرقمي وتعالج أوجه التفاوت في النفاذ إلى</w:t>
      </w:r>
      <w:r>
        <w:rPr>
          <w:rFonts w:hint="eastAsia"/>
          <w:rtl/>
          <w:lang w:bidi="ar-SA"/>
        </w:rPr>
        <w:t> </w:t>
      </w:r>
      <w:r w:rsidRPr="004D017B">
        <w:rPr>
          <w:rtl/>
          <w:lang w:bidi="ar-SA"/>
        </w:rPr>
        <w:t>التكنولوجيات الفضائية؛</w:t>
      </w:r>
    </w:p>
    <w:p w14:paraId="23297D95" w14:textId="77777777" w:rsidR="00CE0E6C" w:rsidRPr="004D017B" w:rsidRDefault="00CE0E6C" w:rsidP="00CE0E6C">
      <w:pPr>
        <w:rPr>
          <w:rtl/>
          <w:lang w:bidi="en-GB"/>
        </w:rPr>
      </w:pPr>
      <w:r w:rsidRPr="004D017B">
        <w:rPr>
          <w:i/>
          <w:iCs/>
          <w:rtl/>
          <w:lang w:bidi="ar-SA"/>
        </w:rPr>
        <w:t>ب)</w:t>
      </w:r>
      <w:r w:rsidRPr="004D017B">
        <w:rPr>
          <w:rtl/>
          <w:lang w:bidi="ar-SA"/>
        </w:rPr>
        <w:tab/>
        <w:t xml:space="preserve">أن </w:t>
      </w:r>
      <w:r>
        <w:rPr>
          <w:rFonts w:hint="cs"/>
          <w:rtl/>
          <w:lang w:bidi="ar-SA"/>
        </w:rPr>
        <w:t>تعزيز الأدوات والمنصات اللازمة للتعاون الدولي الفعال فيما يتعلق بلوائح الراديو أمر أساسي لإتاحة المشاركة الشاملة للجميع في الاتصالات/تكنولوجيا المعلومات والاتصالات القائمة على الفضاء</w:t>
      </w:r>
      <w:r w:rsidRPr="004D017B">
        <w:rPr>
          <w:rtl/>
          <w:lang w:bidi="ar-SA"/>
        </w:rPr>
        <w:t>؛</w:t>
      </w:r>
    </w:p>
    <w:p w14:paraId="09C3922D" w14:textId="77777777" w:rsidR="00CE0E6C" w:rsidRPr="004D017B" w:rsidRDefault="00CE0E6C" w:rsidP="00CE0E6C">
      <w:pPr>
        <w:rPr>
          <w:rtl/>
          <w:lang w:bidi="en-GB"/>
        </w:rPr>
      </w:pPr>
      <w:r w:rsidRPr="004D017B">
        <w:rPr>
          <w:i/>
          <w:iCs/>
          <w:rtl/>
          <w:lang w:bidi="ar-SA"/>
        </w:rPr>
        <w:lastRenderedPageBreak/>
        <w:t>ج)</w:t>
      </w:r>
      <w:r w:rsidRPr="004D017B">
        <w:rPr>
          <w:rtl/>
          <w:lang w:bidi="ar-SA"/>
        </w:rPr>
        <w:tab/>
        <w:t>أن النُهج المبتكرة لمعالجة الآثار الناجمة عن الحطام المرتبط بالاتصالات/تكنولوجيا المعلومات والاتصالات القائمة على</w:t>
      </w:r>
      <w:r>
        <w:rPr>
          <w:rFonts w:hint="cs"/>
          <w:rtl/>
          <w:lang w:bidi="ar-SA"/>
        </w:rPr>
        <w:t> </w:t>
      </w:r>
      <w:r w:rsidRPr="004D017B">
        <w:rPr>
          <w:rtl/>
          <w:lang w:bidi="ar-SA"/>
        </w:rPr>
        <w:t>الفضاء يمكن أن تساعد على دعم استمرارية خدمات الاتصالات/تكنولوجيا المعلومات والاتصالات القائمة على الفضاء على</w:t>
      </w:r>
      <w:r>
        <w:rPr>
          <w:rFonts w:hint="cs"/>
          <w:rtl/>
          <w:lang w:bidi="ar-SA"/>
        </w:rPr>
        <w:t> </w:t>
      </w:r>
      <w:r w:rsidRPr="004D017B">
        <w:rPr>
          <w:rtl/>
          <w:lang w:bidi="ar-SA"/>
        </w:rPr>
        <w:t>المدى الطويل؛</w:t>
      </w:r>
    </w:p>
    <w:p w14:paraId="2ECB820B" w14:textId="77777777" w:rsidR="00CE0E6C" w:rsidRPr="004D017B" w:rsidRDefault="00CE0E6C" w:rsidP="00CE0E6C">
      <w:pPr>
        <w:rPr>
          <w:rtl/>
          <w:lang w:bidi="en-GB"/>
        </w:rPr>
      </w:pPr>
      <w:r w:rsidRPr="004D017B">
        <w:rPr>
          <w:i/>
          <w:iCs/>
          <w:rtl/>
          <w:lang w:bidi="ar-SA"/>
        </w:rPr>
        <w:t>د</w:t>
      </w:r>
      <w:r>
        <w:rPr>
          <w:rFonts w:hint="cs"/>
          <w:i/>
          <w:iCs/>
          <w:rtl/>
          <w:lang w:bidi="ar-SA"/>
        </w:rPr>
        <w:t> </w:t>
      </w:r>
      <w:r w:rsidRPr="004D017B">
        <w:rPr>
          <w:i/>
          <w:iCs/>
          <w:rtl/>
          <w:lang w:bidi="ar-SA"/>
        </w:rPr>
        <w:t>)</w:t>
      </w:r>
      <w:r w:rsidRPr="004D017B">
        <w:rPr>
          <w:rtl/>
          <w:lang w:bidi="ar-SA"/>
        </w:rPr>
        <w:tab/>
        <w:t>أن الحكومات تواجه فرصاً وتحديات على حد سواء في تسخير شبكات وخدمات الاتصالات/تكنولوجيا المعلومات والاتصالات القائمة على الفضاء، وأن دورها حاسم في صياغة السياسات التي تعزز الابتكار مع ضمان الاستخدام المسؤول لطيف الترددات الراديوية والمدارات الساتلية المرتبطة به؛</w:t>
      </w:r>
    </w:p>
    <w:p w14:paraId="5048B497" w14:textId="77777777" w:rsidR="00CE0E6C" w:rsidRPr="004D017B" w:rsidRDefault="00CE0E6C" w:rsidP="00CE0E6C">
      <w:pPr>
        <w:rPr>
          <w:rtl/>
          <w:lang w:bidi="en-GB"/>
        </w:rPr>
      </w:pPr>
      <w:r w:rsidRPr="004D017B">
        <w:rPr>
          <w:i/>
          <w:iCs/>
          <w:rtl/>
          <w:lang w:bidi="ar-SA"/>
        </w:rPr>
        <w:t>هـ</w:t>
      </w:r>
      <w:r>
        <w:rPr>
          <w:rFonts w:hint="cs"/>
          <w:i/>
          <w:iCs/>
          <w:rtl/>
          <w:lang w:bidi="ar-SA"/>
        </w:rPr>
        <w:t> </w:t>
      </w:r>
      <w:r w:rsidRPr="004D017B">
        <w:rPr>
          <w:i/>
          <w:iCs/>
          <w:rtl/>
          <w:lang w:bidi="ar-SA"/>
        </w:rPr>
        <w:t>)</w:t>
      </w:r>
      <w:r w:rsidRPr="004D017B">
        <w:rPr>
          <w:rtl/>
          <w:lang w:bidi="ar-SA"/>
        </w:rPr>
        <w:tab/>
        <w:t xml:space="preserve">أن دستور الاتحاد الدولي للاتصالات يقر بالحق السيادي لكل دولة عضو في تنظيم اتصالاتها، سواء </w:t>
      </w:r>
      <w:r>
        <w:rPr>
          <w:rFonts w:hint="cs"/>
          <w:rtl/>
          <w:lang w:bidi="ar-SA"/>
        </w:rPr>
        <w:t xml:space="preserve">اتصالات الأرض </w:t>
      </w:r>
      <w:r w:rsidRPr="004D017B">
        <w:rPr>
          <w:rtl/>
          <w:lang w:bidi="ar-SA"/>
        </w:rPr>
        <w:t xml:space="preserve">أو </w:t>
      </w:r>
      <w:r>
        <w:rPr>
          <w:rFonts w:hint="cs"/>
          <w:rtl/>
          <w:lang w:bidi="ar-SA"/>
        </w:rPr>
        <w:t xml:space="preserve">الاتصالات </w:t>
      </w:r>
      <w:r w:rsidRPr="004D017B">
        <w:rPr>
          <w:rtl/>
          <w:lang w:bidi="ar-SA"/>
        </w:rPr>
        <w:t>القائمة على الفضاء؛</w:t>
      </w:r>
    </w:p>
    <w:p w14:paraId="1044E178" w14:textId="77777777" w:rsidR="00CE0E6C" w:rsidRPr="004D017B" w:rsidRDefault="00CE0E6C" w:rsidP="00CE0E6C">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t>أن مبادرات الاتحاد الدولي للاتصالات، من قبيل منتدى استدامة الفضاء، مصممة لإتاحة فرص لعرض ومناقشة الممارسات الجيدة والمبادئ التوجيهية والاستراتيجيات اللازمة لضمان بقاء الفضاء متاحا</w:t>
      </w:r>
      <w:r>
        <w:rPr>
          <w:rFonts w:hint="cs"/>
          <w:rtl/>
          <w:lang w:bidi="ar-SA"/>
        </w:rPr>
        <w:t>ً</w:t>
      </w:r>
      <w:r w:rsidRPr="004D017B">
        <w:rPr>
          <w:rtl/>
          <w:lang w:bidi="ar-SA"/>
        </w:rPr>
        <w:t xml:space="preserve"> ومستداما</w:t>
      </w:r>
      <w:r>
        <w:rPr>
          <w:rFonts w:hint="cs"/>
          <w:rtl/>
          <w:lang w:bidi="ar-SA"/>
        </w:rPr>
        <w:t>ً</w:t>
      </w:r>
      <w:r w:rsidRPr="004D017B">
        <w:rPr>
          <w:rtl/>
          <w:lang w:bidi="ar-SA"/>
        </w:rPr>
        <w:t xml:space="preserve"> للأنشطة الفضائية الحالية والمستقبلية على السواء،</w:t>
      </w:r>
    </w:p>
    <w:p w14:paraId="3D8A7F8D" w14:textId="77777777" w:rsidR="00CE0E6C" w:rsidRPr="004D017B" w:rsidRDefault="00CE0E6C" w:rsidP="00CE0E6C">
      <w:pPr>
        <w:pStyle w:val="Call"/>
        <w:rPr>
          <w:rtl/>
          <w:lang w:bidi="en-GB"/>
        </w:rPr>
      </w:pPr>
      <w:r w:rsidRPr="004D017B">
        <w:rPr>
          <w:rtl/>
          <w:lang w:bidi="ar-SA"/>
        </w:rPr>
        <w:t>وإذ يقر</w:t>
      </w:r>
    </w:p>
    <w:p w14:paraId="054C1E97" w14:textId="77777777" w:rsidR="00CE0E6C" w:rsidRPr="004D017B" w:rsidRDefault="00CE0E6C" w:rsidP="00CE0E6C">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بأن القطاع الخاص يضطلع بدور رائد في نشر شبكات وخدمات الاتصالات/تكنولوجيا المعلومات والاتصالات القائمة على</w:t>
      </w:r>
      <w:r>
        <w:rPr>
          <w:rFonts w:hint="cs"/>
          <w:rtl/>
          <w:lang w:bidi="ar-SA"/>
        </w:rPr>
        <w:t> </w:t>
      </w:r>
      <w:r w:rsidRPr="004D017B">
        <w:rPr>
          <w:rtl/>
          <w:lang w:bidi="ar-SA"/>
        </w:rPr>
        <w:t>الفضاء، وأنه يواصل تطوير الابتكارات التكنولوجية ونماذج الأعمال المبتكرة إلى جانب سائر أصحاب المصلحة، بمن فيهم الحكومات و</w:t>
      </w:r>
      <w:r>
        <w:rPr>
          <w:rtl/>
          <w:lang w:bidi="ar-SA"/>
        </w:rPr>
        <w:t>الهيئات الأكاديمية</w:t>
      </w:r>
      <w:r w:rsidRPr="004D017B">
        <w:rPr>
          <w:rtl/>
          <w:lang w:bidi="ar-SA"/>
        </w:rPr>
        <w:t xml:space="preserve"> والمجتمع المدني؛</w:t>
      </w:r>
    </w:p>
    <w:p w14:paraId="543E3C94" w14:textId="77777777" w:rsidR="00CE0E6C" w:rsidRPr="004D017B" w:rsidRDefault="00CE0E6C" w:rsidP="00CE0E6C">
      <w:pPr>
        <w:rPr>
          <w:rtl/>
          <w:lang w:bidi="en-GB"/>
        </w:rPr>
      </w:pPr>
      <w:r w:rsidRPr="004D017B">
        <w:rPr>
          <w:i/>
          <w:iCs/>
          <w:rtl/>
          <w:lang w:bidi="ar-SA"/>
        </w:rPr>
        <w:t>ب)</w:t>
      </w:r>
      <w:r w:rsidRPr="004D017B">
        <w:rPr>
          <w:rtl/>
          <w:lang w:bidi="ar-SA"/>
        </w:rPr>
        <w:tab/>
        <w:t xml:space="preserve">بأن شبكات وخدمات الاتصالات/تكنولوجيا المعلومات والاتصالات القائمة على الفضاء، بما في ذلك السواتل الموجودة في مدار السواتل المستقرة بالنسبة إلى الأرض </w:t>
      </w:r>
      <w:r w:rsidRPr="003212CA">
        <w:rPr>
          <w:lang w:val="en-US" w:bidi="ar-SA"/>
        </w:rPr>
        <w:t>(GSO)</w:t>
      </w:r>
      <w:r w:rsidRPr="004D017B">
        <w:rPr>
          <w:rtl/>
          <w:lang w:bidi="ar-SA"/>
        </w:rPr>
        <w:t xml:space="preserve"> ومدار السواتل غير المستقرة بالنسبة إلى الأرض </w:t>
      </w:r>
      <w:r w:rsidRPr="003212CA">
        <w:rPr>
          <w:lang w:val="en-US" w:bidi="ar-SA"/>
        </w:rPr>
        <w:t>(non-GSO)</w:t>
      </w:r>
      <w:r w:rsidRPr="004D017B">
        <w:rPr>
          <w:rtl/>
          <w:lang w:bidi="ar-SA"/>
        </w:rPr>
        <w:t xml:space="preserve">، يمكن أن تساعد على سد الفجوات الرقمية من خلال توفير التوصيلية عبر مناطق جغرافية واسعة، مع إمكانية تحقيق وفورات في تكاليف النشر نتيجة انخفاض الحاجة إلى البنية التحتية </w:t>
      </w:r>
      <w:r>
        <w:rPr>
          <w:rFonts w:hint="cs"/>
          <w:rtl/>
          <w:lang w:bidi="ar-SA"/>
        </w:rPr>
        <w:t>المقامة على الأرض</w:t>
      </w:r>
      <w:r w:rsidRPr="004D017B">
        <w:rPr>
          <w:rtl/>
          <w:lang w:bidi="ar-SA"/>
        </w:rPr>
        <w:t>، بما يوفر حلاً قادراً على الصمود لتوصيل الأشخاص في المناطق المنخفضة الكثافة السكانية، بما فيها المناطق التي لا تحظى بخدمات كافية، ولا سيما في أقل البلدان نموا</w:t>
      </w:r>
      <w:r>
        <w:rPr>
          <w:rFonts w:hint="cs"/>
          <w:rtl/>
          <w:lang w:bidi="ar-SA"/>
        </w:rPr>
        <w:t xml:space="preserve">ً </w:t>
      </w:r>
      <w:r>
        <w:rPr>
          <w:lang w:val="en-US" w:bidi="ar-SA"/>
        </w:rPr>
        <w:t>(LDC)</w:t>
      </w:r>
      <w:r w:rsidRPr="004D017B">
        <w:rPr>
          <w:rtl/>
          <w:lang w:bidi="ar-SA"/>
        </w:rPr>
        <w:t xml:space="preserve"> والبلدان النامية غير الساحلية</w:t>
      </w:r>
      <w:r>
        <w:rPr>
          <w:rFonts w:hint="cs"/>
          <w:rtl/>
          <w:lang w:bidi="ar-SA"/>
        </w:rPr>
        <w:t xml:space="preserve"> </w:t>
      </w:r>
      <w:r>
        <w:rPr>
          <w:lang w:val="en-US" w:bidi="ar-SA"/>
        </w:rPr>
        <w:t>(LLDC)</w:t>
      </w:r>
      <w:r w:rsidRPr="004D017B">
        <w:rPr>
          <w:rtl/>
          <w:lang w:bidi="ar-SA"/>
        </w:rPr>
        <w:t xml:space="preserve"> والدول الجزرية الصغيرة النامية</w:t>
      </w:r>
      <w:r>
        <w:rPr>
          <w:rFonts w:hint="cs"/>
          <w:rtl/>
          <w:lang w:bidi="ar-SA"/>
        </w:rPr>
        <w:t xml:space="preserve"> </w:t>
      </w:r>
      <w:r>
        <w:rPr>
          <w:lang w:val="en-US" w:bidi="ar-SA"/>
        </w:rPr>
        <w:t>(SIDS)</w:t>
      </w:r>
      <w:r w:rsidRPr="004D017B">
        <w:rPr>
          <w:rtl/>
          <w:lang w:bidi="ar-SA"/>
        </w:rPr>
        <w:t>؛</w:t>
      </w:r>
    </w:p>
    <w:p w14:paraId="72A6DCAB" w14:textId="77777777" w:rsidR="00CE0E6C" w:rsidRPr="004D017B" w:rsidRDefault="00CE0E6C" w:rsidP="00CE0E6C">
      <w:pPr>
        <w:rPr>
          <w:rtl/>
          <w:lang w:bidi="en-GB"/>
        </w:rPr>
      </w:pPr>
      <w:r w:rsidRPr="004D017B">
        <w:rPr>
          <w:i/>
          <w:iCs/>
          <w:rtl/>
          <w:lang w:bidi="ar-SA"/>
        </w:rPr>
        <w:t>ج)</w:t>
      </w:r>
      <w:r w:rsidRPr="004D017B">
        <w:rPr>
          <w:rtl/>
          <w:lang w:bidi="ar-SA"/>
        </w:rPr>
        <w:tab/>
        <w:t>بأن شبكات وخدمات الاتصالات/تكنولوجيا المعلومات والاتصالات القائمة على الفضاء التي تستخدمها النظم غير المستقرة بالنسبة إلى الأرض والنظم المستقرة بالنسبة إلى الأرض تشهد تطوراً سريعاً، وأن التكامل بين النظامين يمثل إحدى الفرص الرئيسية لتوسيع نطاق التوصيلية؛</w:t>
      </w:r>
      <w:bookmarkStart w:id="0" w:name="_Hlk175572783"/>
    </w:p>
    <w:p w14:paraId="066C8356" w14:textId="77777777" w:rsidR="00CE0E6C" w:rsidRPr="004D017B" w:rsidRDefault="00CE0E6C" w:rsidP="00CE0E6C">
      <w:pPr>
        <w:rPr>
          <w:rtl/>
          <w:lang w:bidi="en-GB"/>
        </w:rPr>
      </w:pPr>
      <w:r w:rsidRPr="004D017B">
        <w:rPr>
          <w:i/>
          <w:iCs/>
          <w:rtl/>
          <w:lang w:bidi="ar-SA"/>
        </w:rPr>
        <w:t>د</w:t>
      </w:r>
      <w:r>
        <w:rPr>
          <w:rFonts w:hint="cs"/>
          <w:i/>
          <w:iCs/>
          <w:rtl/>
          <w:lang w:bidi="ar-SA"/>
        </w:rPr>
        <w:t> </w:t>
      </w:r>
      <w:r w:rsidRPr="004D017B">
        <w:rPr>
          <w:i/>
          <w:iCs/>
          <w:rtl/>
          <w:lang w:bidi="ar-SA"/>
        </w:rPr>
        <w:t>)</w:t>
      </w:r>
      <w:r w:rsidRPr="004D017B">
        <w:rPr>
          <w:rtl/>
          <w:lang w:bidi="ar-SA"/>
        </w:rPr>
        <w:tab/>
        <w:t>بأن الممارسات الجيدة في القطاع، مقترنة بأطر سياساتية تمكينية واستشرافية، تسهم في تعظيم إمكانات شبكات وخدمات الاتصالات/تكنولوجيا المعلومات والاتصالات القائمة على الفضاء؛</w:t>
      </w:r>
      <w:bookmarkEnd w:id="0"/>
    </w:p>
    <w:p w14:paraId="0BF72D6C" w14:textId="77777777" w:rsidR="00CE0E6C" w:rsidRPr="004D017B" w:rsidRDefault="00CE0E6C" w:rsidP="00CE0E6C">
      <w:pPr>
        <w:rPr>
          <w:rtl/>
          <w:lang w:bidi="en-GB"/>
        </w:rPr>
      </w:pPr>
      <w:r w:rsidRPr="004D017B">
        <w:rPr>
          <w:i/>
          <w:iCs/>
          <w:rtl/>
          <w:lang w:bidi="ar-SA"/>
        </w:rPr>
        <w:t>ه</w:t>
      </w:r>
      <w:r>
        <w:rPr>
          <w:rFonts w:hint="cs"/>
          <w:i/>
          <w:iCs/>
          <w:rtl/>
          <w:lang w:bidi="ar-SA"/>
        </w:rPr>
        <w:t>ـ </w:t>
      </w:r>
      <w:r w:rsidRPr="004D017B">
        <w:rPr>
          <w:i/>
          <w:iCs/>
          <w:rtl/>
          <w:lang w:bidi="ar-SA"/>
        </w:rPr>
        <w:t>)</w:t>
      </w:r>
      <w:r w:rsidRPr="004D017B">
        <w:rPr>
          <w:rtl/>
          <w:lang w:bidi="ar-SA"/>
        </w:rPr>
        <w:tab/>
        <w:t xml:space="preserve">بأن جهود بناء القدرات، بما في ذلك تبادل أفضل الممارسات وتنظيم فعاليات من قبيل الندوة العالمية لمنظمي الاتصالات، إلى جانب وضع المبادئ التوجيهية لأفضل الممارسات للندوة لعامي </w:t>
      </w:r>
      <w:r w:rsidRPr="004D017B">
        <w:rPr>
          <w:lang w:bidi="ar-SA"/>
        </w:rPr>
        <w:t>2024</w:t>
      </w:r>
      <w:r w:rsidRPr="004D017B">
        <w:rPr>
          <w:rtl/>
          <w:lang w:bidi="ar-SA"/>
        </w:rPr>
        <w:t xml:space="preserve"> و</w:t>
      </w:r>
      <w:r w:rsidRPr="004D017B">
        <w:rPr>
          <w:lang w:bidi="ar-SA"/>
        </w:rPr>
        <w:t>2025</w:t>
      </w:r>
      <w:r w:rsidRPr="004D017B">
        <w:rPr>
          <w:rtl/>
          <w:lang w:bidi="ar-SA"/>
        </w:rPr>
        <w:t xml:space="preserve"> مؤخرا</w:t>
      </w:r>
      <w:r>
        <w:rPr>
          <w:rFonts w:hint="cs"/>
          <w:rtl/>
          <w:lang w:bidi="ar-SA"/>
        </w:rPr>
        <w:t>ً</w:t>
      </w:r>
      <w:r w:rsidRPr="004D017B">
        <w:rPr>
          <w:rtl/>
          <w:lang w:bidi="ar-SA"/>
        </w:rPr>
        <w:t>، يمكن أن تساعد البلدان على مواكبة النشر السريع لشبكات وخدمات الاتصالات/تكنولوجيا المعلومات والاتصالات القائمة على الفضاء، كما يمكن أن تسترشد بها الإدارات في تطوير نهجها التنظيمية الوطنية في الوقت الذي تعالج فيه البلدان مسائل من قبيل الترخيص والأمن؛</w:t>
      </w:r>
    </w:p>
    <w:p w14:paraId="24963E09" w14:textId="77777777" w:rsidR="00CE0E6C" w:rsidRDefault="00CE0E6C" w:rsidP="00CE0E6C">
      <w:pPr>
        <w:rPr>
          <w:rtl/>
          <w:lang w:bidi="ar-SA"/>
        </w:rPr>
      </w:pPr>
      <w:r w:rsidRPr="004D017B">
        <w:rPr>
          <w:i/>
          <w:iCs/>
          <w:rtl/>
          <w:lang w:bidi="ar-SA"/>
        </w:rPr>
        <w:t>و</w:t>
      </w:r>
      <w:r>
        <w:rPr>
          <w:rFonts w:hint="cs"/>
          <w:i/>
          <w:iCs/>
          <w:rtl/>
          <w:lang w:bidi="ar-SA"/>
        </w:rPr>
        <w:t> </w:t>
      </w:r>
      <w:r w:rsidRPr="004D017B">
        <w:rPr>
          <w:i/>
          <w:iCs/>
          <w:rtl/>
          <w:lang w:bidi="ar-SA"/>
        </w:rPr>
        <w:t>)</w:t>
      </w:r>
      <w:r w:rsidRPr="004D017B">
        <w:rPr>
          <w:rtl/>
          <w:lang w:bidi="ar-SA"/>
        </w:rPr>
        <w:tab/>
        <w:t>بأن إتاحة شبكات وخدمات الاتصالات/تكنولوجيا المعلومات والاتصالات القائمة على الفضاء على نحو منصف تستدعي النظر في التحديات التي لا يزال يتعين التصدي لها، من قبيل استخدام الموارد ذات الصلة بالاتصالات/تكنولوجيا المعلومات والاتصالات القائمة على الفضاء؛</w:t>
      </w:r>
    </w:p>
    <w:p w14:paraId="32D6A2C8" w14:textId="77777777" w:rsidR="00CE0E6C" w:rsidRPr="004D017B" w:rsidRDefault="00CE0E6C" w:rsidP="00CE0E6C">
      <w:pPr>
        <w:rPr>
          <w:rtl/>
          <w:lang w:bidi="en-GB"/>
        </w:rPr>
      </w:pPr>
      <w:r w:rsidRPr="004D017B">
        <w:rPr>
          <w:i/>
          <w:iCs/>
          <w:rtl/>
          <w:lang w:bidi="ar-SA"/>
        </w:rPr>
        <w:t>ز</w:t>
      </w:r>
      <w:r>
        <w:rPr>
          <w:rFonts w:hint="cs"/>
          <w:i/>
          <w:iCs/>
          <w:rtl/>
          <w:lang w:bidi="ar-SA"/>
        </w:rPr>
        <w:t> </w:t>
      </w:r>
      <w:r w:rsidRPr="004D017B">
        <w:rPr>
          <w:i/>
          <w:iCs/>
          <w:rtl/>
          <w:lang w:bidi="ar-SA"/>
        </w:rPr>
        <w:t>)</w:t>
      </w:r>
      <w:r w:rsidRPr="004D017B">
        <w:rPr>
          <w:rtl/>
          <w:lang w:bidi="ar-SA"/>
        </w:rPr>
        <w:tab/>
        <w:t>بأن للاتحاد الدولي للاتصالات ولاية محددة في مجال الاتصالات/تكنولوجيا المعلومات والاتصالات، بما في ذلك شبكات وخدمات الاتصالات/تكنولوجيا المعلومات والاتصالات القائمة على الفضاء، وهي ولاية تكمل الاختصاصات القائمة في منظومة الأمم المتحدة الأوسع نطاقاً، وأنه يلزم تنسيق الجهود لتجنب ازدواجيتها بين الوكالات؛</w:t>
      </w:r>
    </w:p>
    <w:p w14:paraId="6F2F9F61" w14:textId="77777777" w:rsidR="00CE0E6C" w:rsidRPr="004D017B" w:rsidRDefault="00CE0E6C" w:rsidP="00CE0E6C">
      <w:pPr>
        <w:rPr>
          <w:rtl/>
          <w:lang w:bidi="en-GB"/>
        </w:rPr>
      </w:pPr>
      <w:r w:rsidRPr="004D017B">
        <w:rPr>
          <w:i/>
          <w:iCs/>
          <w:rtl/>
          <w:lang w:bidi="ar-SA"/>
        </w:rPr>
        <w:t>ح)</w:t>
      </w:r>
      <w:r w:rsidRPr="004D017B">
        <w:rPr>
          <w:rtl/>
          <w:lang w:bidi="ar-SA"/>
        </w:rPr>
        <w:tab/>
        <w:t>بأن التوصيلية الفضائية يمكن أن تعزز القدرة الوطنية على الصمود والاستجابة للكوارث عند إدماجها في الخطط الوطنية للاتصالات في حالات الطوارئ،</w:t>
      </w:r>
    </w:p>
    <w:p w14:paraId="11024C72" w14:textId="77777777" w:rsidR="00CE0E6C" w:rsidRPr="004D017B" w:rsidRDefault="00CE0E6C" w:rsidP="00CE0E6C">
      <w:pPr>
        <w:pStyle w:val="Call"/>
        <w:rPr>
          <w:rtl/>
          <w:lang w:bidi="en-GB"/>
        </w:rPr>
      </w:pPr>
      <w:r w:rsidRPr="004D017B">
        <w:rPr>
          <w:rtl/>
          <w:lang w:bidi="ar-SA"/>
        </w:rPr>
        <w:t>يرى</w:t>
      </w:r>
    </w:p>
    <w:p w14:paraId="203B5CCD" w14:textId="77777777" w:rsidR="00CE0E6C" w:rsidRDefault="00CE0E6C" w:rsidP="00CE0E6C">
      <w:pPr>
        <w:rPr>
          <w:rtl/>
          <w:lang w:bidi="ar-SA"/>
        </w:rPr>
      </w:pPr>
      <w:r w:rsidRPr="004D017B">
        <w:rPr>
          <w:lang w:bidi="ar-SA"/>
        </w:rPr>
        <w:t>1</w:t>
      </w:r>
      <w:r w:rsidRPr="004D017B">
        <w:rPr>
          <w:rtl/>
          <w:lang w:bidi="ar-SA"/>
        </w:rPr>
        <w:tab/>
        <w:t xml:space="preserve">أن تعزيز واستخدام شبكات وخدمات الاتصالات/تكنولوجيا المعلومات والاتصالات القائمة على الفضاء، سواء بصورة مستقلة أو، عند الاقتضاء، بالاقتران مع شبكات وخدمات الأرض، يمكن أن يسهم في تحقيق التنمية المستدامة والاجتماعية </w:t>
      </w:r>
      <w:r w:rsidRPr="004D017B">
        <w:rPr>
          <w:rtl/>
          <w:lang w:bidi="ar-SA"/>
        </w:rPr>
        <w:lastRenderedPageBreak/>
        <w:t>والاقتصادية، ولا سيما في المناطق التي لا تحظى بخدمات كافية، بما في ذلك في أقل البلدان نمواً والبلدان النامية غير الساحلية والدول الجزرية الصغيرة النامية، بما يكفل منافع طويلة الأجل والتصدي للتحديات الناشئة؛</w:t>
      </w:r>
    </w:p>
    <w:p w14:paraId="2063DE78" w14:textId="77777777" w:rsidR="00CE0E6C" w:rsidRDefault="00CE0E6C" w:rsidP="00CE0E6C">
      <w:pPr>
        <w:rPr>
          <w:rtl/>
          <w:lang w:bidi="ar-SA"/>
        </w:rPr>
      </w:pPr>
      <w:r w:rsidRPr="004D017B">
        <w:rPr>
          <w:lang w:bidi="ar-SA"/>
        </w:rPr>
        <w:t>2</w:t>
      </w:r>
      <w:r w:rsidRPr="004D017B">
        <w:rPr>
          <w:rtl/>
          <w:lang w:bidi="ar-SA"/>
        </w:rPr>
        <w:tab/>
        <w:t>أن وجود بيئة تمكينية قائمة على سياسات وأطر تنظيمية شفافة ومستقرة ومحدثة يدعم الاستثمار في شبكات وخدمات الاتصالات/تكنولوجيا المعلومات والاتصالات القائمة على الفضاء والنفاذ إليها؛</w:t>
      </w:r>
    </w:p>
    <w:p w14:paraId="325A6BB3" w14:textId="77777777" w:rsidR="00CE0E6C" w:rsidRDefault="00CE0E6C" w:rsidP="00CE0E6C">
      <w:pPr>
        <w:rPr>
          <w:rtl/>
          <w:lang w:bidi="ar-SA"/>
        </w:rPr>
      </w:pPr>
      <w:r w:rsidRPr="004D017B">
        <w:rPr>
          <w:lang w:bidi="ar-SA"/>
        </w:rPr>
        <w:t>3</w:t>
      </w:r>
      <w:r w:rsidRPr="004D017B">
        <w:rPr>
          <w:rtl/>
          <w:lang w:bidi="ar-SA"/>
        </w:rPr>
        <w:tab/>
        <w:t>أن اعتماد نُهج محايدة من حيث التكنولوجيا في تحديد أهداف التوصيلية يعود بالنفع على خيارات المستهلكين ويوفر المرونة لاختيار الحل الأنسب؛</w:t>
      </w:r>
    </w:p>
    <w:p w14:paraId="51E27E27" w14:textId="77777777" w:rsidR="00CE0E6C" w:rsidRPr="004D017B" w:rsidRDefault="00CE0E6C" w:rsidP="00CE0E6C">
      <w:pPr>
        <w:rPr>
          <w:rtl/>
          <w:lang w:bidi="en-GB"/>
        </w:rPr>
      </w:pPr>
      <w:r w:rsidRPr="004D017B">
        <w:rPr>
          <w:lang w:bidi="ar-SA"/>
        </w:rPr>
        <w:t>4</w:t>
      </w:r>
      <w:r w:rsidRPr="004D017B">
        <w:rPr>
          <w:rtl/>
          <w:lang w:bidi="ar-SA"/>
        </w:rPr>
        <w:tab/>
        <w:t>أن الإدارات قد ترى أن من المفيد النظر، إذا ارتأت ذلك مناسباً، في تحديث السياسات والتدابير التنظيمية للتكيف مع الابتكار في نشر وتطوير شبكات وخدمات الاتصالات/تكنولوجيا المعلومات والاتصالات الساتلية القائمة على الفضاء، وتشجيع مشاركة القطاع وتهيئة الظروف التي تسمح بتطوير الخدمات القائمة على الفضاء وخدمات الأرض؛</w:t>
      </w:r>
    </w:p>
    <w:p w14:paraId="790E8CFC" w14:textId="77777777" w:rsidR="00CE0E6C" w:rsidRPr="004D017B" w:rsidRDefault="00CE0E6C" w:rsidP="00CE0E6C">
      <w:pPr>
        <w:rPr>
          <w:rtl/>
          <w:lang w:bidi="en-GB"/>
        </w:rPr>
      </w:pPr>
      <w:r w:rsidRPr="004D017B">
        <w:rPr>
          <w:lang w:bidi="ar-SA"/>
        </w:rPr>
        <w:t>5</w:t>
      </w:r>
      <w:r w:rsidRPr="004D017B">
        <w:rPr>
          <w:rtl/>
          <w:lang w:bidi="ar-SA"/>
        </w:rPr>
        <w:tab/>
        <w:t>أن الشراكات العالمية والتعاون الدولي مع سائر وكالات الأمم المتحدة والمنظمات الدولية وأصحاب المصلحة أمران أساسيان لتعزيز مشاركة الدول الأعضاء في أنشطة الاتصالات الفضائية، ولا سيما البلدان النامية، والإسهام في تحقيق أهداف التنمية المستدامة، دون مساس بالأولويات والنُهج الوطنية؛</w:t>
      </w:r>
    </w:p>
    <w:p w14:paraId="3E439230" w14:textId="77777777" w:rsidR="00CE0E6C" w:rsidRPr="004D017B" w:rsidRDefault="00CE0E6C" w:rsidP="00CE0E6C">
      <w:pPr>
        <w:rPr>
          <w:rtl/>
          <w:lang w:bidi="en-GB"/>
        </w:rPr>
      </w:pPr>
      <w:r w:rsidRPr="004D017B">
        <w:rPr>
          <w:lang w:bidi="ar-SA"/>
        </w:rPr>
        <w:t>6</w:t>
      </w:r>
      <w:r w:rsidRPr="004D017B">
        <w:rPr>
          <w:rtl/>
          <w:lang w:bidi="ar-SA"/>
        </w:rPr>
        <w:tab/>
        <w:t>أن استكشاف سبل التعاون الدولي ومبادرات تبادل المعارف يمكن أن ييسر الاستفادة المنصفة من الفرص التي تتيحها تطبيقات وخدمات الاتصالات/تكنولوجيا المعلومات والاتصالات القائمة على الفضاء؛</w:t>
      </w:r>
    </w:p>
    <w:p w14:paraId="414C11FB" w14:textId="77777777" w:rsidR="00CE0E6C" w:rsidRPr="004D017B" w:rsidRDefault="00CE0E6C" w:rsidP="00CE0E6C">
      <w:pPr>
        <w:rPr>
          <w:rtl/>
          <w:lang w:bidi="en-GB"/>
        </w:rPr>
      </w:pPr>
      <w:r w:rsidRPr="004D017B">
        <w:rPr>
          <w:lang w:bidi="ar-SA"/>
        </w:rPr>
        <w:t>7</w:t>
      </w:r>
      <w:r w:rsidRPr="004D017B">
        <w:rPr>
          <w:rtl/>
          <w:lang w:bidi="ar-SA"/>
        </w:rPr>
        <w:tab/>
        <w:t>أن دعم البحث والابتكار قد يسهم في استدامة أنشطة الاتصالات/تكنولوجيا المعلومات والاتصالات القائمة على الفضاء على المدى الطويل، وفي تعزيز التعاون بين الكيانات المعنية، في إطار ولاياتها، والتعاون بين أصحاب المصلحة المتعددين، بما في ذلك القطاع؛</w:t>
      </w:r>
    </w:p>
    <w:p w14:paraId="1E5A9C28" w14:textId="77777777" w:rsidR="00CE0E6C" w:rsidRPr="00477AE7" w:rsidRDefault="00CE0E6C" w:rsidP="00CE0E6C">
      <w:pPr>
        <w:rPr>
          <w:spacing w:val="-2"/>
          <w:rtl/>
          <w:lang w:bidi="en-GB"/>
        </w:rPr>
      </w:pPr>
      <w:r w:rsidRPr="00477AE7">
        <w:rPr>
          <w:spacing w:val="-2"/>
          <w:lang w:bidi="ar-SA"/>
        </w:rPr>
        <w:t>8</w:t>
      </w:r>
      <w:r w:rsidRPr="00477AE7">
        <w:rPr>
          <w:spacing w:val="-2"/>
          <w:rtl/>
          <w:lang w:bidi="ar-SA"/>
        </w:rPr>
        <w:tab/>
        <w:t>أن استثمارات القطاعين العام والخاص في الاتصالات/تكنولوجيا المعلومات والاتصالات القائمة على الفضاء تؤدي دورا</w:t>
      </w:r>
      <w:r w:rsidRPr="00477AE7">
        <w:rPr>
          <w:rFonts w:hint="cs"/>
          <w:spacing w:val="-2"/>
          <w:rtl/>
          <w:lang w:bidi="ar-SA"/>
        </w:rPr>
        <w:t>ً</w:t>
      </w:r>
      <w:r w:rsidRPr="00477AE7">
        <w:rPr>
          <w:spacing w:val="-2"/>
          <w:rtl/>
          <w:lang w:bidi="ar-SA"/>
        </w:rPr>
        <w:t xml:space="preserve"> مهما في توسيع نطاق التوصيلية، وأن معالجة العوائق التي تحول دون الاستثمار يمكن أن تعزز الابتكار وتعجل بالنفاذ إلى التوصيلية،</w:t>
      </w:r>
    </w:p>
    <w:p w14:paraId="1525796F" w14:textId="77777777" w:rsidR="00CE0E6C" w:rsidRPr="004D017B" w:rsidRDefault="00CE0E6C" w:rsidP="00CE0E6C">
      <w:pPr>
        <w:pStyle w:val="Call"/>
        <w:rPr>
          <w:rtl/>
          <w:lang w:bidi="en-GB"/>
        </w:rPr>
      </w:pPr>
      <w:r w:rsidRPr="004D017B">
        <w:rPr>
          <w:rtl/>
          <w:lang w:bidi="ar-SA"/>
        </w:rPr>
        <w:t>يدعو الدول الأعضاء</w:t>
      </w:r>
      <w:r>
        <w:rPr>
          <w:rFonts w:hint="cs"/>
          <w:rtl/>
          <w:lang w:bidi="ar-SA"/>
        </w:rPr>
        <w:t xml:space="preserve"> إلى</w:t>
      </w:r>
    </w:p>
    <w:p w14:paraId="59B05510" w14:textId="350573FC" w:rsidR="00CE0E6C" w:rsidRDefault="00CE0E6C" w:rsidP="00CE0E6C">
      <w:pPr>
        <w:rPr>
          <w:rtl/>
          <w:lang w:bidi="ar-SA"/>
        </w:rPr>
      </w:pPr>
      <w:r w:rsidRPr="004D017B">
        <w:rPr>
          <w:lang w:bidi="ar-SA"/>
        </w:rPr>
        <w:t>1</w:t>
      </w:r>
      <w:r w:rsidRPr="004D017B">
        <w:rPr>
          <w:rtl/>
          <w:lang w:bidi="ar-SA"/>
        </w:rPr>
        <w:tab/>
        <w:t xml:space="preserve">النظر في اعتماد تدابير سياساتية وتنظيمية تيسر النفاذ إلى شبكات وخدمات الاتصالات/تكنولوجيا المعلومات والاتصالات القائمة على الفضاء، على النحو المشار إليه في </w:t>
      </w:r>
      <w:r w:rsidR="00727702">
        <w:rPr>
          <w:rFonts w:hint="cs"/>
          <w:rtl/>
          <w:lang w:bidi="ar-SA"/>
        </w:rPr>
        <w:t xml:space="preserve">الفقرة </w:t>
      </w:r>
      <w:r w:rsidRPr="004D017B">
        <w:rPr>
          <w:lang w:bidi="ar-SA"/>
        </w:rPr>
        <w:t>4</w:t>
      </w:r>
      <w:r w:rsidRPr="004D017B">
        <w:rPr>
          <w:rtl/>
          <w:lang w:bidi="ar-SA"/>
        </w:rPr>
        <w:t xml:space="preserve"> من "</w:t>
      </w:r>
      <w:r w:rsidRPr="004D017B">
        <w:rPr>
          <w:i/>
          <w:iCs/>
          <w:rtl/>
          <w:lang w:bidi="ar-SA"/>
        </w:rPr>
        <w:t>يرى</w:t>
      </w:r>
      <w:r w:rsidRPr="004D017B">
        <w:rPr>
          <w:rtl/>
          <w:lang w:bidi="ar-SA"/>
        </w:rPr>
        <w:t>"؛</w:t>
      </w:r>
    </w:p>
    <w:p w14:paraId="5CBC3A6D" w14:textId="77777777" w:rsidR="00CE0E6C" w:rsidRPr="004D017B" w:rsidRDefault="00CE0E6C" w:rsidP="00CE0E6C">
      <w:pPr>
        <w:rPr>
          <w:rtl/>
          <w:lang w:bidi="en-GB"/>
        </w:rPr>
      </w:pPr>
      <w:r w:rsidRPr="004D017B">
        <w:rPr>
          <w:lang w:bidi="ar-SA"/>
        </w:rPr>
        <w:t>2</w:t>
      </w:r>
      <w:r w:rsidRPr="004D017B">
        <w:rPr>
          <w:rtl/>
          <w:lang w:bidi="ar-SA"/>
        </w:rPr>
        <w:tab/>
        <w:t>النظر في اعتماد نُهج شاملة لمختلف التكنولوجيات في تحديد أهداف التوصيلية، استناداً إلى الممارسات الجيدة التي تتيح للمستهلكين ومقدمي الخدمات المرونة في اختيار التكنولوجيا الأنسب للاحتياجات المحلية،</w:t>
      </w:r>
    </w:p>
    <w:p w14:paraId="3C1A4BDA" w14:textId="77777777" w:rsidR="00CE0E6C" w:rsidRDefault="00CE0E6C" w:rsidP="00CE0E6C">
      <w:pPr>
        <w:pStyle w:val="Call"/>
        <w:rPr>
          <w:rtl/>
          <w:lang w:bidi="ar-SA"/>
        </w:rPr>
      </w:pPr>
      <w:r w:rsidRPr="004D017B">
        <w:rPr>
          <w:rtl/>
          <w:lang w:bidi="ar-SA"/>
        </w:rPr>
        <w:t xml:space="preserve">يدعو الدول الأعضاء وأعضاء القطاعات وسائر أصحاب المصلحة إلى العمل بصورة تعاونية </w:t>
      </w:r>
      <w:r>
        <w:rPr>
          <w:rFonts w:hint="cs"/>
          <w:rtl/>
          <w:lang w:bidi="ar-SA"/>
        </w:rPr>
        <w:t>إلى</w:t>
      </w:r>
    </w:p>
    <w:p w14:paraId="57DCC562" w14:textId="77777777" w:rsidR="00CE0E6C" w:rsidRDefault="00CE0E6C" w:rsidP="00CE0E6C">
      <w:pPr>
        <w:rPr>
          <w:rtl/>
          <w:lang w:bidi="ar-SA"/>
        </w:rPr>
      </w:pPr>
      <w:r w:rsidRPr="004D017B">
        <w:rPr>
          <w:lang w:bidi="ar-SA"/>
        </w:rPr>
        <w:t>1</w:t>
      </w:r>
      <w:r w:rsidRPr="004D017B">
        <w:rPr>
          <w:rtl/>
          <w:lang w:bidi="ar-SA"/>
        </w:rPr>
        <w:tab/>
        <w:t>النظر في المشاركة الفعالة في المحافل الدولية ذات الصلة التي تركز على الاتصالات/تكنولوجيا المعلومات والاتصالات القائمة على الفضاء وتهدف إلى سد الفجوات الرقمية؛</w:t>
      </w:r>
    </w:p>
    <w:p w14:paraId="4B8D1C9D" w14:textId="77777777" w:rsidR="00CE0E6C" w:rsidRDefault="00CE0E6C" w:rsidP="00CE0E6C">
      <w:pPr>
        <w:rPr>
          <w:rtl/>
          <w:lang w:bidi="ar-SA"/>
        </w:rPr>
      </w:pPr>
      <w:r w:rsidRPr="004D017B">
        <w:rPr>
          <w:lang w:bidi="ar-SA"/>
        </w:rPr>
        <w:t>2</w:t>
      </w:r>
      <w:r w:rsidRPr="004D017B">
        <w:rPr>
          <w:rtl/>
          <w:lang w:bidi="ar-SA"/>
        </w:rPr>
        <w:tab/>
        <w:t>تعزيز الشراكات العالمية وتقوية التعاون من أجل تعزيز شبكات وخدمات الاتصالات/تكنولوجيا المعلومات والاتصالات القائمة على الفضاء وتسخيرها لتحقيق التنمية المستدامة؛</w:t>
      </w:r>
    </w:p>
    <w:p w14:paraId="7F8F8EF8" w14:textId="77777777" w:rsidR="00CE0E6C" w:rsidRDefault="00CE0E6C" w:rsidP="00CE0E6C">
      <w:pPr>
        <w:rPr>
          <w:rtl/>
          <w:lang w:bidi="ar-SA"/>
        </w:rPr>
      </w:pPr>
      <w:bookmarkStart w:id="1" w:name="_Hlk219985672"/>
      <w:r w:rsidRPr="004D017B">
        <w:rPr>
          <w:lang w:bidi="ar-SA"/>
        </w:rPr>
        <w:t>3</w:t>
      </w:r>
      <w:r w:rsidRPr="004D017B">
        <w:rPr>
          <w:rtl/>
          <w:lang w:bidi="ar-SA"/>
        </w:rPr>
        <w:tab/>
        <w:t>تعزيز التعاون وتبادل الممارسات الجيدة بشأن الأطر السياساتية والتنظيمية لشبكات وخدمات الاتصالات/تكنولوجيا المعلومات والاتصالات القائمة على الفضاء؛</w:t>
      </w:r>
    </w:p>
    <w:bookmarkEnd w:id="1"/>
    <w:p w14:paraId="416CBB6D" w14:textId="77777777" w:rsidR="00CE0E6C" w:rsidRDefault="00CE0E6C" w:rsidP="00CE0E6C">
      <w:pPr>
        <w:rPr>
          <w:rtl/>
          <w:lang w:bidi="ar-SA"/>
        </w:rPr>
      </w:pPr>
      <w:r w:rsidRPr="004D017B">
        <w:rPr>
          <w:lang w:bidi="ar-SA"/>
        </w:rPr>
        <w:t>4</w:t>
      </w:r>
      <w:r w:rsidRPr="004D017B">
        <w:rPr>
          <w:rtl/>
          <w:lang w:bidi="ar-SA"/>
        </w:rPr>
        <w:tab/>
        <w:t xml:space="preserve">تيسير التعاون بين مشغلي شبكات الأرض ومشغلي الاتصالات/تكنولوجيا المعلومات والاتصالات غير </w:t>
      </w:r>
      <w:r>
        <w:rPr>
          <w:rFonts w:hint="cs"/>
          <w:rtl/>
          <w:lang w:bidi="ar-SA"/>
        </w:rPr>
        <w:t xml:space="preserve">اتصالات </w:t>
      </w:r>
      <w:r w:rsidRPr="004D017B">
        <w:rPr>
          <w:rtl/>
          <w:lang w:bidi="ar-SA"/>
        </w:rPr>
        <w:t>الأرض القائمة على الفضاء للاستفادة من خدمات وتكنولوجيات الاتصالات/تكنولوجيا المعلومات والاتصالات الجديدة والناشئة؛</w:t>
      </w:r>
    </w:p>
    <w:p w14:paraId="035F1DD7" w14:textId="77777777" w:rsidR="00CE0E6C" w:rsidRPr="004D017B" w:rsidRDefault="00CE0E6C" w:rsidP="00CE0E6C">
      <w:pPr>
        <w:rPr>
          <w:rtl/>
          <w:lang w:bidi="en-GB"/>
        </w:rPr>
      </w:pPr>
      <w:r w:rsidRPr="004D017B">
        <w:rPr>
          <w:lang w:bidi="ar-SA"/>
        </w:rPr>
        <w:t>5</w:t>
      </w:r>
      <w:r w:rsidRPr="004D017B">
        <w:rPr>
          <w:rtl/>
          <w:lang w:bidi="ar-SA"/>
        </w:rPr>
        <w:tab/>
        <w:t>تعزيز الأطر السياساتية والتنظيمية لتطوير ونشر شبكات وخدمات الاتصالات/تكنولوجيا المعلومات والاتصالات القائمة على الفضاء،</w:t>
      </w:r>
    </w:p>
    <w:p w14:paraId="73088164" w14:textId="77777777" w:rsidR="00CE0E6C" w:rsidRPr="004D017B" w:rsidRDefault="00CE0E6C" w:rsidP="00CE0E6C">
      <w:pPr>
        <w:pStyle w:val="Call"/>
        <w:rPr>
          <w:rtl/>
          <w:lang w:bidi="en-GB"/>
        </w:rPr>
      </w:pPr>
      <w:r w:rsidRPr="004D017B">
        <w:rPr>
          <w:rtl/>
          <w:lang w:bidi="ar-SA"/>
        </w:rPr>
        <w:t>يدعو الأمين العام، بالتعاون الوثيق مع مديري مكتبي الاتصالات الراديوية وتنمية الاتصالات</w:t>
      </w:r>
      <w:r>
        <w:rPr>
          <w:rFonts w:hint="cs"/>
          <w:rtl/>
          <w:lang w:bidi="ar-SA"/>
        </w:rPr>
        <w:t xml:space="preserve"> إلى</w:t>
      </w:r>
    </w:p>
    <w:p w14:paraId="2858D3B0" w14:textId="77777777" w:rsidR="00CE0E6C" w:rsidRPr="004D017B" w:rsidRDefault="00CE0E6C" w:rsidP="00CE0E6C">
      <w:pPr>
        <w:rPr>
          <w:rtl/>
          <w:lang w:bidi="en-GB"/>
        </w:rPr>
      </w:pPr>
      <w:r w:rsidRPr="004D017B">
        <w:rPr>
          <w:lang w:bidi="ar-SA"/>
        </w:rPr>
        <w:t>1</w:t>
      </w:r>
      <w:r w:rsidRPr="004D017B">
        <w:rPr>
          <w:rtl/>
          <w:lang w:bidi="ar-SA"/>
        </w:rPr>
        <w:tab/>
        <w:t>مواصلة تيسير وتعزيز جهود الاتحاد الدولي للاتصالات الرامية إلى تعزيز النفاذ إلى شبكات وخدمات الاتصالات/تكنولوجيا المعلومات والاتصالات القائمة على الفضاء، في إطار الجهود الأوسع نطاقا</w:t>
      </w:r>
      <w:r>
        <w:rPr>
          <w:rFonts w:hint="cs"/>
          <w:rtl/>
          <w:lang w:bidi="ar-SA"/>
        </w:rPr>
        <w:t>ً</w:t>
      </w:r>
      <w:r w:rsidRPr="004D017B">
        <w:rPr>
          <w:rtl/>
          <w:lang w:bidi="ar-SA"/>
        </w:rPr>
        <w:t xml:space="preserve"> التي يبذلها الاتحاد لتحقيق التوصيلية الشاملة والهادفة </w:t>
      </w:r>
      <w:r w:rsidRPr="004D017B">
        <w:rPr>
          <w:rtl/>
          <w:lang w:bidi="ar-SA"/>
        </w:rPr>
        <w:lastRenderedPageBreak/>
        <w:t>والاستخدام المستدام لموارد التوصيلية في الفضاء الخارجي، من قبيل طيف الترددات الراديوية والمدارات المرتبطة به، من جانب قطاع الاتصالات/تكنولوجيا المعلومات والاتصالات؛</w:t>
      </w:r>
    </w:p>
    <w:p w14:paraId="72BDD23D" w14:textId="77777777" w:rsidR="00CE0E6C" w:rsidRPr="000163FC" w:rsidRDefault="00CE0E6C" w:rsidP="00CE0E6C">
      <w:pPr>
        <w:rPr>
          <w:spacing w:val="-4"/>
          <w:rtl/>
          <w:lang w:bidi="en-GB"/>
        </w:rPr>
      </w:pPr>
      <w:r w:rsidRPr="000163FC">
        <w:rPr>
          <w:spacing w:val="-4"/>
          <w:lang w:bidi="ar-SA"/>
        </w:rPr>
        <w:t>2</w:t>
      </w:r>
      <w:r w:rsidRPr="000163FC">
        <w:rPr>
          <w:spacing w:val="-4"/>
          <w:rtl/>
          <w:lang w:bidi="ar-SA"/>
        </w:rPr>
        <w:tab/>
        <w:t>مواصلة دعم الهيئات التنظيمية و</w:t>
      </w:r>
      <w:r>
        <w:rPr>
          <w:rFonts w:hint="cs"/>
          <w:rtl/>
          <w:lang w:bidi="ar-SA"/>
        </w:rPr>
        <w:t>واضعي</w:t>
      </w:r>
      <w:r w:rsidRPr="004D017B">
        <w:rPr>
          <w:rtl/>
          <w:lang w:bidi="ar-SA"/>
        </w:rPr>
        <w:t xml:space="preserve"> </w:t>
      </w:r>
      <w:r w:rsidRPr="000163FC">
        <w:rPr>
          <w:spacing w:val="-4"/>
          <w:rtl/>
          <w:lang w:bidi="ar-SA"/>
        </w:rPr>
        <w:t>السياسات في مجال بناء القدرات، من خلال تطوير الأدوات والموارد، بما</w:t>
      </w:r>
      <w:r w:rsidRPr="000163FC">
        <w:rPr>
          <w:rFonts w:hint="cs"/>
          <w:spacing w:val="-4"/>
          <w:rtl/>
          <w:lang w:bidi="ar-SA"/>
        </w:rPr>
        <w:t> </w:t>
      </w:r>
      <w:r w:rsidRPr="000163FC">
        <w:rPr>
          <w:spacing w:val="-4"/>
          <w:rtl/>
          <w:lang w:bidi="ar-SA"/>
        </w:rPr>
        <w:t>في</w:t>
      </w:r>
      <w:r w:rsidRPr="000163FC">
        <w:rPr>
          <w:rFonts w:hint="cs"/>
          <w:spacing w:val="-4"/>
          <w:rtl/>
          <w:lang w:bidi="ar-SA"/>
        </w:rPr>
        <w:t> </w:t>
      </w:r>
      <w:r w:rsidRPr="000163FC">
        <w:rPr>
          <w:spacing w:val="-4"/>
          <w:rtl/>
          <w:lang w:bidi="ar-SA"/>
        </w:rPr>
        <w:t>ذلك دراسات حالات عن الممارسات الجيدة الحديثة في مجال الاتصالات/تكنولوجيا المعلومات والاتصالات القائمة على الفضاء.</w:t>
      </w:r>
    </w:p>
    <w:p w14:paraId="76AFAC3B" w14:textId="77777777" w:rsidR="007071B4" w:rsidRPr="007071B4" w:rsidRDefault="007071B4" w:rsidP="007071B4">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7071B4" w:rsidRPr="007071B4" w:rsidSect="003E018F">
      <w:headerReference w:type="even" r:id="rId8"/>
      <w:headerReference w:type="default" r:id="rId9"/>
      <w:footerReference w:type="default" r:id="rId10"/>
      <w:headerReference w:type="first" r:id="rId11"/>
      <w:footerReference w:type="first" r:id="rId12"/>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D5819" w14:textId="77777777" w:rsidR="003F7021" w:rsidRDefault="003F7021" w:rsidP="00FE7FCA">
      <w:r>
        <w:separator/>
      </w:r>
    </w:p>
  </w:endnote>
  <w:endnote w:type="continuationSeparator" w:id="0">
    <w:p w14:paraId="66EE35D6" w14:textId="77777777" w:rsidR="003F7021" w:rsidRDefault="003F7021"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00D8"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1A1F" w14:textId="2D11D36B" w:rsidR="00255055" w:rsidRPr="003433B7" w:rsidRDefault="003433B7" w:rsidP="003433B7">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anchor="/ar" w:history="1">
      <w:r w:rsidRPr="00F632E3">
        <w:rPr>
          <w:rStyle w:val="Hyperlink"/>
          <w:rFonts w:asciiTheme="minorHAnsi" w:hAnsiTheme="minorHAnsi" w:cstheme="minorHAnsi"/>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CD80" w14:textId="77777777" w:rsidR="003F7021" w:rsidRDefault="003F7021">
      <w:r>
        <w:t>_______________</w:t>
      </w:r>
    </w:p>
  </w:footnote>
  <w:footnote w:type="continuationSeparator" w:id="0">
    <w:p w14:paraId="5884973E" w14:textId="77777777" w:rsidR="003F7021" w:rsidRDefault="003F7021" w:rsidP="00FE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4F1E"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970392">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7A9AFDCC" w14:textId="77777777" w:rsidR="003915D1" w:rsidRDefault="003915D1"/>
  <w:p w14:paraId="27077B63"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D893" w14:textId="77777777" w:rsidR="003433B7" w:rsidRPr="003433B7" w:rsidRDefault="003433B7" w:rsidP="003433B7">
    <w:pPr>
      <w:pStyle w:val="Header"/>
      <w:rPr>
        <w:rFonts w:asciiTheme="minorHAnsi" w:hAnsiTheme="minorHAnsi" w:cstheme="minorHAnsi"/>
      </w:rPr>
    </w:pPr>
    <w:r w:rsidRPr="003433B7">
      <w:rPr>
        <w:rFonts w:asciiTheme="minorHAnsi" w:hAnsiTheme="minorHAnsi" w:cstheme="minorHAnsi"/>
      </w:rPr>
      <w:fldChar w:fldCharType="begin"/>
    </w:r>
    <w:r w:rsidRPr="003433B7">
      <w:rPr>
        <w:rFonts w:asciiTheme="minorHAnsi" w:hAnsiTheme="minorHAnsi" w:cstheme="minorHAnsi"/>
      </w:rPr>
      <w:instrText xml:space="preserve"> PAGE   \* MERGEFORMAT </w:instrText>
    </w:r>
    <w:r w:rsidRPr="003433B7">
      <w:rPr>
        <w:rFonts w:asciiTheme="minorHAnsi" w:hAnsiTheme="minorHAnsi" w:cstheme="minorHAnsi"/>
      </w:rPr>
      <w:fldChar w:fldCharType="separate"/>
    </w:r>
    <w:r w:rsidRPr="003433B7">
      <w:rPr>
        <w:rFonts w:asciiTheme="minorHAnsi" w:hAnsiTheme="minorHAnsi" w:cstheme="minorHAnsi"/>
      </w:rPr>
      <w:t>2</w:t>
    </w:r>
    <w:r w:rsidRPr="003433B7">
      <w:rPr>
        <w:rFonts w:asciiTheme="minorHAnsi" w:hAnsiTheme="minorHAnsi" w:cstheme="min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F819"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74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CC7A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F23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687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38C2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688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6E4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C267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C4EC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74E7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3"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3"/>
  </w:num>
  <w:num w:numId="12" w16cid:durableId="1538279458">
    <w:abstractNumId w:val="11"/>
  </w:num>
  <w:num w:numId="13" w16cid:durableId="1712068755">
    <w:abstractNumId w:val="12"/>
  </w:num>
  <w:num w:numId="14" w16cid:durableId="9515493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92"/>
    <w:rsid w:val="00003ED5"/>
    <w:rsid w:val="00004A19"/>
    <w:rsid w:val="00005A03"/>
    <w:rsid w:val="00006678"/>
    <w:rsid w:val="000075F1"/>
    <w:rsid w:val="00014526"/>
    <w:rsid w:val="00014808"/>
    <w:rsid w:val="00015A2C"/>
    <w:rsid w:val="00015D0B"/>
    <w:rsid w:val="000171F8"/>
    <w:rsid w:val="00022AB9"/>
    <w:rsid w:val="000237C2"/>
    <w:rsid w:val="000273BE"/>
    <w:rsid w:val="00027664"/>
    <w:rsid w:val="00032200"/>
    <w:rsid w:val="0003560D"/>
    <w:rsid w:val="00040CA3"/>
    <w:rsid w:val="000410FE"/>
    <w:rsid w:val="000413B4"/>
    <w:rsid w:val="00046E96"/>
    <w:rsid w:val="00046FB4"/>
    <w:rsid w:val="00050C62"/>
    <w:rsid w:val="00051A7D"/>
    <w:rsid w:val="00053565"/>
    <w:rsid w:val="00053D23"/>
    <w:rsid w:val="00055C50"/>
    <w:rsid w:val="00056603"/>
    <w:rsid w:val="00056E73"/>
    <w:rsid w:val="0005749E"/>
    <w:rsid w:val="00057CBE"/>
    <w:rsid w:val="000640DE"/>
    <w:rsid w:val="00066678"/>
    <w:rsid w:val="000715BE"/>
    <w:rsid w:val="00074E5D"/>
    <w:rsid w:val="00075C7A"/>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4E81"/>
    <w:rsid w:val="000C527E"/>
    <w:rsid w:val="000D0B72"/>
    <w:rsid w:val="000D1672"/>
    <w:rsid w:val="000D5239"/>
    <w:rsid w:val="000E04FE"/>
    <w:rsid w:val="000E085F"/>
    <w:rsid w:val="000E15D9"/>
    <w:rsid w:val="000E20E0"/>
    <w:rsid w:val="000E4A80"/>
    <w:rsid w:val="000E4C7A"/>
    <w:rsid w:val="000E5571"/>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5788"/>
    <w:rsid w:val="00166E26"/>
    <w:rsid w:val="0017073C"/>
    <w:rsid w:val="00171990"/>
    <w:rsid w:val="001763DB"/>
    <w:rsid w:val="00177EA5"/>
    <w:rsid w:val="001806FE"/>
    <w:rsid w:val="00181306"/>
    <w:rsid w:val="001822F5"/>
    <w:rsid w:val="001853C0"/>
    <w:rsid w:val="00186AFE"/>
    <w:rsid w:val="00190E86"/>
    <w:rsid w:val="001918E2"/>
    <w:rsid w:val="0019549A"/>
    <w:rsid w:val="00195991"/>
    <w:rsid w:val="00196714"/>
    <w:rsid w:val="001A0EEB"/>
    <w:rsid w:val="001A1760"/>
    <w:rsid w:val="001A21B3"/>
    <w:rsid w:val="001A5347"/>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3B9E"/>
    <w:rsid w:val="001E5562"/>
    <w:rsid w:val="001E7F8A"/>
    <w:rsid w:val="001F0201"/>
    <w:rsid w:val="001F09C7"/>
    <w:rsid w:val="001F0B24"/>
    <w:rsid w:val="001F352A"/>
    <w:rsid w:val="001F4406"/>
    <w:rsid w:val="001F5D70"/>
    <w:rsid w:val="001F6B6F"/>
    <w:rsid w:val="00200F44"/>
    <w:rsid w:val="002010C2"/>
    <w:rsid w:val="00201372"/>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67D17"/>
    <w:rsid w:val="00272074"/>
    <w:rsid w:val="002732BB"/>
    <w:rsid w:val="0027409B"/>
    <w:rsid w:val="0027456E"/>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D251B"/>
    <w:rsid w:val="002E120B"/>
    <w:rsid w:val="002E20D6"/>
    <w:rsid w:val="002E24F7"/>
    <w:rsid w:val="002E79C6"/>
    <w:rsid w:val="002F0B1D"/>
    <w:rsid w:val="002F3DC3"/>
    <w:rsid w:val="002F5546"/>
    <w:rsid w:val="002F6EA1"/>
    <w:rsid w:val="002F6FAE"/>
    <w:rsid w:val="002F736F"/>
    <w:rsid w:val="002F7461"/>
    <w:rsid w:val="00302911"/>
    <w:rsid w:val="00303069"/>
    <w:rsid w:val="00304676"/>
    <w:rsid w:val="00306982"/>
    <w:rsid w:val="0031047C"/>
    <w:rsid w:val="00324167"/>
    <w:rsid w:val="0032611B"/>
    <w:rsid w:val="00326A4C"/>
    <w:rsid w:val="00333132"/>
    <w:rsid w:val="003340A3"/>
    <w:rsid w:val="00335B35"/>
    <w:rsid w:val="00337F61"/>
    <w:rsid w:val="00342815"/>
    <w:rsid w:val="003433B7"/>
    <w:rsid w:val="003466E8"/>
    <w:rsid w:val="003466E9"/>
    <w:rsid w:val="0035227D"/>
    <w:rsid w:val="00353D14"/>
    <w:rsid w:val="00355CBF"/>
    <w:rsid w:val="003565F7"/>
    <w:rsid w:val="00361DC0"/>
    <w:rsid w:val="00365686"/>
    <w:rsid w:val="00367C61"/>
    <w:rsid w:val="003701A8"/>
    <w:rsid w:val="0037444F"/>
    <w:rsid w:val="00374D21"/>
    <w:rsid w:val="00375BBA"/>
    <w:rsid w:val="0037782E"/>
    <w:rsid w:val="003810C1"/>
    <w:rsid w:val="00381E5A"/>
    <w:rsid w:val="0038225E"/>
    <w:rsid w:val="0038302F"/>
    <w:rsid w:val="00384745"/>
    <w:rsid w:val="00385872"/>
    <w:rsid w:val="003915D1"/>
    <w:rsid w:val="0039173C"/>
    <w:rsid w:val="00394B03"/>
    <w:rsid w:val="00395CE4"/>
    <w:rsid w:val="00397B27"/>
    <w:rsid w:val="003A0C0D"/>
    <w:rsid w:val="003A0ECA"/>
    <w:rsid w:val="003A1506"/>
    <w:rsid w:val="003A185D"/>
    <w:rsid w:val="003A3F14"/>
    <w:rsid w:val="003A434B"/>
    <w:rsid w:val="003A61DC"/>
    <w:rsid w:val="003A761D"/>
    <w:rsid w:val="003A774C"/>
    <w:rsid w:val="003A7C81"/>
    <w:rsid w:val="003B276A"/>
    <w:rsid w:val="003B44B6"/>
    <w:rsid w:val="003B470D"/>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021"/>
    <w:rsid w:val="003F77A8"/>
    <w:rsid w:val="0040069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5658"/>
    <w:rsid w:val="00426AC1"/>
    <w:rsid w:val="00433A34"/>
    <w:rsid w:val="0043422D"/>
    <w:rsid w:val="004423B0"/>
    <w:rsid w:val="00444228"/>
    <w:rsid w:val="00445219"/>
    <w:rsid w:val="00446AA8"/>
    <w:rsid w:val="00453CD6"/>
    <w:rsid w:val="004542C1"/>
    <w:rsid w:val="004545DA"/>
    <w:rsid w:val="00461A8F"/>
    <w:rsid w:val="00461F92"/>
    <w:rsid w:val="00462902"/>
    <w:rsid w:val="004648AF"/>
    <w:rsid w:val="004649F8"/>
    <w:rsid w:val="004676C0"/>
    <w:rsid w:val="00471899"/>
    <w:rsid w:val="00472BA1"/>
    <w:rsid w:val="00473962"/>
    <w:rsid w:val="0047406F"/>
    <w:rsid w:val="00481B25"/>
    <w:rsid w:val="0048341F"/>
    <w:rsid w:val="00484AB9"/>
    <w:rsid w:val="004869DA"/>
    <w:rsid w:val="004958CB"/>
    <w:rsid w:val="004A1AC1"/>
    <w:rsid w:val="004A63FE"/>
    <w:rsid w:val="004B0FAC"/>
    <w:rsid w:val="004B39C5"/>
    <w:rsid w:val="004B677A"/>
    <w:rsid w:val="004B67AA"/>
    <w:rsid w:val="004C75AD"/>
    <w:rsid w:val="004D0CCC"/>
    <w:rsid w:val="004D15DE"/>
    <w:rsid w:val="004D2102"/>
    <w:rsid w:val="004D2AEB"/>
    <w:rsid w:val="004D5FA3"/>
    <w:rsid w:val="004E150E"/>
    <w:rsid w:val="004E1595"/>
    <w:rsid w:val="004E16BE"/>
    <w:rsid w:val="004E197A"/>
    <w:rsid w:val="004E237A"/>
    <w:rsid w:val="004E3EB9"/>
    <w:rsid w:val="004E59CA"/>
    <w:rsid w:val="004E61E9"/>
    <w:rsid w:val="004F002E"/>
    <w:rsid w:val="004F3073"/>
    <w:rsid w:val="004F40C7"/>
    <w:rsid w:val="004F4986"/>
    <w:rsid w:val="004F5F61"/>
    <w:rsid w:val="004F63EB"/>
    <w:rsid w:val="004F66E1"/>
    <w:rsid w:val="004F79C1"/>
    <w:rsid w:val="004F7CE1"/>
    <w:rsid w:val="005014FA"/>
    <w:rsid w:val="00501F6D"/>
    <w:rsid w:val="00502527"/>
    <w:rsid w:val="00502F6B"/>
    <w:rsid w:val="005045E6"/>
    <w:rsid w:val="00507073"/>
    <w:rsid w:val="005071F2"/>
    <w:rsid w:val="0051068E"/>
    <w:rsid w:val="005115ED"/>
    <w:rsid w:val="00511EC4"/>
    <w:rsid w:val="00515E95"/>
    <w:rsid w:val="00516700"/>
    <w:rsid w:val="00523132"/>
    <w:rsid w:val="00523135"/>
    <w:rsid w:val="005238C1"/>
    <w:rsid w:val="00523E26"/>
    <w:rsid w:val="00524494"/>
    <w:rsid w:val="00524F13"/>
    <w:rsid w:val="005268DE"/>
    <w:rsid w:val="00531259"/>
    <w:rsid w:val="0053287E"/>
    <w:rsid w:val="00534AB6"/>
    <w:rsid w:val="005356FD"/>
    <w:rsid w:val="00536C2A"/>
    <w:rsid w:val="00537938"/>
    <w:rsid w:val="00540A48"/>
    <w:rsid w:val="0054496A"/>
    <w:rsid w:val="005463D4"/>
    <w:rsid w:val="0054644E"/>
    <w:rsid w:val="005466D0"/>
    <w:rsid w:val="00546892"/>
    <w:rsid w:val="0054699D"/>
    <w:rsid w:val="0055050D"/>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23D"/>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A48"/>
    <w:rsid w:val="005A636A"/>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20258"/>
    <w:rsid w:val="00620660"/>
    <w:rsid w:val="00620F32"/>
    <w:rsid w:val="006213E7"/>
    <w:rsid w:val="00621E38"/>
    <w:rsid w:val="0062228A"/>
    <w:rsid w:val="006422DC"/>
    <w:rsid w:val="006438BD"/>
    <w:rsid w:val="00646482"/>
    <w:rsid w:val="00646A3A"/>
    <w:rsid w:val="00650A04"/>
    <w:rsid w:val="00650B49"/>
    <w:rsid w:val="00651F6B"/>
    <w:rsid w:val="00652C0B"/>
    <w:rsid w:val="0065503D"/>
    <w:rsid w:val="006610BA"/>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3940"/>
    <w:rsid w:val="006E57C8"/>
    <w:rsid w:val="006E79C9"/>
    <w:rsid w:val="006E7D9F"/>
    <w:rsid w:val="006F56C6"/>
    <w:rsid w:val="006F5BA2"/>
    <w:rsid w:val="006F74AF"/>
    <w:rsid w:val="007016D6"/>
    <w:rsid w:val="00702908"/>
    <w:rsid w:val="00704E42"/>
    <w:rsid w:val="00706323"/>
    <w:rsid w:val="00706D94"/>
    <w:rsid w:val="007071B4"/>
    <w:rsid w:val="00710152"/>
    <w:rsid w:val="007112FC"/>
    <w:rsid w:val="00711CCD"/>
    <w:rsid w:val="007132AE"/>
    <w:rsid w:val="00713CF2"/>
    <w:rsid w:val="00715487"/>
    <w:rsid w:val="0071655E"/>
    <w:rsid w:val="00716FEB"/>
    <w:rsid w:val="00727702"/>
    <w:rsid w:val="00727D3E"/>
    <w:rsid w:val="00730F00"/>
    <w:rsid w:val="007323C3"/>
    <w:rsid w:val="0073319E"/>
    <w:rsid w:val="00733F7E"/>
    <w:rsid w:val="00734C6D"/>
    <w:rsid w:val="00740ADC"/>
    <w:rsid w:val="0074301C"/>
    <w:rsid w:val="00743023"/>
    <w:rsid w:val="00743FF7"/>
    <w:rsid w:val="00746BC0"/>
    <w:rsid w:val="00750829"/>
    <w:rsid w:val="00750EE5"/>
    <w:rsid w:val="0075136F"/>
    <w:rsid w:val="00752B30"/>
    <w:rsid w:val="00753705"/>
    <w:rsid w:val="00753B98"/>
    <w:rsid w:val="00755AE8"/>
    <w:rsid w:val="007607C0"/>
    <w:rsid w:val="00761F8F"/>
    <w:rsid w:val="00762938"/>
    <w:rsid w:val="007638CF"/>
    <w:rsid w:val="00763D8D"/>
    <w:rsid w:val="0076605C"/>
    <w:rsid w:val="00767035"/>
    <w:rsid w:val="0077109C"/>
    <w:rsid w:val="0077208A"/>
    <w:rsid w:val="0077489F"/>
    <w:rsid w:val="007838F5"/>
    <w:rsid w:val="007844D3"/>
    <w:rsid w:val="00785921"/>
    <w:rsid w:val="007872AB"/>
    <w:rsid w:val="00792410"/>
    <w:rsid w:val="00792684"/>
    <w:rsid w:val="0079304C"/>
    <w:rsid w:val="007939EF"/>
    <w:rsid w:val="00794F1D"/>
    <w:rsid w:val="007A3270"/>
    <w:rsid w:val="007A6FF5"/>
    <w:rsid w:val="007B2866"/>
    <w:rsid w:val="007C43A3"/>
    <w:rsid w:val="007D06D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C34"/>
    <w:rsid w:val="00826EF1"/>
    <w:rsid w:val="008300E4"/>
    <w:rsid w:val="0083067B"/>
    <w:rsid w:val="00841726"/>
    <w:rsid w:val="00845EC4"/>
    <w:rsid w:val="00846C73"/>
    <w:rsid w:val="008470C6"/>
    <w:rsid w:val="00847517"/>
    <w:rsid w:val="00850AEF"/>
    <w:rsid w:val="008552BC"/>
    <w:rsid w:val="00855F0B"/>
    <w:rsid w:val="008577A0"/>
    <w:rsid w:val="008579A7"/>
    <w:rsid w:val="00861E76"/>
    <w:rsid w:val="0086302A"/>
    <w:rsid w:val="00864136"/>
    <w:rsid w:val="008649B8"/>
    <w:rsid w:val="00872075"/>
    <w:rsid w:val="00873E84"/>
    <w:rsid w:val="00884B66"/>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7023"/>
    <w:rsid w:val="008F75D7"/>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392"/>
    <w:rsid w:val="00970F39"/>
    <w:rsid w:val="00972ED6"/>
    <w:rsid w:val="00975D77"/>
    <w:rsid w:val="0097667C"/>
    <w:rsid w:val="00980117"/>
    <w:rsid w:val="00980D4E"/>
    <w:rsid w:val="00981740"/>
    <w:rsid w:val="00983786"/>
    <w:rsid w:val="00986576"/>
    <w:rsid w:val="009866F0"/>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9BB"/>
    <w:rsid w:val="00A009FF"/>
    <w:rsid w:val="00A00B7A"/>
    <w:rsid w:val="00A01D3A"/>
    <w:rsid w:val="00A035A3"/>
    <w:rsid w:val="00A06CB2"/>
    <w:rsid w:val="00A07160"/>
    <w:rsid w:val="00A104C3"/>
    <w:rsid w:val="00A11C33"/>
    <w:rsid w:val="00A16046"/>
    <w:rsid w:val="00A225DB"/>
    <w:rsid w:val="00A2287A"/>
    <w:rsid w:val="00A27221"/>
    <w:rsid w:val="00A306FA"/>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77CDB"/>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0380"/>
    <w:rsid w:val="00AC1E7A"/>
    <w:rsid w:val="00AC2DD5"/>
    <w:rsid w:val="00AC3A4C"/>
    <w:rsid w:val="00AC4D7C"/>
    <w:rsid w:val="00AC628F"/>
    <w:rsid w:val="00AD5D22"/>
    <w:rsid w:val="00AD6074"/>
    <w:rsid w:val="00AD615F"/>
    <w:rsid w:val="00AD7BF9"/>
    <w:rsid w:val="00AD7D7F"/>
    <w:rsid w:val="00AE0AC5"/>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D73"/>
    <w:rsid w:val="00B27061"/>
    <w:rsid w:val="00B3661A"/>
    <w:rsid w:val="00B37433"/>
    <w:rsid w:val="00B40192"/>
    <w:rsid w:val="00B40AF4"/>
    <w:rsid w:val="00B46E3B"/>
    <w:rsid w:val="00B474D9"/>
    <w:rsid w:val="00B523F8"/>
    <w:rsid w:val="00B54322"/>
    <w:rsid w:val="00B54D74"/>
    <w:rsid w:val="00B62918"/>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49B"/>
    <w:rsid w:val="00BD18B1"/>
    <w:rsid w:val="00BD2884"/>
    <w:rsid w:val="00BD3AA2"/>
    <w:rsid w:val="00BD59D7"/>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5616"/>
    <w:rsid w:val="00C25737"/>
    <w:rsid w:val="00C30A67"/>
    <w:rsid w:val="00C32565"/>
    <w:rsid w:val="00C341F3"/>
    <w:rsid w:val="00C430C6"/>
    <w:rsid w:val="00C43888"/>
    <w:rsid w:val="00C439BE"/>
    <w:rsid w:val="00C470D6"/>
    <w:rsid w:val="00C47580"/>
    <w:rsid w:val="00C52D1E"/>
    <w:rsid w:val="00C53031"/>
    <w:rsid w:val="00C548BF"/>
    <w:rsid w:val="00C54CFB"/>
    <w:rsid w:val="00C5780B"/>
    <w:rsid w:val="00C60285"/>
    <w:rsid w:val="00C6627E"/>
    <w:rsid w:val="00C71396"/>
    <w:rsid w:val="00C73415"/>
    <w:rsid w:val="00C7395D"/>
    <w:rsid w:val="00C7703B"/>
    <w:rsid w:val="00C77966"/>
    <w:rsid w:val="00C779E4"/>
    <w:rsid w:val="00C77ECB"/>
    <w:rsid w:val="00C80590"/>
    <w:rsid w:val="00C80E21"/>
    <w:rsid w:val="00C80FE3"/>
    <w:rsid w:val="00C82928"/>
    <w:rsid w:val="00C83D62"/>
    <w:rsid w:val="00C938C1"/>
    <w:rsid w:val="00C976F3"/>
    <w:rsid w:val="00CA0C39"/>
    <w:rsid w:val="00CA33B8"/>
    <w:rsid w:val="00CA38C9"/>
    <w:rsid w:val="00CA428E"/>
    <w:rsid w:val="00CA4E93"/>
    <w:rsid w:val="00CA65A0"/>
    <w:rsid w:val="00CB1C43"/>
    <w:rsid w:val="00CB3394"/>
    <w:rsid w:val="00CB5F2E"/>
    <w:rsid w:val="00CB617D"/>
    <w:rsid w:val="00CC1C62"/>
    <w:rsid w:val="00CC6C27"/>
    <w:rsid w:val="00CC719B"/>
    <w:rsid w:val="00CC7DDA"/>
    <w:rsid w:val="00CC7E0B"/>
    <w:rsid w:val="00CD7B99"/>
    <w:rsid w:val="00CD7C7E"/>
    <w:rsid w:val="00CE0E6C"/>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57CE"/>
    <w:rsid w:val="00D22C9A"/>
    <w:rsid w:val="00D2304D"/>
    <w:rsid w:val="00D31F48"/>
    <w:rsid w:val="00D36206"/>
    <w:rsid w:val="00D409A0"/>
    <w:rsid w:val="00D4153A"/>
    <w:rsid w:val="00D44B82"/>
    <w:rsid w:val="00D5128E"/>
    <w:rsid w:val="00D53A54"/>
    <w:rsid w:val="00D550C4"/>
    <w:rsid w:val="00D56429"/>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87904"/>
    <w:rsid w:val="00D90B8A"/>
    <w:rsid w:val="00D92E12"/>
    <w:rsid w:val="00D93ADB"/>
    <w:rsid w:val="00D9476C"/>
    <w:rsid w:val="00D95974"/>
    <w:rsid w:val="00D9683B"/>
    <w:rsid w:val="00DA0273"/>
    <w:rsid w:val="00DA3015"/>
    <w:rsid w:val="00DA41BB"/>
    <w:rsid w:val="00DA686F"/>
    <w:rsid w:val="00DB6324"/>
    <w:rsid w:val="00DB7A0C"/>
    <w:rsid w:val="00DC1485"/>
    <w:rsid w:val="00DC19B7"/>
    <w:rsid w:val="00DC27E7"/>
    <w:rsid w:val="00DC32A3"/>
    <w:rsid w:val="00DC5942"/>
    <w:rsid w:val="00DC5B26"/>
    <w:rsid w:val="00DD036A"/>
    <w:rsid w:val="00DD26B1"/>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2C57"/>
    <w:rsid w:val="00E032F4"/>
    <w:rsid w:val="00E033F6"/>
    <w:rsid w:val="00E04477"/>
    <w:rsid w:val="00E07D45"/>
    <w:rsid w:val="00E07FB8"/>
    <w:rsid w:val="00E11B8D"/>
    <w:rsid w:val="00E11BFC"/>
    <w:rsid w:val="00E12128"/>
    <w:rsid w:val="00E140E4"/>
    <w:rsid w:val="00E14413"/>
    <w:rsid w:val="00E20102"/>
    <w:rsid w:val="00E224C4"/>
    <w:rsid w:val="00E24590"/>
    <w:rsid w:val="00E275BA"/>
    <w:rsid w:val="00E313E9"/>
    <w:rsid w:val="00E33424"/>
    <w:rsid w:val="00E350E8"/>
    <w:rsid w:val="00E35AD7"/>
    <w:rsid w:val="00E36718"/>
    <w:rsid w:val="00E376E3"/>
    <w:rsid w:val="00E42FCB"/>
    <w:rsid w:val="00E50C87"/>
    <w:rsid w:val="00E51FB8"/>
    <w:rsid w:val="00E521B4"/>
    <w:rsid w:val="00E53CED"/>
    <w:rsid w:val="00E54571"/>
    <w:rsid w:val="00E5552F"/>
    <w:rsid w:val="00E556D1"/>
    <w:rsid w:val="00E56E57"/>
    <w:rsid w:val="00E5739B"/>
    <w:rsid w:val="00E623BB"/>
    <w:rsid w:val="00E657C9"/>
    <w:rsid w:val="00E67950"/>
    <w:rsid w:val="00E7609D"/>
    <w:rsid w:val="00E83936"/>
    <w:rsid w:val="00E83C20"/>
    <w:rsid w:val="00E900EB"/>
    <w:rsid w:val="00E91163"/>
    <w:rsid w:val="00E930F5"/>
    <w:rsid w:val="00E97FCB"/>
    <w:rsid w:val="00EA36BF"/>
    <w:rsid w:val="00EA4CBA"/>
    <w:rsid w:val="00EA6527"/>
    <w:rsid w:val="00EA656F"/>
    <w:rsid w:val="00EB1336"/>
    <w:rsid w:val="00EB3ADA"/>
    <w:rsid w:val="00EB5921"/>
    <w:rsid w:val="00EC08B9"/>
    <w:rsid w:val="00EC16C1"/>
    <w:rsid w:val="00EC4F6D"/>
    <w:rsid w:val="00EC6350"/>
    <w:rsid w:val="00EC6F99"/>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2035"/>
    <w:rsid w:val="00F03CC5"/>
    <w:rsid w:val="00F0715F"/>
    <w:rsid w:val="00F114D5"/>
    <w:rsid w:val="00F15EBE"/>
    <w:rsid w:val="00F20226"/>
    <w:rsid w:val="00F20B32"/>
    <w:rsid w:val="00F20BC2"/>
    <w:rsid w:val="00F22C92"/>
    <w:rsid w:val="00F25B25"/>
    <w:rsid w:val="00F26849"/>
    <w:rsid w:val="00F27DBC"/>
    <w:rsid w:val="00F302AC"/>
    <w:rsid w:val="00F31DF7"/>
    <w:rsid w:val="00F34255"/>
    <w:rsid w:val="00F342E4"/>
    <w:rsid w:val="00F356BC"/>
    <w:rsid w:val="00F36293"/>
    <w:rsid w:val="00F42334"/>
    <w:rsid w:val="00F502DF"/>
    <w:rsid w:val="00F5039E"/>
    <w:rsid w:val="00F508AB"/>
    <w:rsid w:val="00F5160E"/>
    <w:rsid w:val="00F53C03"/>
    <w:rsid w:val="00F53D7A"/>
    <w:rsid w:val="00F54444"/>
    <w:rsid w:val="00F54C9D"/>
    <w:rsid w:val="00F559DD"/>
    <w:rsid w:val="00F5625B"/>
    <w:rsid w:val="00F56F5D"/>
    <w:rsid w:val="00F607E1"/>
    <w:rsid w:val="00F632E3"/>
    <w:rsid w:val="00F6358B"/>
    <w:rsid w:val="00F6694B"/>
    <w:rsid w:val="00F67F30"/>
    <w:rsid w:val="00F7094E"/>
    <w:rsid w:val="00F725F7"/>
    <w:rsid w:val="00F74219"/>
    <w:rsid w:val="00F77CA2"/>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1E2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27EF7"/>
  <w15:docId w15:val="{D460273E-89C7-4D65-AB7D-65CDFC93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uiPriority w:val="99"/>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uiPriority w:val="99"/>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qFormat/>
    <w:rsid w:val="00A626E0"/>
    <w:pPr>
      <w:keepNext/>
      <w:spacing w:before="360"/>
      <w:jc w:val="center"/>
    </w:pPr>
    <w:rPr>
      <w:sz w:val="28"/>
      <w:szCs w:val="28"/>
    </w:rPr>
  </w:style>
  <w:style w:type="table" w:styleId="TableGrid">
    <w:name w:val="Table Grid"/>
    <w:basedOn w:val="TableNormal"/>
    <w:uiPriority w:val="3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qFormat/>
    <w:rsid w:val="00A626E0"/>
    <w:pPr>
      <w:spacing w:before="240" w:after="240"/>
      <w:jc w:val="center"/>
    </w:pPr>
    <w:rPr>
      <w:b/>
      <w:bCs/>
      <w:sz w:val="28"/>
      <w:szCs w:val="28"/>
    </w:rPr>
  </w:style>
  <w:style w:type="paragraph" w:styleId="ListParagraph">
    <w:name w:val="List Paragraph"/>
    <w:basedOn w:val="Normal"/>
    <w:link w:val="ListParagraphChar"/>
    <w:uiPriority w:val="34"/>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970392"/>
    <w:pPr>
      <w:tabs>
        <w:tab w:val="clear" w:pos="567"/>
        <w:tab w:val="clear" w:pos="1134"/>
        <w:tab w:val="clear" w:pos="1701"/>
        <w:tab w:val="clear" w:pos="2268"/>
        <w:tab w:val="clear" w:pos="2835"/>
        <w:tab w:val="left" w:pos="720"/>
        <w:tab w:val="left" w:pos="1418"/>
      </w:tabs>
      <w:spacing w:after="120"/>
      <w:jc w:val="center"/>
    </w:pPr>
    <w:rPr>
      <w:b/>
      <w:bCs/>
      <w:sz w:val="28"/>
      <w:szCs w:val="28"/>
    </w:rPr>
  </w:style>
  <w:style w:type="character" w:styleId="FollowedHyperlink">
    <w:name w:val="FollowedHyperlink"/>
    <w:basedOn w:val="DefaultParagraphFont"/>
    <w:unhideWhenUsed/>
    <w:rsid w:val="005A636A"/>
    <w:rPr>
      <w:color w:val="800080" w:themeColor="followedHyperlink"/>
      <w:u w:val="single"/>
    </w:rPr>
  </w:style>
  <w:style w:type="paragraph" w:customStyle="1" w:styleId="OpNo">
    <w:name w:val="Op_No"/>
    <w:basedOn w:val="Title1"/>
    <w:rsid w:val="00970392"/>
    <w:pPr>
      <w:framePr w:hSpace="180" w:wrap="around" w:hAnchor="text" w:y="-612"/>
      <w:spacing w:before="720" w:after="120"/>
    </w:pPr>
    <w:rPr>
      <w:lang w:eastAsia="zh-CN" w:bidi="ar-SY"/>
    </w:rPr>
  </w:style>
  <w:style w:type="paragraph" w:customStyle="1" w:styleId="Optitle0">
    <w:name w:val="Op_title"/>
    <w:basedOn w:val="Restitle"/>
    <w:rsid w:val="00FF1E2A"/>
    <w:pPr>
      <w:keepNext w:val="0"/>
      <w:tabs>
        <w:tab w:val="clear" w:pos="567"/>
        <w:tab w:val="left" w:pos="851"/>
      </w:tabs>
      <w:bidi w:val="0"/>
      <w:spacing w:after="240"/>
    </w:pPr>
    <w:rPr>
      <w:rFonts w:eastAsia="Calibri" w:hint="cs"/>
      <w:lang w:eastAsia="zh-CN"/>
    </w:rPr>
  </w:style>
  <w:style w:type="paragraph" w:styleId="NormalIndent">
    <w:name w:val="Normal Indent"/>
    <w:basedOn w:val="Normal"/>
    <w:rsid w:val="0077208A"/>
    <w:pPr>
      <w:tabs>
        <w:tab w:val="clear" w:pos="567"/>
        <w:tab w:val="left" w:pos="851"/>
      </w:tabs>
      <w:bidi w:val="0"/>
      <w:spacing w:line="240" w:lineRule="auto"/>
      <w:ind w:left="567"/>
      <w:jc w:val="left"/>
    </w:pPr>
    <w:rPr>
      <w:rFonts w:ascii="Times New Roman" w:eastAsia="Times New Roman" w:hAnsi="CG Times" w:cs="Simplified Arabic" w:hint="cs"/>
      <w:sz w:val="24"/>
      <w:szCs w:val="30"/>
      <w:lang w:val="en-US" w:eastAsia="zh-CN" w:bidi="ar-SA"/>
    </w:rPr>
  </w:style>
  <w:style w:type="paragraph" w:customStyle="1" w:styleId="MinusFootnote">
    <w:name w:val="MinusFootnote"/>
    <w:basedOn w:val="Normal"/>
    <w:rsid w:val="0077208A"/>
    <w:pPr>
      <w:tabs>
        <w:tab w:val="clear" w:pos="567"/>
        <w:tab w:val="left" w:pos="851"/>
      </w:tabs>
      <w:bidi w:val="0"/>
      <w:spacing w:line="240" w:lineRule="auto"/>
      <w:ind w:left="-1701" w:hanging="284"/>
      <w:jc w:val="left"/>
    </w:pPr>
    <w:rPr>
      <w:rFonts w:ascii="Times New Roman" w:eastAsia="Times New Roman" w:hAnsi="CG Times" w:cs="Simplified Arabic" w:hint="cs"/>
      <w:sz w:val="24"/>
      <w:szCs w:val="30"/>
      <w:lang w:val="en-US" w:eastAsia="zh-CN" w:bidi="ar-SA"/>
    </w:rPr>
  </w:style>
  <w:style w:type="paragraph" w:customStyle="1" w:styleId="FootnoteTextS2">
    <w:name w:val="Footnote Text_S2"/>
    <w:basedOn w:val="FootnoteText"/>
    <w:rsid w:val="0077208A"/>
    <w:pPr>
      <w:tabs>
        <w:tab w:val="clear" w:pos="372"/>
        <w:tab w:val="clear" w:pos="1134"/>
        <w:tab w:val="clear" w:pos="1871"/>
        <w:tab w:val="clear" w:pos="2268"/>
        <w:tab w:val="left" w:pos="851"/>
      </w:tabs>
      <w:overflowPunct w:val="0"/>
      <w:autoSpaceDE w:val="0"/>
      <w:autoSpaceDN w:val="0"/>
      <w:bidi w:val="0"/>
      <w:adjustRightInd w:val="0"/>
      <w:spacing w:before="120" w:line="240" w:lineRule="auto"/>
      <w:ind w:left="0" w:firstLine="0"/>
      <w:jc w:val="left"/>
      <w:textAlignment w:val="baseline"/>
    </w:pPr>
    <w:rPr>
      <w:rFonts w:ascii="Times New Roman" w:eastAsia="Times New Roman" w:hAnsi="CG Times" w:cs="Simplified Arabic" w:hint="cs"/>
      <w:b/>
      <w:sz w:val="22"/>
      <w:szCs w:val="30"/>
      <w:lang w:eastAsia="zh-CN" w:bidi="ar-SA"/>
    </w:rPr>
  </w:style>
  <w:style w:type="paragraph" w:customStyle="1" w:styleId="NormalIndentS2">
    <w:name w:val="Normal Indent_S2"/>
    <w:basedOn w:val="NormalIndent"/>
    <w:rsid w:val="0077208A"/>
    <w:pPr>
      <w:tabs>
        <w:tab w:val="clear" w:pos="1134"/>
        <w:tab w:val="clear" w:pos="1701"/>
        <w:tab w:val="clear" w:pos="2268"/>
        <w:tab w:val="clear" w:pos="2835"/>
      </w:tabs>
      <w:ind w:left="0"/>
    </w:pPr>
    <w:rPr>
      <w:b/>
    </w:rPr>
  </w:style>
  <w:style w:type="paragraph" w:customStyle="1" w:styleId="RestitleS2">
    <w:name w:val="Res_title_S2"/>
    <w:basedOn w:val="Restitle"/>
    <w:next w:val="NormalS2"/>
    <w:rsid w:val="0077208A"/>
    <w:pPr>
      <w:keepNext w:val="0"/>
      <w:tabs>
        <w:tab w:val="clear" w:pos="567"/>
        <w:tab w:val="clear" w:pos="1134"/>
        <w:tab w:val="clear" w:pos="1701"/>
        <w:tab w:val="clear" w:pos="2268"/>
        <w:tab w:val="clear" w:pos="2835"/>
        <w:tab w:val="left" w:pos="851"/>
      </w:tabs>
      <w:bidi w:val="0"/>
      <w:spacing w:after="240" w:line="240" w:lineRule="auto"/>
      <w:jc w:val="left"/>
    </w:pPr>
    <w:rPr>
      <w:rFonts w:ascii="Times New Roman" w:eastAsia="Times New Roman" w:hAnsi="CG Times" w:cs="Simplified Arabic" w:hint="cs"/>
      <w:bCs w:val="0"/>
      <w:sz w:val="24"/>
      <w:szCs w:val="30"/>
      <w:lang w:eastAsia="zh-CN"/>
    </w:rPr>
  </w:style>
  <w:style w:type="paragraph" w:customStyle="1" w:styleId="FooterS2">
    <w:name w:val="Footer_S2"/>
    <w:basedOn w:val="Footer"/>
    <w:rsid w:val="0077208A"/>
    <w:pPr>
      <w:tabs>
        <w:tab w:val="clear" w:pos="4680"/>
        <w:tab w:val="clear" w:pos="9360"/>
        <w:tab w:val="left" w:pos="851"/>
        <w:tab w:val="left" w:pos="3686"/>
        <w:tab w:val="right" w:pos="7655"/>
      </w:tabs>
      <w:bidi w:val="0"/>
      <w:ind w:left="-1985"/>
      <w:jc w:val="left"/>
    </w:pPr>
    <w:rPr>
      <w:rFonts w:ascii="Times New Roman" w:eastAsia="Times New Roman" w:hAnsi="CG Times" w:cs="Simplified Arabic" w:hint="cs"/>
      <w:noProof/>
      <w:sz w:val="16"/>
      <w:szCs w:val="30"/>
      <w:lang w:val="en-US" w:eastAsia="zh-CN" w:bidi="ar-SA"/>
    </w:rPr>
  </w:style>
  <w:style w:type="paragraph" w:customStyle="1" w:styleId="HeaderS2">
    <w:name w:val="Header_S2"/>
    <w:basedOn w:val="Normal"/>
    <w:rsid w:val="0077208A"/>
    <w:pPr>
      <w:tabs>
        <w:tab w:val="clear" w:pos="567"/>
        <w:tab w:val="clear" w:pos="1134"/>
        <w:tab w:val="clear" w:pos="1701"/>
        <w:tab w:val="clear" w:pos="2268"/>
        <w:tab w:val="clear" w:pos="2835"/>
        <w:tab w:val="left" w:pos="851"/>
      </w:tabs>
      <w:bidi w:val="0"/>
      <w:spacing w:before="0" w:line="240" w:lineRule="auto"/>
      <w:ind w:left="-1985"/>
      <w:jc w:val="center"/>
    </w:pPr>
    <w:rPr>
      <w:rFonts w:ascii="Times New Roman" w:eastAsia="Times New Roman" w:hAnsi="CG Times" w:cs="Simplified Arabic" w:hint="cs"/>
      <w:szCs w:val="30"/>
      <w:lang w:val="en-US" w:eastAsia="zh-CN" w:bidi="ar-SA"/>
    </w:rPr>
  </w:style>
  <w:style w:type="paragraph" w:customStyle="1" w:styleId="HeadingbS20">
    <w:name w:val="Headingb_S2"/>
    <w:basedOn w:val="Headingb"/>
    <w:next w:val="NormalS2"/>
    <w:rsid w:val="0077208A"/>
    <w:pPr>
      <w:tabs>
        <w:tab w:val="clear" w:pos="567"/>
        <w:tab w:val="clear" w:pos="1134"/>
        <w:tab w:val="clear" w:pos="1701"/>
        <w:tab w:val="clear" w:pos="2268"/>
        <w:tab w:val="clear" w:pos="2835"/>
        <w:tab w:val="left" w:pos="851"/>
      </w:tabs>
      <w:bidi w:val="0"/>
      <w:spacing w:before="160" w:line="240" w:lineRule="auto"/>
      <w:ind w:left="851" w:hanging="851"/>
      <w:jc w:val="left"/>
    </w:pPr>
    <w:rPr>
      <w:rFonts w:ascii="Times New Roman" w:eastAsia="Times New Roman" w:hAnsi="CG Times" w:cs="Simplified Arabic" w:hint="cs"/>
      <w:bCs w:val="0"/>
      <w:position w:val="0"/>
      <w:szCs w:val="25"/>
      <w:lang w:val="en-US" w:eastAsia="zh-CN" w:bidi="ar-SA"/>
    </w:rPr>
  </w:style>
  <w:style w:type="paragraph" w:customStyle="1" w:styleId="Heading1c">
    <w:name w:val="Heading 1c"/>
    <w:basedOn w:val="Heading1"/>
    <w:next w:val="Normal"/>
    <w:rsid w:val="0077208A"/>
    <w:pPr>
      <w:tabs>
        <w:tab w:val="clear" w:pos="567"/>
        <w:tab w:val="left" w:pos="851"/>
      </w:tabs>
      <w:bidi w:val="0"/>
      <w:spacing w:before="360" w:line="240" w:lineRule="auto"/>
      <w:ind w:left="0" w:firstLine="0"/>
      <w:jc w:val="center"/>
      <w:outlineLvl w:val="9"/>
    </w:pPr>
    <w:rPr>
      <w:rFonts w:ascii="Times New Roman" w:eastAsia="Times New Roman" w:hAnsi="CG Times" w:cs="Simplified Arabic" w:hint="cs"/>
      <w:bCs w:val="0"/>
      <w:sz w:val="28"/>
      <w:szCs w:val="25"/>
      <w:lang w:val="en-US" w:eastAsia="zh-CN" w:bidi="ar-SA"/>
    </w:rPr>
  </w:style>
  <w:style w:type="paragraph" w:customStyle="1" w:styleId="Heading2i">
    <w:name w:val="Heading 2i"/>
    <w:basedOn w:val="Heading2"/>
    <w:next w:val="Normal"/>
    <w:rsid w:val="0077208A"/>
    <w:pPr>
      <w:tabs>
        <w:tab w:val="clear" w:pos="567"/>
        <w:tab w:val="left" w:pos="851"/>
      </w:tabs>
      <w:bidi w:val="0"/>
      <w:spacing w:before="240" w:line="240" w:lineRule="auto"/>
      <w:ind w:left="851" w:hanging="851"/>
      <w:jc w:val="left"/>
    </w:pPr>
    <w:rPr>
      <w:rFonts w:ascii="Times New Roman" w:eastAsia="Times New Roman" w:hAnsi="CG Times" w:cs="Simplified Arabic" w:hint="cs"/>
      <w:b w:val="0"/>
      <w:bCs w:val="0"/>
      <w:i/>
      <w:position w:val="0"/>
      <w:szCs w:val="25"/>
      <w:lang w:val="en-US" w:eastAsia="zh-CN" w:bidi="ar-SA"/>
    </w:rPr>
  </w:style>
  <w:style w:type="paragraph" w:customStyle="1" w:styleId="Heading2iS2">
    <w:name w:val="Heading 2i_S2"/>
    <w:basedOn w:val="Heading2i"/>
    <w:next w:val="NormalS2"/>
    <w:rsid w:val="0077208A"/>
    <w:pPr>
      <w:tabs>
        <w:tab w:val="clear" w:pos="1134"/>
        <w:tab w:val="clear" w:pos="1701"/>
        <w:tab w:val="clear" w:pos="2268"/>
        <w:tab w:val="clear" w:pos="2835"/>
      </w:tabs>
    </w:pPr>
    <w:rPr>
      <w:b/>
      <w:i w:val="0"/>
    </w:rPr>
  </w:style>
  <w:style w:type="paragraph" w:customStyle="1" w:styleId="Heading1pv">
    <w:name w:val="Heading 1pv"/>
    <w:basedOn w:val="Heading1"/>
    <w:next w:val="Normalpv"/>
    <w:rsid w:val="0077208A"/>
    <w:pPr>
      <w:tabs>
        <w:tab w:val="clear" w:pos="567"/>
        <w:tab w:val="clear" w:pos="1134"/>
        <w:tab w:val="clear" w:pos="1701"/>
        <w:tab w:val="clear" w:pos="2268"/>
        <w:tab w:val="clear" w:pos="2835"/>
        <w:tab w:val="left" w:pos="794"/>
        <w:tab w:val="left" w:pos="851"/>
        <w:tab w:val="left" w:pos="1191"/>
        <w:tab w:val="left" w:pos="1588"/>
        <w:tab w:val="left" w:pos="1985"/>
      </w:tabs>
      <w:bidi w:val="0"/>
      <w:spacing w:before="360" w:line="240" w:lineRule="auto"/>
      <w:ind w:left="794" w:hanging="794"/>
      <w:jc w:val="left"/>
    </w:pPr>
    <w:rPr>
      <w:rFonts w:ascii="Times New Roman" w:eastAsia="Times New Roman" w:hAnsi="CG Times" w:cs="Simplified Arabic" w:hint="cs"/>
      <w:bCs w:val="0"/>
      <w:sz w:val="28"/>
      <w:szCs w:val="25"/>
      <w:lang w:val="en-US" w:eastAsia="zh-CN" w:bidi="ar-SA"/>
    </w:rPr>
  </w:style>
  <w:style w:type="paragraph" w:customStyle="1" w:styleId="Heading2pv">
    <w:name w:val="Heading 2pv"/>
    <w:basedOn w:val="Heading1pv"/>
    <w:next w:val="Normalpv"/>
    <w:rsid w:val="0077208A"/>
    <w:pPr>
      <w:spacing w:before="320"/>
      <w:outlineLvl w:val="1"/>
    </w:pPr>
    <w:rPr>
      <w:sz w:val="24"/>
    </w:rPr>
  </w:style>
  <w:style w:type="paragraph" w:customStyle="1" w:styleId="Heading3pv">
    <w:name w:val="Heading 3pv"/>
    <w:basedOn w:val="Heading1pv"/>
    <w:next w:val="Normalpv"/>
    <w:rsid w:val="0077208A"/>
    <w:pPr>
      <w:spacing w:before="200"/>
      <w:outlineLvl w:val="2"/>
    </w:pPr>
    <w:rPr>
      <w:sz w:val="24"/>
    </w:rPr>
  </w:style>
  <w:style w:type="paragraph" w:customStyle="1" w:styleId="SpecialFooter">
    <w:name w:val="Special Footer"/>
    <w:basedOn w:val="Footer"/>
    <w:rsid w:val="0077208A"/>
    <w:pPr>
      <w:tabs>
        <w:tab w:val="clear" w:pos="4680"/>
        <w:tab w:val="clear" w:pos="9360"/>
        <w:tab w:val="left" w:pos="567"/>
        <w:tab w:val="left" w:pos="851"/>
        <w:tab w:val="left" w:pos="1134"/>
        <w:tab w:val="left" w:pos="1701"/>
        <w:tab w:val="left" w:pos="2268"/>
        <w:tab w:val="left" w:pos="2835"/>
        <w:tab w:val="left" w:pos="5954"/>
        <w:tab w:val="right" w:pos="9639"/>
      </w:tabs>
      <w:bidi w:val="0"/>
    </w:pPr>
    <w:rPr>
      <w:rFonts w:ascii="Times New Roman" w:eastAsia="Times New Roman" w:hAnsi="Times New Roman" w:cs="Simplified Arabic" w:hint="cs"/>
      <w:sz w:val="16"/>
      <w:szCs w:val="30"/>
      <w:lang w:val="en-US" w:eastAsia="zh-CN" w:bidi="ar-SA"/>
    </w:rPr>
  </w:style>
  <w:style w:type="paragraph" w:customStyle="1" w:styleId="StyleCommitteeAfter0ptLinespacingsingle">
    <w:name w:val="Style Committee + After:  0 pt Line spacing:  single"/>
    <w:basedOn w:val="Committee"/>
    <w:rsid w:val="0077208A"/>
    <w:pPr>
      <w:framePr w:wrap="around" w:hAnchor="text"/>
      <w:tabs>
        <w:tab w:val="left" w:pos="851"/>
      </w:tabs>
      <w:bidi w:val="0"/>
      <w:spacing w:before="0" w:after="0" w:line="240" w:lineRule="auto"/>
    </w:pPr>
    <w:rPr>
      <w:rFonts w:asciiTheme="minorHAnsi" w:eastAsia="Times New Roman" w:hAnsiTheme="minorHAnsi" w:cs="Times New Roman" w:hint="cs"/>
      <w:sz w:val="24"/>
      <w:szCs w:val="20"/>
      <w:lang w:eastAsia="zh-CN" w:bidi="ar-SA"/>
    </w:rPr>
  </w:style>
  <w:style w:type="character" w:styleId="UnresolvedMention">
    <w:name w:val="Unresolved Mention"/>
    <w:basedOn w:val="DefaultParagraphFont"/>
    <w:uiPriority w:val="99"/>
    <w:semiHidden/>
    <w:unhideWhenUsed/>
    <w:rsid w:val="0077208A"/>
    <w:rPr>
      <w:color w:val="605E5C"/>
      <w:shd w:val="clear" w:color="auto" w:fill="E1DFDD"/>
    </w:rPr>
  </w:style>
  <w:style w:type="character" w:styleId="PlaceholderText">
    <w:name w:val="Placeholder Text"/>
    <w:basedOn w:val="DefaultParagraphFont"/>
    <w:uiPriority w:val="99"/>
    <w:semiHidden/>
    <w:rsid w:val="0077208A"/>
    <w:rPr>
      <w:color w:val="666666"/>
    </w:rPr>
  </w:style>
  <w:style w:type="paragraph" w:styleId="Index7">
    <w:name w:val="index 7"/>
    <w:basedOn w:val="Normal"/>
    <w:next w:val="Normal"/>
    <w:rsid w:val="0077208A"/>
    <w:pPr>
      <w:tabs>
        <w:tab w:val="clear" w:pos="567"/>
        <w:tab w:val="left" w:pos="851"/>
      </w:tabs>
      <w:bidi w:val="0"/>
      <w:spacing w:line="240" w:lineRule="auto"/>
      <w:ind w:left="1698"/>
      <w:jc w:val="left"/>
    </w:pPr>
    <w:rPr>
      <w:rFonts w:ascii="Times New Roman" w:eastAsia="Times New Roman" w:hAnsi="CG Times" w:cs="Simplified Arabic" w:hint="cs"/>
      <w:sz w:val="24"/>
      <w:szCs w:val="30"/>
      <w:lang w:val="en-US" w:eastAsia="zh-CN" w:bidi="ar-SA"/>
    </w:rPr>
  </w:style>
  <w:style w:type="paragraph" w:styleId="Index6">
    <w:name w:val="index 6"/>
    <w:basedOn w:val="Normal"/>
    <w:next w:val="Normal"/>
    <w:rsid w:val="0077208A"/>
    <w:pPr>
      <w:tabs>
        <w:tab w:val="clear" w:pos="567"/>
        <w:tab w:val="left" w:pos="851"/>
      </w:tabs>
      <w:bidi w:val="0"/>
      <w:spacing w:line="240" w:lineRule="auto"/>
      <w:ind w:left="1415"/>
      <w:jc w:val="left"/>
    </w:pPr>
    <w:rPr>
      <w:rFonts w:ascii="Times New Roman" w:eastAsia="Times New Roman" w:hAnsi="CG Times" w:cs="Simplified Arabic" w:hint="cs"/>
      <w:sz w:val="24"/>
      <w:szCs w:val="30"/>
      <w:lang w:val="en-US" w:eastAsia="zh-CN" w:bidi="ar-SA"/>
    </w:rPr>
  </w:style>
  <w:style w:type="paragraph" w:styleId="Index5">
    <w:name w:val="index 5"/>
    <w:basedOn w:val="Normal"/>
    <w:next w:val="Normal"/>
    <w:rsid w:val="0077208A"/>
    <w:pPr>
      <w:tabs>
        <w:tab w:val="clear" w:pos="567"/>
        <w:tab w:val="left" w:pos="851"/>
      </w:tabs>
      <w:bidi w:val="0"/>
      <w:spacing w:line="240" w:lineRule="auto"/>
      <w:ind w:left="1132"/>
      <w:jc w:val="left"/>
    </w:pPr>
    <w:rPr>
      <w:rFonts w:ascii="Times New Roman" w:eastAsia="Times New Roman" w:hAnsi="CG Times" w:cs="Simplified Arabic" w:hint="cs"/>
      <w:sz w:val="24"/>
      <w:szCs w:val="30"/>
      <w:lang w:val="en-US" w:eastAsia="zh-CN" w:bidi="ar-SA"/>
    </w:rPr>
  </w:style>
  <w:style w:type="paragraph" w:styleId="Index4">
    <w:name w:val="index 4"/>
    <w:basedOn w:val="Normal"/>
    <w:next w:val="Normal"/>
    <w:rsid w:val="0077208A"/>
    <w:pPr>
      <w:tabs>
        <w:tab w:val="clear" w:pos="567"/>
        <w:tab w:val="left" w:pos="851"/>
      </w:tabs>
      <w:bidi w:val="0"/>
      <w:spacing w:line="240" w:lineRule="auto"/>
      <w:ind w:left="849"/>
      <w:jc w:val="left"/>
    </w:pPr>
    <w:rPr>
      <w:rFonts w:ascii="Times New Roman" w:eastAsia="Times New Roman" w:hAnsi="CG Times" w:cs="Simplified Arabic" w:hint="cs"/>
      <w:sz w:val="24"/>
      <w:szCs w:val="30"/>
      <w:lang w:val="en-US" w:eastAsia="zh-CN" w:bidi="ar-SA"/>
    </w:rPr>
  </w:style>
  <w:style w:type="paragraph" w:styleId="Index3">
    <w:name w:val="index 3"/>
    <w:basedOn w:val="Normal"/>
    <w:next w:val="Normal"/>
    <w:rsid w:val="0077208A"/>
    <w:pPr>
      <w:tabs>
        <w:tab w:val="clear" w:pos="567"/>
        <w:tab w:val="left" w:pos="851"/>
      </w:tabs>
      <w:bidi w:val="0"/>
      <w:spacing w:line="240" w:lineRule="auto"/>
      <w:ind w:left="566"/>
      <w:jc w:val="left"/>
    </w:pPr>
    <w:rPr>
      <w:rFonts w:ascii="Times New Roman" w:eastAsia="Times New Roman" w:hAnsi="CG Times" w:cs="Simplified Arabic" w:hint="cs"/>
      <w:sz w:val="24"/>
      <w:szCs w:val="30"/>
      <w:lang w:val="en-US" w:eastAsia="zh-CN" w:bidi="ar-SA"/>
    </w:rPr>
  </w:style>
  <w:style w:type="paragraph" w:styleId="Index2">
    <w:name w:val="index 2"/>
    <w:basedOn w:val="Normal"/>
    <w:next w:val="Normal"/>
    <w:rsid w:val="0077208A"/>
    <w:pPr>
      <w:tabs>
        <w:tab w:val="clear" w:pos="567"/>
        <w:tab w:val="left" w:pos="851"/>
      </w:tabs>
      <w:bidi w:val="0"/>
      <w:spacing w:line="240" w:lineRule="auto"/>
      <w:ind w:left="283"/>
      <w:jc w:val="left"/>
    </w:pPr>
    <w:rPr>
      <w:rFonts w:ascii="Times New Roman" w:eastAsia="Times New Roman" w:hAnsi="CG Times" w:cs="Simplified Arabic" w:hint="cs"/>
      <w:sz w:val="24"/>
      <w:szCs w:val="30"/>
      <w:lang w:val="en-US" w:eastAsia="zh-CN" w:bidi="ar-SA"/>
    </w:rPr>
  </w:style>
  <w:style w:type="paragraph" w:styleId="Index1">
    <w:name w:val="index 1"/>
    <w:basedOn w:val="Normal"/>
    <w:next w:val="Normal"/>
    <w:rsid w:val="0077208A"/>
    <w:pPr>
      <w:tabs>
        <w:tab w:val="clear" w:pos="567"/>
        <w:tab w:val="left" w:pos="851"/>
      </w:tabs>
      <w:bidi w:val="0"/>
      <w:spacing w:line="240" w:lineRule="auto"/>
      <w:jc w:val="left"/>
    </w:pPr>
    <w:rPr>
      <w:rFonts w:ascii="Times New Roman" w:eastAsia="Times New Roman" w:hAnsi="CG Times" w:cs="Simplified Arabic" w:hint="cs"/>
      <w:sz w:val="24"/>
      <w:szCs w:val="30"/>
      <w:lang w:val="en-US" w:eastAsia="zh-CN" w:bidi="ar-SA"/>
    </w:rPr>
  </w:style>
  <w:style w:type="character" w:styleId="LineNumber">
    <w:name w:val="line number"/>
    <w:basedOn w:val="DefaultParagraphFont"/>
    <w:rsid w:val="0077208A"/>
  </w:style>
  <w:style w:type="paragraph" w:styleId="IndexHeading">
    <w:name w:val="index heading"/>
    <w:basedOn w:val="Normal"/>
    <w:next w:val="Index1"/>
    <w:rsid w:val="0077208A"/>
    <w:pPr>
      <w:tabs>
        <w:tab w:val="clear" w:pos="567"/>
        <w:tab w:val="left" w:pos="851"/>
      </w:tabs>
      <w:bidi w:val="0"/>
      <w:spacing w:line="240" w:lineRule="auto"/>
      <w:jc w:val="left"/>
    </w:pPr>
    <w:rPr>
      <w:rFonts w:ascii="Times New Roman" w:eastAsia="Times New Roman" w:hAnsi="CG Times" w:cs="Simplified Arabic" w:hint="cs"/>
      <w:sz w:val="24"/>
      <w:szCs w:val="30"/>
      <w:lang w:val="en-US" w:eastAsia="zh-CN" w:bidi="ar-SA"/>
    </w:rPr>
  </w:style>
  <w:style w:type="paragraph" w:styleId="List">
    <w:name w:val="List"/>
    <w:basedOn w:val="Normal"/>
    <w:rsid w:val="0077208A"/>
    <w:pPr>
      <w:tabs>
        <w:tab w:val="clear" w:pos="567"/>
        <w:tab w:val="left" w:pos="851"/>
        <w:tab w:val="left" w:pos="2127"/>
      </w:tabs>
      <w:bidi w:val="0"/>
      <w:spacing w:line="240" w:lineRule="auto"/>
      <w:ind w:left="2127" w:hanging="2127"/>
      <w:jc w:val="left"/>
    </w:pPr>
    <w:rPr>
      <w:rFonts w:ascii="Times New Roman" w:eastAsia="Times New Roman" w:hAnsi="CG Times" w:cs="Simplified Arabic" w:hint="cs"/>
      <w:sz w:val="24"/>
      <w:szCs w:val="30"/>
      <w:lang w:val="en-US" w:eastAsia="zh-CN" w:bidi="ar-SA"/>
    </w:rPr>
  </w:style>
  <w:style w:type="paragraph" w:styleId="TOC9">
    <w:name w:val="toc 9"/>
    <w:basedOn w:val="TOC4"/>
    <w:rsid w:val="0077208A"/>
    <w:pPr>
      <w:tabs>
        <w:tab w:val="left" w:pos="851"/>
      </w:tabs>
      <w:bidi w:val="0"/>
      <w:spacing w:before="120" w:line="240" w:lineRule="auto"/>
      <w:jc w:val="left"/>
    </w:pPr>
    <w:rPr>
      <w:rFonts w:ascii="Times New Roman" w:eastAsia="Times New Roman" w:hAnsi="CG Times" w:cs="Simplified Arabic" w:hint="cs"/>
      <w:sz w:val="24"/>
      <w:szCs w:val="30"/>
      <w:lang w:val="en-US" w:eastAsia="zh-CN" w:bidi="ar-SA"/>
    </w:rPr>
  </w:style>
  <w:style w:type="character" w:customStyle="1" w:styleId="ListParagraphChar">
    <w:name w:val="List Paragraph Char"/>
    <w:link w:val="ListParagraph"/>
    <w:uiPriority w:val="34"/>
    <w:locked/>
    <w:rsid w:val="0077208A"/>
    <w:rPr>
      <w:rFonts w:ascii="Dubai" w:hAnsi="Dubai" w:cs="Dubai"/>
      <w:sz w:val="22"/>
      <w:szCs w:val="22"/>
      <w:lang w:val="en-GB" w:eastAsia="en-US" w:bidi="ar-EG"/>
    </w:rPr>
  </w:style>
  <w:style w:type="character" w:styleId="CommentReference">
    <w:name w:val="annotation reference"/>
    <w:basedOn w:val="DefaultParagraphFont"/>
    <w:semiHidden/>
    <w:unhideWhenUsed/>
    <w:rsid w:val="0077208A"/>
    <w:rPr>
      <w:sz w:val="16"/>
      <w:szCs w:val="16"/>
    </w:rPr>
  </w:style>
  <w:style w:type="paragraph" w:styleId="CommentText">
    <w:name w:val="annotation text"/>
    <w:basedOn w:val="Normal"/>
    <w:link w:val="CommentTextChar"/>
    <w:unhideWhenUsed/>
    <w:rsid w:val="0077208A"/>
    <w:pPr>
      <w:tabs>
        <w:tab w:val="clear" w:pos="567"/>
        <w:tab w:val="left" w:pos="851"/>
      </w:tabs>
      <w:bidi w:val="0"/>
      <w:spacing w:line="240" w:lineRule="auto"/>
      <w:jc w:val="left"/>
    </w:pPr>
    <w:rPr>
      <w:rFonts w:ascii="Times New Roman" w:eastAsia="Times New Roman" w:hAnsi="CG Times" w:cs="Simplified Arabic" w:hint="cs"/>
      <w:sz w:val="20"/>
      <w:szCs w:val="30"/>
      <w:lang w:val="en-US" w:eastAsia="zh-CN" w:bidi="ar-SA"/>
    </w:rPr>
  </w:style>
  <w:style w:type="character" w:customStyle="1" w:styleId="CommentTextChar">
    <w:name w:val="Comment Text Char"/>
    <w:basedOn w:val="DefaultParagraphFont"/>
    <w:link w:val="CommentText"/>
    <w:rsid w:val="0077208A"/>
    <w:rPr>
      <w:rFonts w:ascii="Times New Roman" w:eastAsia="Times New Roman" w:cs="Simplified Arabic"/>
      <w:szCs w:val="30"/>
    </w:rPr>
  </w:style>
  <w:style w:type="paragraph" w:styleId="CommentSubject">
    <w:name w:val="annotation subject"/>
    <w:basedOn w:val="CommentText"/>
    <w:next w:val="CommentText"/>
    <w:link w:val="CommentSubjectChar"/>
    <w:semiHidden/>
    <w:unhideWhenUsed/>
    <w:rsid w:val="0077208A"/>
    <w:rPr>
      <w:b/>
      <w:bCs/>
    </w:rPr>
  </w:style>
  <w:style w:type="character" w:customStyle="1" w:styleId="CommentSubjectChar">
    <w:name w:val="Comment Subject Char"/>
    <w:basedOn w:val="CommentTextChar"/>
    <w:link w:val="CommentSubject"/>
    <w:semiHidden/>
    <w:rsid w:val="0077208A"/>
    <w:rPr>
      <w:rFonts w:ascii="Times New Roman" w:eastAsia="Times New Roman" w:cs="Simplified Arabic"/>
      <w:b/>
      <w:bCs/>
      <w:szCs w:val="30"/>
    </w:rPr>
  </w:style>
  <w:style w:type="paragraph" w:styleId="Revision">
    <w:name w:val="Revision"/>
    <w:hidden/>
    <w:uiPriority w:val="99"/>
    <w:semiHidden/>
    <w:rsid w:val="0077208A"/>
    <w:rPr>
      <w:rFonts w:ascii="Calibri" w:eastAsia="Times New Roman"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190888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WTPF26.dotx</Template>
  <TotalTime>1</TotalTime>
  <Pages>4</Pages>
  <Words>1402</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9376</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4 - Space connectivity</dc:title>
  <dc:subject>World telecommunication/information and communication technology policy forum</dc:subject>
  <cp:keywords>WTPF, WTPF-26</cp:keywords>
  <dc:description/>
  <dcterms:created xsi:type="dcterms:W3CDTF">2026-08-20T14:00:00Z</dcterms:created>
  <dcterms:modified xsi:type="dcterms:W3CDTF">2026-08-20T14:00:00Z</dcterms:modified>
  <cp:category>Conference document</cp:category>
</cp:coreProperties>
</file>