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6946"/>
        <w:gridCol w:w="3085"/>
      </w:tblGrid>
      <w:tr w:rsidR="00BF32F2" w:rsidRPr="006B5C62" w14:paraId="7E62CD10" w14:textId="77777777" w:rsidTr="00DB336C">
        <w:trPr>
          <w:cantSplit/>
          <w:trHeight w:hRule="exact" w:val="1418"/>
          <w:jc w:val="center"/>
        </w:trPr>
        <w:tc>
          <w:tcPr>
            <w:tcW w:w="10031" w:type="dxa"/>
            <w:gridSpan w:val="2"/>
            <w:tcMar>
              <w:left w:w="0" w:type="dxa"/>
              <w:right w:w="0" w:type="dxa"/>
            </w:tcMar>
            <w:vAlign w:val="center"/>
          </w:tcPr>
          <w:p w14:paraId="22DFCA5B" w14:textId="77777777" w:rsidR="00BF32F2" w:rsidRPr="006B5C62" w:rsidRDefault="00682039" w:rsidP="00BF32F2">
            <w:pPr>
              <w:spacing w:before="0" w:line="240" w:lineRule="atLeast"/>
              <w:rPr>
                <w:rFonts w:cstheme="minorHAnsi"/>
              </w:rPr>
            </w:pPr>
            <w:r>
              <w:rPr>
                <w:rFonts w:cstheme="minorHAnsi"/>
                <w:noProof/>
              </w:rPr>
              <w:drawing>
                <wp:inline distT="0" distB="0" distL="0" distR="0" wp14:anchorId="11AD50E9" wp14:editId="4105B64A">
                  <wp:extent cx="6660000" cy="971793"/>
                  <wp:effectExtent l="0" t="0" r="7620" b="0"/>
                  <wp:docPr id="1394562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562956" name="Picture 1394562956"/>
                          <pic:cNvPicPr/>
                        </pic:nvPicPr>
                        <pic:blipFill>
                          <a:blip r:embed="rId6" cstate="print">
                            <a:extLst>
                              <a:ext uri="{28A0092B-C50C-407E-A947-70E740481C1C}">
                                <a14:useLocalDpi xmlns:a14="http://schemas.microsoft.com/office/drawing/2010/main" val="0"/>
                              </a:ext>
                            </a:extLst>
                          </a:blip>
                          <a:stretch>
                            <a:fillRect/>
                          </a:stretch>
                        </pic:blipFill>
                        <pic:spPr>
                          <a:xfrm>
                            <a:off x="0" y="0"/>
                            <a:ext cx="6660000" cy="971793"/>
                          </a:xfrm>
                          <a:prstGeom prst="rect">
                            <a:avLst/>
                          </a:prstGeom>
                        </pic:spPr>
                      </pic:pic>
                    </a:graphicData>
                  </a:graphic>
                </wp:inline>
              </w:drawing>
            </w:r>
          </w:p>
        </w:tc>
      </w:tr>
      <w:tr w:rsidR="00277985" w:rsidRPr="006B5C62" w14:paraId="5628EB7B" w14:textId="77777777" w:rsidTr="005A329F">
        <w:trPr>
          <w:cantSplit/>
          <w:trHeight w:val="283"/>
          <w:jc w:val="center"/>
        </w:trPr>
        <w:tc>
          <w:tcPr>
            <w:tcW w:w="10031" w:type="dxa"/>
            <w:gridSpan w:val="2"/>
            <w:tcBorders>
              <w:bottom w:val="single" w:sz="12" w:space="0" w:color="71716F"/>
            </w:tcBorders>
          </w:tcPr>
          <w:p w14:paraId="2F61CE02" w14:textId="77777777" w:rsidR="00277985" w:rsidRPr="006B5C62" w:rsidRDefault="00277985" w:rsidP="00BF32F2">
            <w:pPr>
              <w:spacing w:before="0" w:line="240" w:lineRule="atLeast"/>
              <w:rPr>
                <w:rFonts w:cstheme="minorHAnsi"/>
                <w:b/>
                <w:smallCaps/>
                <w:szCs w:val="24"/>
              </w:rPr>
            </w:pPr>
            <w:bookmarkStart w:id="0" w:name="dhead"/>
          </w:p>
        </w:tc>
      </w:tr>
      <w:tr w:rsidR="00255FA1" w:rsidRPr="006B5C62" w14:paraId="11D70448" w14:textId="77777777" w:rsidTr="00DB336C">
        <w:trPr>
          <w:cantSplit/>
          <w:trHeight w:val="255"/>
          <w:jc w:val="center"/>
        </w:trPr>
        <w:tc>
          <w:tcPr>
            <w:tcW w:w="6946" w:type="dxa"/>
            <w:tcBorders>
              <w:top w:val="single" w:sz="12" w:space="0" w:color="71716F"/>
            </w:tcBorders>
          </w:tcPr>
          <w:p w14:paraId="7ADEB5D5" w14:textId="77777777" w:rsidR="00255FA1" w:rsidRPr="006B5C62" w:rsidRDefault="00255FA1" w:rsidP="00BF32F2">
            <w:pPr>
              <w:spacing w:before="0"/>
              <w:ind w:firstLine="720"/>
              <w:rPr>
                <w:rFonts w:cstheme="minorHAnsi"/>
                <w:b/>
                <w:smallCaps/>
                <w:szCs w:val="24"/>
              </w:rPr>
            </w:pPr>
          </w:p>
        </w:tc>
        <w:tc>
          <w:tcPr>
            <w:tcW w:w="3085" w:type="dxa"/>
            <w:tcBorders>
              <w:top w:val="single" w:sz="12" w:space="0" w:color="71716F"/>
            </w:tcBorders>
          </w:tcPr>
          <w:p w14:paraId="4CF298A6" w14:textId="77777777" w:rsidR="00255FA1" w:rsidRPr="006B5C62" w:rsidRDefault="00255FA1" w:rsidP="00BF32F2">
            <w:pPr>
              <w:spacing w:before="0"/>
              <w:rPr>
                <w:rFonts w:cstheme="minorHAnsi"/>
                <w:szCs w:val="24"/>
              </w:rPr>
            </w:pPr>
          </w:p>
        </w:tc>
      </w:tr>
      <w:bookmarkEnd w:id="0"/>
      <w:tr w:rsidR="00075113" w:rsidRPr="006B5C62" w14:paraId="0B2FAF66" w14:textId="77777777" w:rsidTr="00DB336C">
        <w:trPr>
          <w:cantSplit/>
          <w:jc w:val="center"/>
        </w:trPr>
        <w:tc>
          <w:tcPr>
            <w:tcW w:w="6946" w:type="dxa"/>
          </w:tcPr>
          <w:p w14:paraId="00CBE7D2" w14:textId="77777777" w:rsidR="00075113" w:rsidRPr="006B5C62" w:rsidRDefault="00075113" w:rsidP="00075113">
            <w:pPr>
              <w:pStyle w:val="Committee"/>
              <w:framePr w:hSpace="0" w:wrap="auto" w:hAnchor="text" w:yAlign="inline"/>
              <w:spacing w:after="0" w:line="240" w:lineRule="auto"/>
              <w:rPr>
                <w:lang w:val="es-ES_tradnl"/>
              </w:rPr>
            </w:pPr>
          </w:p>
        </w:tc>
        <w:tc>
          <w:tcPr>
            <w:tcW w:w="3085" w:type="dxa"/>
          </w:tcPr>
          <w:p w14:paraId="29891677" w14:textId="7D54F005" w:rsidR="00075113" w:rsidRPr="006B5C62" w:rsidRDefault="00075113" w:rsidP="00DB336C">
            <w:pPr>
              <w:spacing w:before="0"/>
              <w:rPr>
                <w:rFonts w:cstheme="minorHAnsi"/>
                <w:szCs w:val="24"/>
              </w:rPr>
            </w:pPr>
          </w:p>
        </w:tc>
      </w:tr>
      <w:tr w:rsidR="00075113" w:rsidRPr="006B5C62" w14:paraId="509DE16B" w14:textId="77777777" w:rsidTr="00DB336C">
        <w:trPr>
          <w:cantSplit/>
          <w:jc w:val="center"/>
        </w:trPr>
        <w:tc>
          <w:tcPr>
            <w:tcW w:w="6946" w:type="dxa"/>
          </w:tcPr>
          <w:p w14:paraId="3F6884B4" w14:textId="77777777" w:rsidR="00075113" w:rsidRPr="006B5C62" w:rsidRDefault="00075113" w:rsidP="00075113">
            <w:pPr>
              <w:spacing w:before="0"/>
              <w:rPr>
                <w:rFonts w:cstheme="minorHAnsi"/>
                <w:b/>
                <w:szCs w:val="24"/>
              </w:rPr>
            </w:pPr>
          </w:p>
        </w:tc>
        <w:tc>
          <w:tcPr>
            <w:tcW w:w="3085" w:type="dxa"/>
          </w:tcPr>
          <w:p w14:paraId="27B7C8C4" w14:textId="661605E8" w:rsidR="00075113" w:rsidRPr="006B5C62" w:rsidRDefault="00531F67" w:rsidP="00075113">
            <w:pPr>
              <w:spacing w:before="0"/>
              <w:rPr>
                <w:rFonts w:cstheme="minorHAnsi"/>
                <w:b/>
                <w:szCs w:val="24"/>
              </w:rPr>
            </w:pPr>
            <w:r>
              <w:rPr>
                <w:b/>
                <w:lang w:val="es-ES"/>
              </w:rPr>
              <w:t>29 de abril de 2026</w:t>
            </w:r>
          </w:p>
        </w:tc>
      </w:tr>
      <w:tr w:rsidR="00075113" w:rsidRPr="006B5C62" w14:paraId="51A1C9D4" w14:textId="77777777" w:rsidTr="00DB336C">
        <w:trPr>
          <w:cantSplit/>
          <w:jc w:val="center"/>
        </w:trPr>
        <w:tc>
          <w:tcPr>
            <w:tcW w:w="6946" w:type="dxa"/>
          </w:tcPr>
          <w:p w14:paraId="53DD9405" w14:textId="77777777" w:rsidR="00075113" w:rsidRPr="006B5C62" w:rsidRDefault="00075113" w:rsidP="00075113">
            <w:pPr>
              <w:spacing w:before="0"/>
              <w:rPr>
                <w:rFonts w:cstheme="minorHAnsi"/>
                <w:b/>
                <w:smallCaps/>
                <w:szCs w:val="24"/>
              </w:rPr>
            </w:pPr>
          </w:p>
        </w:tc>
        <w:tc>
          <w:tcPr>
            <w:tcW w:w="3085" w:type="dxa"/>
          </w:tcPr>
          <w:p w14:paraId="76846EF6" w14:textId="77777777" w:rsidR="00075113" w:rsidRPr="006B5C62" w:rsidRDefault="00075113" w:rsidP="00075113">
            <w:pPr>
              <w:spacing w:before="0"/>
              <w:rPr>
                <w:rFonts w:cstheme="minorHAnsi"/>
                <w:b/>
                <w:szCs w:val="24"/>
              </w:rPr>
            </w:pPr>
            <w:r w:rsidRPr="006B5C62">
              <w:rPr>
                <w:rFonts w:cstheme="minorHAnsi"/>
                <w:b/>
                <w:szCs w:val="24"/>
              </w:rPr>
              <w:t>Original: inglés</w:t>
            </w:r>
          </w:p>
        </w:tc>
      </w:tr>
      <w:tr w:rsidR="00075113" w:rsidRPr="006B5C62" w14:paraId="1B458E98" w14:textId="77777777" w:rsidTr="005A329F">
        <w:trPr>
          <w:cantSplit/>
          <w:jc w:val="center"/>
        </w:trPr>
        <w:tc>
          <w:tcPr>
            <w:tcW w:w="10031" w:type="dxa"/>
            <w:gridSpan w:val="2"/>
          </w:tcPr>
          <w:p w14:paraId="46C8AA99" w14:textId="77777777" w:rsidR="00075113" w:rsidRPr="006B5C62" w:rsidRDefault="00075113" w:rsidP="00075113">
            <w:pPr>
              <w:spacing w:before="0" w:line="240" w:lineRule="atLeast"/>
              <w:rPr>
                <w:rFonts w:cstheme="minorHAnsi"/>
                <w:b/>
                <w:szCs w:val="24"/>
              </w:rPr>
            </w:pPr>
          </w:p>
        </w:tc>
      </w:tr>
    </w:tbl>
    <w:p w14:paraId="1BF6B43B" w14:textId="3D0061E1" w:rsidR="00DD1ECB" w:rsidRPr="0052117D" w:rsidRDefault="00E1315C" w:rsidP="00DD1ECB">
      <w:pPr>
        <w:pStyle w:val="OpNo"/>
        <w:rPr>
          <w:lang w:val="es-ES_tradnl"/>
        </w:rPr>
      </w:pPr>
      <w:r w:rsidRPr="0052117D">
        <w:rPr>
          <w:caps w:val="0"/>
          <w:lang w:val="es-ES_tradnl"/>
        </w:rPr>
        <w:t>PROYECTO DE OPINIÓN 3</w:t>
      </w:r>
    </w:p>
    <w:p w14:paraId="626CF98C" w14:textId="77777777" w:rsidR="00DD1ECB" w:rsidRPr="0052117D" w:rsidRDefault="00DD1ECB" w:rsidP="00DD1ECB">
      <w:pPr>
        <w:pStyle w:val="Optitle0"/>
        <w:rPr>
          <w:lang w:val="es-ES_tradnl"/>
        </w:rPr>
      </w:pPr>
      <w:r w:rsidRPr="0052117D">
        <w:rPr>
          <w:lang w:val="es-ES_tradnl"/>
        </w:rPr>
        <w:t>La resiliencia de las telecomunicaciones/TIC</w:t>
      </w:r>
    </w:p>
    <w:p w14:paraId="09AE5FF5" w14:textId="77777777" w:rsidR="00DD1ECB" w:rsidRPr="0052117D" w:rsidRDefault="00DD1ECB" w:rsidP="00DD1ECB">
      <w:pPr>
        <w:pStyle w:val="Normalaftertitle"/>
        <w:jc w:val="both"/>
        <w:rPr>
          <w:rFonts w:asciiTheme="minorHAnsi" w:hAnsiTheme="minorHAnsi" w:cstheme="minorHAnsi"/>
          <w:szCs w:val="24"/>
        </w:rPr>
      </w:pPr>
      <w:r w:rsidRPr="0052117D">
        <w:rPr>
          <w:rFonts w:asciiTheme="minorHAnsi" w:eastAsia="SimSun" w:hAnsiTheme="minorHAnsi" w:cstheme="minorHAnsi"/>
          <w:szCs w:val="24"/>
        </w:rPr>
        <w:t>El séptimo Foro Mundial de Política de Telecomunicaciones/TIC (Nassau, 2026),</w:t>
      </w:r>
    </w:p>
    <w:p w14:paraId="01A3E34B" w14:textId="77777777" w:rsidR="00DD1ECB" w:rsidRPr="0052117D" w:rsidRDefault="00DD1ECB" w:rsidP="00DD1ECB">
      <w:pPr>
        <w:pStyle w:val="Call"/>
        <w:jc w:val="both"/>
        <w:rPr>
          <w:rFonts w:asciiTheme="minorHAnsi" w:hAnsiTheme="minorHAnsi" w:cstheme="minorHAnsi"/>
          <w:i w:val="0"/>
          <w:iCs/>
          <w:szCs w:val="24"/>
        </w:rPr>
      </w:pPr>
      <w:r w:rsidRPr="0052117D">
        <w:rPr>
          <w:rFonts w:asciiTheme="minorHAnsi" w:eastAsia="SimSun" w:hAnsiTheme="minorHAnsi" w:cstheme="minorHAnsi"/>
          <w:szCs w:val="24"/>
        </w:rPr>
        <w:t>recordando</w:t>
      </w:r>
    </w:p>
    <w:p w14:paraId="07536AF3" w14:textId="5D7A9044" w:rsidR="00DD1ECB" w:rsidRPr="0052117D" w:rsidRDefault="00DD1ECB" w:rsidP="00E1315C">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a)</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la Resolución 79/1 de la Asamblea General de las Naciones Unidas (AGNU), sobre </w:t>
      </w:r>
      <w:r w:rsidR="00E40418">
        <w:rPr>
          <w:rFonts w:asciiTheme="minorHAnsi" w:eastAsiaTheme="minorEastAsia" w:hAnsiTheme="minorHAnsi" w:cstheme="minorHAnsi"/>
          <w:noProof/>
          <w:szCs w:val="24"/>
          <w:lang w:eastAsia="zh-CN"/>
        </w:rPr>
        <w:t>el</w:t>
      </w:r>
      <w:r w:rsidRPr="0052117D">
        <w:rPr>
          <w:rFonts w:asciiTheme="minorHAnsi" w:eastAsiaTheme="minorEastAsia" w:hAnsiTheme="minorHAnsi" w:cstheme="minorHAnsi"/>
          <w:noProof/>
          <w:szCs w:val="24"/>
          <w:lang w:eastAsia="zh-CN"/>
        </w:rPr>
        <w:t xml:space="preserve"> Pacto para el Futuro;</w:t>
      </w:r>
    </w:p>
    <w:p w14:paraId="263A9052" w14:textId="3002F29C" w:rsidR="00DD1ECB" w:rsidRPr="0052117D" w:rsidRDefault="00DD1ECB" w:rsidP="00E1315C">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b)</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la Resolución 70/1 de la AGNU, </w:t>
      </w:r>
      <w:r w:rsidRPr="0052117D">
        <w:rPr>
          <w:rFonts w:asciiTheme="minorHAnsi" w:eastAsiaTheme="minorEastAsia" w:hAnsiTheme="minorHAnsi" w:cstheme="minorHAnsi"/>
          <w:i/>
          <w:noProof/>
          <w:szCs w:val="24"/>
          <w:lang w:eastAsia="zh-CN"/>
        </w:rPr>
        <w:t>Transformar nuestro mundo: la Agenda 2030 para el Desarrollo Sostenible</w:t>
      </w:r>
      <w:r w:rsidRPr="0052117D">
        <w:rPr>
          <w:rFonts w:asciiTheme="minorHAnsi" w:eastAsiaTheme="minorEastAsia" w:hAnsiTheme="minorHAnsi" w:cstheme="minorHAnsi"/>
          <w:noProof/>
          <w:szCs w:val="24"/>
          <w:lang w:eastAsia="zh-CN"/>
        </w:rPr>
        <w:t>, en particular los Objetivos de Desarrollo Sostenible 12 (</w:t>
      </w:r>
      <w:r w:rsidR="00F87ABE">
        <w:rPr>
          <w:rFonts w:asciiTheme="minorHAnsi" w:eastAsiaTheme="minorEastAsia" w:hAnsiTheme="minorHAnsi" w:cstheme="minorHAnsi"/>
          <w:noProof/>
          <w:szCs w:val="24"/>
          <w:lang w:eastAsia="zh-CN"/>
        </w:rPr>
        <w:t>garantizar modalidades de consumo y producción sostenibles</w:t>
      </w:r>
      <w:r w:rsidRPr="0052117D">
        <w:rPr>
          <w:rFonts w:asciiTheme="minorHAnsi" w:eastAsiaTheme="minorEastAsia" w:hAnsiTheme="minorHAnsi" w:cstheme="minorHAnsi"/>
          <w:noProof/>
          <w:szCs w:val="24"/>
          <w:lang w:eastAsia="zh-CN"/>
        </w:rPr>
        <w:t>) y 13 (</w:t>
      </w:r>
      <w:r w:rsidR="0013316A">
        <w:rPr>
          <w:rFonts w:asciiTheme="minorHAnsi" w:eastAsiaTheme="minorEastAsia" w:hAnsiTheme="minorHAnsi" w:cstheme="minorHAnsi"/>
          <w:noProof/>
          <w:szCs w:val="24"/>
          <w:lang w:eastAsia="zh-CN"/>
        </w:rPr>
        <w:t>adoptar medidas urgentes para combatir el cambio climático y sus efectos</w:t>
      </w:r>
      <w:r w:rsidRPr="0052117D">
        <w:rPr>
          <w:rFonts w:asciiTheme="minorHAnsi" w:eastAsiaTheme="minorEastAsia" w:hAnsiTheme="minorHAnsi" w:cstheme="minorHAnsi"/>
          <w:noProof/>
          <w:szCs w:val="24"/>
          <w:lang w:eastAsia="zh-CN"/>
        </w:rPr>
        <w:t>);</w:t>
      </w:r>
    </w:p>
    <w:p w14:paraId="2FBF66EE" w14:textId="7C220C4E" w:rsidR="00DD1ECB" w:rsidRPr="0052117D" w:rsidRDefault="00DD1ECB" w:rsidP="00E1315C">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c)</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80/173 de la AGNU, sobre el documento final de la reunión de alto nivel sobre el examen general de la aplicación de los resultados de la Cumbre Mundial sobre la Sociedad de la Información (CMSI+20);</w:t>
      </w:r>
    </w:p>
    <w:p w14:paraId="5CDC7F14" w14:textId="77777777" w:rsidR="00DD1ECB" w:rsidRPr="0052117D" w:rsidRDefault="00DD1ECB" w:rsidP="00E1315C">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d)</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130 (Rev. Bucarest, 2022) de la Conferencia de Plenipotenciarios, sobre el fortalecimiento del papel de la UIT en la creación de confianza y seguridad en la utilización de las tecnologías de la información y la comunicación (TIC);</w:t>
      </w:r>
    </w:p>
    <w:p w14:paraId="120416D2" w14:textId="413F1109" w:rsidR="00DD1ECB" w:rsidRPr="0052117D" w:rsidRDefault="00DD1ECB" w:rsidP="00E1315C">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e)</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 xml:space="preserve">la Resolución 136 (Rev. Bucarest, 2022) de la </w:t>
      </w:r>
      <w:r w:rsidR="0013316A">
        <w:rPr>
          <w:rFonts w:asciiTheme="minorHAnsi" w:eastAsiaTheme="minorEastAsia" w:hAnsiTheme="minorHAnsi" w:cstheme="minorHAnsi"/>
          <w:noProof/>
          <w:szCs w:val="24"/>
          <w:lang w:eastAsia="zh-CN"/>
        </w:rPr>
        <w:t>Conferencia de Plenipotenciarios</w:t>
      </w:r>
      <w:r w:rsidRPr="0052117D">
        <w:rPr>
          <w:rFonts w:asciiTheme="minorHAnsi" w:eastAsiaTheme="minorEastAsia" w:hAnsiTheme="minorHAnsi" w:cstheme="minorHAnsi"/>
          <w:noProof/>
          <w:szCs w:val="24"/>
          <w:lang w:eastAsia="zh-CN"/>
        </w:rPr>
        <w:t>, sobre la utilización de las telecomunicaciones/TIC para la asistencia humanitaria y en el control y la gestión en situaciones de emergencia y catástrofes, incluidas las situaciones de emergencia sanitaria, la alerta temprana, la prevención, la mitigación y las operaciones de socorro;</w:t>
      </w:r>
    </w:p>
    <w:p w14:paraId="41EC2B57" w14:textId="0210F88A" w:rsidR="00DD1ECB" w:rsidRPr="0052117D" w:rsidRDefault="00DD1ECB" w:rsidP="00E1315C">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f)</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139 (Rev. Bucarest, 2022) de la Conferencia de Plenipotenciarios, sobre la utilización de las telecomunicaciones/</w:t>
      </w:r>
      <w:r w:rsidR="003762D1">
        <w:rPr>
          <w:rFonts w:asciiTheme="minorHAnsi" w:eastAsiaTheme="minorEastAsia" w:hAnsiTheme="minorHAnsi" w:cstheme="minorHAnsi"/>
          <w:noProof/>
          <w:szCs w:val="24"/>
          <w:lang w:eastAsia="zh-CN"/>
        </w:rPr>
        <w:t>TIC</w:t>
      </w:r>
      <w:r w:rsidRPr="0052117D">
        <w:rPr>
          <w:rFonts w:asciiTheme="minorHAnsi" w:eastAsiaTheme="minorEastAsia" w:hAnsiTheme="minorHAnsi" w:cstheme="minorHAnsi"/>
          <w:noProof/>
          <w:szCs w:val="24"/>
          <w:lang w:eastAsia="zh-CN"/>
        </w:rPr>
        <w:t xml:space="preserve"> para reducir la brecha digital y crear una sociedad de la información inclusiva;</w:t>
      </w:r>
    </w:p>
    <w:p w14:paraId="1C477329" w14:textId="77777777" w:rsidR="00DD1ECB" w:rsidRPr="0052117D" w:rsidRDefault="00DD1ECB" w:rsidP="00E1315C">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g)</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182 (Rev. Bucarest, 2022) de la Conferencia de Plenipotenciarios, sobre el papel de las telecomunicaciones/TIC en el cambio climático y la protección del medio ambiente;</w:t>
      </w:r>
    </w:p>
    <w:p w14:paraId="7C19BB77" w14:textId="601B805A" w:rsidR="00DD1ECB" w:rsidRPr="0052117D" w:rsidRDefault="00DD1ECB" w:rsidP="00E1315C">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h)</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200 (Rev. Bucarest, 2022) de la Conferencia de Plenipotenciarios, sobre la Agenda Conectar 2030 de las telecomunicaciones/</w:t>
      </w:r>
      <w:r w:rsidR="003762D1">
        <w:rPr>
          <w:rFonts w:asciiTheme="minorHAnsi" w:eastAsiaTheme="minorEastAsia" w:hAnsiTheme="minorHAnsi" w:cstheme="minorHAnsi"/>
          <w:noProof/>
          <w:szCs w:val="24"/>
          <w:lang w:eastAsia="zh-CN"/>
        </w:rPr>
        <w:t>TIC</w:t>
      </w:r>
      <w:r w:rsidRPr="0052117D">
        <w:rPr>
          <w:rFonts w:asciiTheme="minorHAnsi" w:eastAsiaTheme="minorEastAsia" w:hAnsiTheme="minorHAnsi" w:cstheme="minorHAnsi"/>
          <w:noProof/>
          <w:szCs w:val="24"/>
          <w:lang w:eastAsia="zh-CN"/>
        </w:rPr>
        <w:t xml:space="preserve"> mundiales, incluida la banda ancha, para el desarrollo sostenible;</w:t>
      </w:r>
    </w:p>
    <w:p w14:paraId="0239C0B1" w14:textId="20548586"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lastRenderedPageBreak/>
        <w:t>i)</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11 (Rev. Bakú, 2025) de la Conferencia Mundial de Desarrollo de las Telecomunicaciones (CMDT), sobre los servicios de telecomunicaciones/</w:t>
      </w:r>
      <w:r w:rsidR="003762D1">
        <w:rPr>
          <w:rFonts w:asciiTheme="minorHAnsi" w:eastAsiaTheme="minorEastAsia" w:hAnsiTheme="minorHAnsi" w:cstheme="minorHAnsi"/>
          <w:noProof/>
          <w:szCs w:val="24"/>
          <w:lang w:eastAsia="zh-CN"/>
        </w:rPr>
        <w:t>TIC</w:t>
      </w:r>
      <w:r w:rsidRPr="0052117D">
        <w:rPr>
          <w:rFonts w:asciiTheme="minorHAnsi" w:eastAsiaTheme="minorEastAsia" w:hAnsiTheme="minorHAnsi" w:cstheme="minorHAnsi"/>
          <w:noProof/>
          <w:szCs w:val="24"/>
          <w:lang w:eastAsia="zh-CN"/>
        </w:rPr>
        <w:t xml:space="preserve"> en las zonas rurales, aisladas, desatendidas </w:t>
      </w:r>
      <w:r w:rsidR="003762D1">
        <w:rPr>
          <w:rFonts w:asciiTheme="minorHAnsi" w:eastAsiaTheme="minorEastAsia" w:hAnsiTheme="minorHAnsi" w:cstheme="minorHAnsi"/>
          <w:noProof/>
          <w:szCs w:val="24"/>
          <w:lang w:eastAsia="zh-CN"/>
        </w:rPr>
        <w:t>e insuficientemente atendidas</w:t>
      </w:r>
      <w:r w:rsidRPr="0052117D">
        <w:rPr>
          <w:rFonts w:asciiTheme="minorHAnsi" w:eastAsiaTheme="minorEastAsia" w:hAnsiTheme="minorHAnsi" w:cstheme="minorHAnsi"/>
          <w:noProof/>
          <w:szCs w:val="24"/>
          <w:lang w:eastAsia="zh-CN"/>
        </w:rPr>
        <w:t>;</w:t>
      </w:r>
    </w:p>
    <w:p w14:paraId="7CA1EE89" w14:textId="77777777"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j)</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34 (Rev. Bakú, 2025) de la CMDT, sobre la función de las telecomunicaciones/TIC en la preparación, alerta temprana, rescate, mitigación, socorro y respuesta en situaciones de catástrofe;</w:t>
      </w:r>
    </w:p>
    <w:p w14:paraId="6B48EC5D" w14:textId="77777777"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k)</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37 (Rev. Bakú, 2025) de la CMDT, sobre la reducción de la brecha digital;</w:t>
      </w:r>
    </w:p>
    <w:p w14:paraId="67A0A099" w14:textId="669EB07F"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noProof/>
          <w:szCs w:val="24"/>
          <w:lang w:eastAsia="zh-CN"/>
        </w:rPr>
      </w:pPr>
      <w:r w:rsidRPr="0052117D">
        <w:rPr>
          <w:rFonts w:asciiTheme="minorHAnsi" w:eastAsiaTheme="minorEastAsia" w:hAnsiTheme="minorHAnsi" w:cstheme="minorHAnsi"/>
          <w:i/>
          <w:noProof/>
          <w:szCs w:val="24"/>
          <w:lang w:eastAsia="zh-CN"/>
        </w:rPr>
        <w:t>l)</w:t>
      </w:r>
      <w:r w:rsidRPr="0052117D">
        <w:rPr>
          <w:rFonts w:asciiTheme="minorHAnsi" w:eastAsiaTheme="minorEastAsia" w:hAnsiTheme="minorHAnsi" w:cstheme="minorHAnsi"/>
          <w:i/>
          <w:noProof/>
          <w:szCs w:val="24"/>
          <w:lang w:eastAsia="zh-CN"/>
        </w:rPr>
        <w:tab/>
      </w:r>
      <w:r w:rsidRPr="0052117D">
        <w:rPr>
          <w:rFonts w:asciiTheme="minorHAnsi" w:eastAsiaTheme="minorEastAsia" w:hAnsiTheme="minorHAnsi" w:cstheme="minorHAnsi"/>
          <w:noProof/>
          <w:szCs w:val="24"/>
          <w:lang w:eastAsia="zh-CN"/>
        </w:rPr>
        <w:t>la Resolución 45 (Rev. Bakú, 2025) de la CMDT, sobre los mecanismos para mejorar la cooperación en materia de ciberseguridad</w:t>
      </w:r>
      <w:r w:rsidR="00907347">
        <w:rPr>
          <w:rFonts w:asciiTheme="minorHAnsi" w:eastAsiaTheme="minorEastAsia" w:hAnsiTheme="minorHAnsi" w:cstheme="minorHAnsi"/>
          <w:noProof/>
          <w:szCs w:val="24"/>
          <w:lang w:eastAsia="zh-CN"/>
        </w:rPr>
        <w:t>, incluida la lucha contra el correo basura</w:t>
      </w:r>
      <w:r w:rsidRPr="0052117D">
        <w:rPr>
          <w:rFonts w:asciiTheme="minorHAnsi" w:eastAsiaTheme="minorEastAsia" w:hAnsiTheme="minorHAnsi" w:cstheme="minorHAnsi"/>
          <w:noProof/>
          <w:szCs w:val="24"/>
          <w:lang w:eastAsia="zh-CN"/>
        </w:rPr>
        <w:t>,</w:t>
      </w:r>
    </w:p>
    <w:p w14:paraId="183DEE51" w14:textId="77777777" w:rsidR="00DD1ECB" w:rsidRPr="0052117D" w:rsidRDefault="00DD1ECB" w:rsidP="00DD1ECB">
      <w:pPr>
        <w:pStyle w:val="Call"/>
        <w:jc w:val="both"/>
        <w:rPr>
          <w:rFonts w:asciiTheme="minorHAnsi" w:hAnsiTheme="minorHAnsi" w:cstheme="minorHAnsi"/>
          <w:i w:val="0"/>
          <w:iCs/>
          <w:szCs w:val="24"/>
        </w:rPr>
      </w:pPr>
      <w:r w:rsidRPr="0052117D">
        <w:rPr>
          <w:rFonts w:asciiTheme="minorHAnsi" w:eastAsia="SimSun" w:hAnsiTheme="minorHAnsi" w:cstheme="minorHAnsi"/>
          <w:szCs w:val="24"/>
        </w:rPr>
        <w:t>observando</w:t>
      </w:r>
    </w:p>
    <w:p w14:paraId="1AEC6003" w14:textId="77777777"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hAnsiTheme="minorHAnsi" w:cstheme="minorHAnsi"/>
          <w:bCs/>
          <w:szCs w:val="24"/>
        </w:rPr>
      </w:pPr>
      <w:r w:rsidRPr="0052117D">
        <w:rPr>
          <w:rFonts w:asciiTheme="minorHAnsi" w:hAnsiTheme="minorHAnsi" w:cstheme="minorHAnsi"/>
          <w:szCs w:val="24"/>
        </w:rPr>
        <w:t xml:space="preserve">que las telecomunicaciones/TIC resilientes son capaces de predecir y soportar diversas situaciones de emergencia, así como de responder a ellas, entre ellas, sin ánimo exhaustivo, </w:t>
      </w:r>
      <w:r w:rsidRPr="0052117D">
        <w:rPr>
          <w:rFonts w:asciiTheme="minorHAnsi" w:hAnsiTheme="minorHAnsi" w:cstheme="minorHAnsi"/>
          <w:bCs/>
          <w:szCs w:val="24"/>
        </w:rPr>
        <w:t>las relacionadas con el clima, los ciberincidentes y los peligros o catástrofes naturales,</w:t>
      </w:r>
    </w:p>
    <w:p w14:paraId="792C0A9C" w14:textId="77777777" w:rsidR="00DD1ECB" w:rsidRPr="0052117D" w:rsidRDefault="00DD1ECB" w:rsidP="00DD1ECB">
      <w:pPr>
        <w:pStyle w:val="Call"/>
        <w:jc w:val="both"/>
        <w:rPr>
          <w:rFonts w:asciiTheme="minorHAnsi" w:hAnsiTheme="minorHAnsi" w:cstheme="minorHAnsi"/>
          <w:i w:val="0"/>
          <w:iCs/>
          <w:szCs w:val="24"/>
        </w:rPr>
      </w:pPr>
      <w:r w:rsidRPr="0052117D">
        <w:rPr>
          <w:rFonts w:asciiTheme="minorHAnsi" w:eastAsia="SimSun" w:hAnsiTheme="minorHAnsi" w:cstheme="minorHAnsi"/>
          <w:szCs w:val="24"/>
        </w:rPr>
        <w:t>teniendo en cuenta</w:t>
      </w:r>
    </w:p>
    <w:p w14:paraId="299FF35E" w14:textId="77777777"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a)</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 xml:space="preserve">que la construcción de telecomunicaciones/TIC resilientes, capaces de soportar catástrofes o </w:t>
      </w:r>
      <w:r w:rsidRPr="0052117D">
        <w:rPr>
          <w:rFonts w:asciiTheme="minorHAnsi" w:eastAsiaTheme="minorEastAsia" w:hAnsiTheme="minorHAnsi" w:cstheme="minorHAnsi"/>
          <w:noProof/>
          <w:szCs w:val="24"/>
          <w:lang w:eastAsia="zh-CN"/>
        </w:rPr>
        <w:t>peligros naturales</w:t>
      </w:r>
      <w:r w:rsidRPr="0052117D">
        <w:rPr>
          <w:rFonts w:asciiTheme="minorHAnsi" w:eastAsiaTheme="minorEastAsia" w:hAnsiTheme="minorHAnsi" w:cstheme="minorHAnsi"/>
          <w:szCs w:val="24"/>
          <w:lang w:eastAsia="zh-CN"/>
        </w:rPr>
        <w:t>, diversas ciberamenazas e interrupciones técnicas no malintencionadas, resulta vital en una época en que el acceso a los servicios e información esenciales y su prestación dependen de Internet;</w:t>
      </w:r>
    </w:p>
    <w:p w14:paraId="784817D0" w14:textId="77777777"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b)</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las iniciativas en materia de resiliencia revisten una importancia creciente, puesto que el cambio climático contribuye a un mayor número de catástrofes que afectan a las telecomunicaciones/TIC;</w:t>
      </w:r>
    </w:p>
    <w:p w14:paraId="00C68F63" w14:textId="77777777"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c)</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la importancia de garantizar que las telecomunicaciones/TIC resilientes sean accesibles para todos, en particular para los grupos no atendidos e insuficientemente atendidos, dado que las crisis pueden agravar las desigualdades y brechas digitales preexistentes;</w:t>
      </w:r>
    </w:p>
    <w:p w14:paraId="5C777027" w14:textId="77777777"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d)</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los múltiples retos interrelacionados que plantean las brechas digitales geográficas a la hora de concebir y desplegar telecomunicaciones/TIC resilientes en los países menos adelantados (PMA), los países en desarrollo sin litoral (PDSL) y los pequeños Estados insulares en desarrollo (PEID), donde la limitada capacidad para crear resiliencia y la vulnerabilidad de sus emplazamientos agravan los efectos de las emergencias sobre sus economías e infraestructuras;</w:t>
      </w:r>
    </w:p>
    <w:p w14:paraId="6D1661EE" w14:textId="77777777"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e)</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la importancia de desarrollar telecomunicaciones/TIC resilientes capaces de soportar diversas amenazas y que respondan al mismo tiempo a los distintos requisitos de acceso de los usuarios, en particular a los de las personas con discapacidad y las personas con necesidades específicas, con objeto de garantizar un despliegue equitativo de las telecomunicaciones/TIC resilientes;</w:t>
      </w:r>
    </w:p>
    <w:p w14:paraId="0EB7E3FF" w14:textId="77777777" w:rsidR="00DD1ECB" w:rsidRPr="0052117D" w:rsidRDefault="00DD1ECB" w:rsidP="00DD1ECB">
      <w:pPr>
        <w:tabs>
          <w:tab w:val="clear" w:pos="1134"/>
          <w:tab w:val="clear" w:pos="1701"/>
          <w:tab w:val="clear" w:pos="2268"/>
          <w:tab w:val="clear" w:pos="2835"/>
        </w:tabs>
        <w:overflowPunct/>
        <w:autoSpaceDE/>
        <w:autoSpaceDN/>
        <w:adjustRightInd/>
        <w:jc w:val="both"/>
        <w:textAlignment w:val="auto"/>
        <w:rPr>
          <w:rFonts w:asciiTheme="minorHAnsi" w:eastAsiaTheme="minorEastAsia" w:hAnsiTheme="minorHAnsi" w:cstheme="minorHAnsi"/>
          <w:szCs w:val="24"/>
          <w:lang w:eastAsia="zh-CN"/>
        </w:rPr>
      </w:pPr>
      <w:r w:rsidRPr="0052117D">
        <w:rPr>
          <w:rFonts w:asciiTheme="minorHAnsi" w:eastAsiaTheme="minorEastAsia" w:hAnsiTheme="minorHAnsi" w:cstheme="minorHAnsi"/>
          <w:i/>
          <w:szCs w:val="24"/>
          <w:lang w:eastAsia="zh-CN"/>
        </w:rPr>
        <w:t>f)</w:t>
      </w:r>
      <w:r w:rsidRPr="0052117D">
        <w:rPr>
          <w:rFonts w:asciiTheme="minorHAnsi" w:eastAsiaTheme="minorEastAsia" w:hAnsiTheme="minorHAnsi" w:cstheme="minorHAnsi"/>
          <w:i/>
          <w:szCs w:val="24"/>
          <w:lang w:eastAsia="zh-CN"/>
        </w:rPr>
        <w:tab/>
      </w:r>
      <w:r w:rsidRPr="0052117D">
        <w:rPr>
          <w:rFonts w:asciiTheme="minorHAnsi" w:eastAsiaTheme="minorEastAsia" w:hAnsiTheme="minorHAnsi" w:cstheme="minorHAnsi"/>
          <w:szCs w:val="24"/>
          <w:lang w:eastAsia="zh-CN"/>
        </w:rPr>
        <w:t>que el Comité de las Naciones Unidas para la Eliminación de la Discriminación contra la Mujer señaló, en su Recomendación general núm. 37, que la falta de participación activa de las mujeres en los programas relativos a la reducción del riesgo de catástrofes y a la resiliencia climática puede menoscabar su desarrollo y su eficacia,</w:t>
      </w:r>
    </w:p>
    <w:p w14:paraId="3FB25CEB" w14:textId="77777777" w:rsidR="00DD1ECB" w:rsidRPr="0052117D" w:rsidRDefault="00DD1ECB" w:rsidP="00DD1ECB">
      <w:pPr>
        <w:pStyle w:val="Call"/>
        <w:jc w:val="both"/>
        <w:rPr>
          <w:rFonts w:asciiTheme="minorHAnsi" w:hAnsiTheme="minorHAnsi" w:cstheme="minorHAnsi"/>
          <w:i w:val="0"/>
          <w:iCs/>
          <w:szCs w:val="24"/>
        </w:rPr>
      </w:pPr>
      <w:r w:rsidRPr="0052117D">
        <w:rPr>
          <w:rFonts w:asciiTheme="minorHAnsi" w:eastAsia="SimSun" w:hAnsiTheme="minorHAnsi" w:cstheme="minorHAnsi"/>
          <w:szCs w:val="24"/>
        </w:rPr>
        <w:t>considerando</w:t>
      </w:r>
    </w:p>
    <w:p w14:paraId="38A36E73"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a)</w:t>
      </w:r>
      <w:r w:rsidRPr="0052117D">
        <w:rPr>
          <w:rFonts w:asciiTheme="minorHAnsi" w:hAnsiTheme="minorHAnsi" w:cstheme="minorHAnsi"/>
          <w:i/>
          <w:szCs w:val="24"/>
        </w:rPr>
        <w:tab/>
      </w:r>
      <w:r w:rsidRPr="0052117D">
        <w:rPr>
          <w:rFonts w:asciiTheme="minorHAnsi" w:hAnsiTheme="minorHAnsi" w:cstheme="minorHAnsi"/>
          <w:szCs w:val="24"/>
        </w:rPr>
        <w:t>que unas infraestructuras de telecomunicaciones/TIC resilientes resultan esenciales para respaldar la economía digital mundial, fomentar la innovación e impulsar el crecimiento, especialmente a medida que las economías dependen cada vez más de unos sistemas TIC robustos;</w:t>
      </w:r>
    </w:p>
    <w:p w14:paraId="70D10BC3"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lastRenderedPageBreak/>
        <w:t>b)</w:t>
      </w:r>
      <w:r w:rsidRPr="0052117D">
        <w:rPr>
          <w:rFonts w:asciiTheme="minorHAnsi" w:hAnsiTheme="minorHAnsi" w:cstheme="minorHAnsi"/>
          <w:i/>
          <w:szCs w:val="24"/>
        </w:rPr>
        <w:tab/>
      </w:r>
      <w:r w:rsidRPr="0052117D">
        <w:rPr>
          <w:rFonts w:asciiTheme="minorHAnsi" w:hAnsiTheme="minorHAnsi" w:cstheme="minorHAnsi"/>
          <w:szCs w:val="24"/>
        </w:rPr>
        <w:t>que la promoción de una conectividad fiable y segura y de la accesibilidad de los sistemas de telecomunicaciones/TIC para todos los segmentos de la sociedad puede mejorar las oportunidades económicas, la educación, la sanidad y otros sectores esenciales, contribuyendo así a un desarrollo económico</w:t>
      </w:r>
      <w:r w:rsidRPr="0052117D">
        <w:rPr>
          <w:b/>
          <w:szCs w:val="24"/>
        </w:rPr>
        <w:t xml:space="preserve"> </w:t>
      </w:r>
      <w:r w:rsidRPr="0052117D">
        <w:rPr>
          <w:rFonts w:asciiTheme="minorHAnsi" w:hAnsiTheme="minorHAnsi" w:cstheme="minorHAnsi"/>
          <w:szCs w:val="24"/>
        </w:rPr>
        <w:t>sostenible;</w:t>
      </w:r>
    </w:p>
    <w:p w14:paraId="1EBD3DD0"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c)</w:t>
      </w:r>
      <w:r w:rsidRPr="0052117D">
        <w:rPr>
          <w:rFonts w:asciiTheme="minorHAnsi" w:hAnsiTheme="minorHAnsi" w:cstheme="minorHAnsi"/>
          <w:i/>
          <w:szCs w:val="24"/>
        </w:rPr>
        <w:tab/>
      </w:r>
      <w:r w:rsidRPr="0052117D">
        <w:rPr>
          <w:rFonts w:asciiTheme="minorHAnsi" w:hAnsiTheme="minorHAnsi" w:cstheme="minorHAnsi"/>
          <w:szCs w:val="24"/>
        </w:rPr>
        <w:t>que el fortalecimiento de las infraestructuras de telecomunicaciones/TIC en las zonas insuficientemente atendidas y remotas, mediante soluciones innovadoras, contribuiría a unas economías digitales resilientes;</w:t>
      </w:r>
    </w:p>
    <w:p w14:paraId="5CF925B5"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d)</w:t>
      </w:r>
      <w:r w:rsidRPr="0052117D">
        <w:rPr>
          <w:rFonts w:asciiTheme="minorHAnsi" w:hAnsiTheme="minorHAnsi" w:cstheme="minorHAnsi"/>
          <w:i/>
          <w:szCs w:val="24"/>
        </w:rPr>
        <w:tab/>
      </w:r>
      <w:r w:rsidRPr="0052117D">
        <w:rPr>
          <w:rFonts w:asciiTheme="minorHAnsi" w:hAnsiTheme="minorHAnsi" w:cstheme="minorHAnsi"/>
          <w:szCs w:val="24"/>
        </w:rPr>
        <w:t>que unos sistemas de telecomunicaciones/TIC resilientes y seguros resultan esenciales para respaldar la continuidad de las actividades, la prestación de servicios públicos y el acceso a servicios esenciales en tiempos de crisis, catástrofes naturales, diversas ciberamenazas, interrupciones técnicas no malintencionadas y emergencias sanitarias mundiales;</w:t>
      </w:r>
    </w:p>
    <w:p w14:paraId="5D288617"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e)</w:t>
      </w:r>
      <w:r w:rsidRPr="0052117D">
        <w:rPr>
          <w:rFonts w:asciiTheme="minorHAnsi" w:hAnsiTheme="minorHAnsi" w:cstheme="minorHAnsi"/>
          <w:i/>
          <w:szCs w:val="24"/>
        </w:rPr>
        <w:tab/>
      </w:r>
      <w:r w:rsidRPr="0052117D">
        <w:rPr>
          <w:rFonts w:asciiTheme="minorHAnsi" w:hAnsiTheme="minorHAnsi" w:cstheme="minorHAnsi"/>
          <w:szCs w:val="24"/>
        </w:rPr>
        <w:t>que la utilización de las telecomunicaciones/TIC para el intercambio de información en caso de crisis constituye una potente herramienta de adopción de decisiones para los servicios de salvamento y respuesta y las entidades explotadoras, así como para la comunicación con las personas y entre ellas; que las TIC resultan esenciales para las actividades de resiliencia climática, tales como el seguimiento del clima y la protección de los ecosistemas naturales, la recopilación de datos, la transmisión rápida de información y la gestión de los riesgos del cambio climático;</w:t>
      </w:r>
    </w:p>
    <w:p w14:paraId="76AD0B6D"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f)</w:t>
      </w:r>
      <w:r w:rsidRPr="0052117D">
        <w:rPr>
          <w:rFonts w:asciiTheme="minorHAnsi" w:hAnsiTheme="minorHAnsi" w:cstheme="minorHAnsi"/>
          <w:i/>
          <w:szCs w:val="24"/>
        </w:rPr>
        <w:tab/>
      </w:r>
      <w:r w:rsidRPr="0052117D">
        <w:rPr>
          <w:rFonts w:asciiTheme="minorHAnsi" w:hAnsiTheme="minorHAnsi" w:cstheme="minorHAnsi"/>
          <w:szCs w:val="24"/>
        </w:rPr>
        <w:t>que las telecomunicaciones/TIC deben mantenerse resilientes y fiables frente a un abanico de perturbaciones externas, tales como las catástrofes o peligros naturales, los cortes de suministro eléctrico y los ciberincidentes;</w:t>
      </w:r>
    </w:p>
    <w:p w14:paraId="679C4417"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g)</w:t>
      </w:r>
      <w:r w:rsidRPr="0052117D">
        <w:rPr>
          <w:rFonts w:asciiTheme="minorHAnsi" w:hAnsiTheme="minorHAnsi" w:cstheme="minorHAnsi"/>
          <w:i/>
          <w:szCs w:val="24"/>
        </w:rPr>
        <w:tab/>
      </w:r>
      <w:r w:rsidRPr="0052117D">
        <w:rPr>
          <w:rFonts w:asciiTheme="minorHAnsi" w:hAnsiTheme="minorHAnsi" w:cstheme="minorHAnsi"/>
          <w:szCs w:val="24"/>
        </w:rPr>
        <w:t>que la mejora de la ciberseguridad de los sistemas de telecomunicaciones/TIC resulta esencial para generar confianza en las economías digitales, respaldar las transacciones financieras y el comercio electrónico y salvaguardar la información de identificación personal;</w:t>
      </w:r>
    </w:p>
    <w:p w14:paraId="70ED0AFB"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h)</w:t>
      </w:r>
      <w:r w:rsidRPr="0052117D">
        <w:rPr>
          <w:rFonts w:asciiTheme="minorHAnsi" w:hAnsiTheme="minorHAnsi" w:cstheme="minorHAnsi"/>
          <w:i/>
          <w:szCs w:val="24"/>
        </w:rPr>
        <w:tab/>
      </w:r>
      <w:r w:rsidRPr="0052117D">
        <w:rPr>
          <w:rFonts w:asciiTheme="minorHAnsi" w:hAnsiTheme="minorHAnsi" w:cstheme="minorHAnsi"/>
          <w:szCs w:val="24"/>
        </w:rPr>
        <w:t>que la resiliencia debería incorporarse en todas las fases del diseño y el despliegue de las telecomunicaciones/TIC, con objeto de preservar su durabilidad a lo largo de todo su ciclo de vida, soportar entornos cambiantes y evitar agravar las amenazas y vulnerabilidades;</w:t>
      </w:r>
    </w:p>
    <w:p w14:paraId="50CB3D36"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i)</w:t>
      </w:r>
      <w:r w:rsidRPr="0052117D">
        <w:rPr>
          <w:rFonts w:asciiTheme="minorHAnsi" w:hAnsiTheme="minorHAnsi" w:cstheme="minorHAnsi"/>
          <w:i/>
          <w:szCs w:val="24"/>
        </w:rPr>
        <w:tab/>
      </w:r>
      <w:r w:rsidRPr="0052117D">
        <w:rPr>
          <w:rFonts w:asciiTheme="minorHAnsi" w:hAnsiTheme="minorHAnsi" w:cstheme="minorHAnsi"/>
          <w:szCs w:val="24"/>
        </w:rPr>
        <w:t>la necesidad de fomentar la sensibilización de la población sobre las medidas básicas de seguridad en materia de resiliencia, incluida la ciberhigiene, y de garantizar que los mensajes sean accesibles para todos los usuarios;</w:t>
      </w:r>
    </w:p>
    <w:p w14:paraId="1FF82E8A"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j)</w:t>
      </w:r>
      <w:r w:rsidRPr="0052117D">
        <w:rPr>
          <w:rFonts w:asciiTheme="minorHAnsi" w:hAnsiTheme="minorHAnsi" w:cstheme="minorHAnsi"/>
          <w:i/>
          <w:szCs w:val="24"/>
        </w:rPr>
        <w:tab/>
      </w:r>
      <w:r w:rsidRPr="0052117D">
        <w:rPr>
          <w:rFonts w:asciiTheme="minorHAnsi" w:hAnsiTheme="minorHAnsi" w:cstheme="minorHAnsi"/>
          <w:szCs w:val="24"/>
        </w:rPr>
        <w:t>que el fomento de asociaciones entre los gobiernos, el sector privado, las autoridades reguladoras, la sociedad civil, la comunidad técnica, las instituciones académicas y las organizaciones internacionales resulta fundamental para garantizar el desarrollo de ecosistemas de telecomunicaciones/TIC resilientes, capaces de adaptarse a la evolución de las amenazas y oportunidades de la economía digital;</w:t>
      </w:r>
    </w:p>
    <w:p w14:paraId="0F1E2985"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k)</w:t>
      </w:r>
      <w:r w:rsidRPr="0052117D">
        <w:rPr>
          <w:rFonts w:asciiTheme="minorHAnsi" w:hAnsiTheme="minorHAnsi" w:cstheme="minorHAnsi"/>
          <w:i/>
          <w:szCs w:val="24"/>
        </w:rPr>
        <w:tab/>
      </w:r>
      <w:r w:rsidRPr="0052117D">
        <w:rPr>
          <w:rFonts w:asciiTheme="minorHAnsi" w:hAnsiTheme="minorHAnsi" w:cstheme="minorHAnsi"/>
          <w:szCs w:val="24"/>
        </w:rPr>
        <w:t>que la colaboración internacional y el intercambio de prácticas idóneas pueden reforzar las capacidades nacionales para construir sistemas de telecomunicaciones/TIC robustos, garantizando que todos los países se beneficien de las oportunidades que brinda la economía digital;</w:t>
      </w:r>
    </w:p>
    <w:p w14:paraId="132B8E70"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l)</w:t>
      </w:r>
      <w:r w:rsidRPr="0052117D">
        <w:rPr>
          <w:rFonts w:asciiTheme="minorHAnsi" w:hAnsiTheme="minorHAnsi" w:cstheme="minorHAnsi"/>
          <w:i/>
          <w:szCs w:val="24"/>
        </w:rPr>
        <w:tab/>
      </w:r>
      <w:r w:rsidRPr="0052117D">
        <w:rPr>
          <w:rFonts w:asciiTheme="minorHAnsi" w:hAnsiTheme="minorHAnsi" w:cstheme="minorHAnsi"/>
          <w:szCs w:val="24"/>
        </w:rPr>
        <w:t>la importancia de las estrategias iterativas a largo plazo y de los planes de gestión de riesgos que coordinen la resiliencia de una amplia gama de telecomunicaciones/TIC, los cuales facilitan la anticipación y la respuesta a los problemas en distintos contextos y permiten hacer frente a unas amenazas y vulnerabilidades en constante evolución;</w:t>
      </w:r>
    </w:p>
    <w:p w14:paraId="09041E3B"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lastRenderedPageBreak/>
        <w:t>m)</w:t>
      </w:r>
      <w:r w:rsidRPr="0052117D">
        <w:rPr>
          <w:rFonts w:asciiTheme="minorHAnsi" w:hAnsiTheme="minorHAnsi" w:cstheme="minorHAnsi"/>
          <w:i/>
          <w:szCs w:val="24"/>
        </w:rPr>
        <w:tab/>
      </w:r>
      <w:r w:rsidRPr="0052117D">
        <w:rPr>
          <w:rFonts w:asciiTheme="minorHAnsi" w:hAnsiTheme="minorHAnsi" w:cstheme="minorHAnsi"/>
          <w:szCs w:val="24"/>
        </w:rPr>
        <w:t>que la promoción y utilización de tecnologías innovadoras pueden desempeñar una función crucial en la construcción de economías de telecomunicaciones/TIC resilientes, capaces de adaptarse a los avances tecnológicos y a los cambios del mercado;</w:t>
      </w:r>
    </w:p>
    <w:p w14:paraId="7E08721B"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n)</w:t>
      </w:r>
      <w:r w:rsidRPr="0052117D">
        <w:rPr>
          <w:rFonts w:asciiTheme="minorHAnsi" w:hAnsiTheme="minorHAnsi" w:cstheme="minorHAnsi"/>
          <w:i/>
          <w:szCs w:val="24"/>
        </w:rPr>
        <w:tab/>
      </w:r>
      <w:r w:rsidRPr="0052117D">
        <w:rPr>
          <w:rFonts w:asciiTheme="minorHAnsi" w:hAnsiTheme="minorHAnsi" w:cstheme="minorHAnsi"/>
          <w:szCs w:val="24"/>
        </w:rPr>
        <w:t>la importancia de las infraestructuras de cables submarinos y de su resiliencia, así como los resultados de las Cumbres Internacionales sobre la Resiliencia de los Cables Submarinos celebradas en Abuya en 2025 y en Oporto en 2026,</w:t>
      </w:r>
    </w:p>
    <w:p w14:paraId="250E6A40" w14:textId="77777777" w:rsidR="00DD1ECB" w:rsidRPr="0052117D" w:rsidRDefault="00DD1ECB" w:rsidP="00DD1ECB">
      <w:pPr>
        <w:pStyle w:val="Call"/>
        <w:jc w:val="both"/>
        <w:rPr>
          <w:rFonts w:asciiTheme="minorHAnsi" w:hAnsiTheme="minorHAnsi" w:cstheme="minorHAnsi"/>
          <w:szCs w:val="24"/>
        </w:rPr>
      </w:pPr>
      <w:r w:rsidRPr="0052117D">
        <w:rPr>
          <w:rFonts w:asciiTheme="minorHAnsi" w:eastAsia="SimSun" w:hAnsiTheme="minorHAnsi" w:cstheme="minorHAnsi"/>
          <w:szCs w:val="24"/>
        </w:rPr>
        <w:t>reconociendo</w:t>
      </w:r>
    </w:p>
    <w:p w14:paraId="350ED737"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a)</w:t>
      </w:r>
      <w:r w:rsidRPr="0052117D">
        <w:rPr>
          <w:rFonts w:asciiTheme="minorHAnsi" w:hAnsiTheme="minorHAnsi" w:cstheme="minorHAnsi"/>
          <w:i/>
          <w:szCs w:val="24"/>
        </w:rPr>
        <w:tab/>
      </w:r>
      <w:r w:rsidRPr="0052117D">
        <w:rPr>
          <w:rFonts w:asciiTheme="minorHAnsi" w:hAnsiTheme="minorHAnsi" w:cstheme="minorHAnsi"/>
          <w:szCs w:val="24"/>
        </w:rPr>
        <w:t>que unas telecomunicaciones/TIC resilientes constituyen un fundamento esencial del desarrollo sostenible y de la reducción de las brechas digitales;</w:t>
      </w:r>
    </w:p>
    <w:p w14:paraId="15633B24"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b)</w:t>
      </w:r>
      <w:r w:rsidRPr="0052117D">
        <w:rPr>
          <w:rFonts w:asciiTheme="minorHAnsi" w:hAnsiTheme="minorHAnsi" w:cstheme="minorHAnsi"/>
          <w:i/>
          <w:szCs w:val="24"/>
        </w:rPr>
        <w:tab/>
      </w:r>
      <w:r w:rsidRPr="0052117D">
        <w:rPr>
          <w:rFonts w:asciiTheme="minorHAnsi" w:hAnsiTheme="minorHAnsi" w:cstheme="minorHAnsi"/>
          <w:szCs w:val="24"/>
        </w:rPr>
        <w:t>que la adopción de tecnologías avanzadas exigiría una inversión de capital considerable que puede resultar inaccesible para los países en desarrollo, lo que se traduce en una dependencia continuada de infraestructuras TIC obsoletas;</w:t>
      </w:r>
    </w:p>
    <w:p w14:paraId="1AE0859C"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c)</w:t>
      </w:r>
      <w:r w:rsidRPr="0052117D">
        <w:rPr>
          <w:rFonts w:asciiTheme="minorHAnsi" w:hAnsiTheme="minorHAnsi" w:cstheme="minorHAnsi"/>
          <w:i/>
          <w:szCs w:val="24"/>
        </w:rPr>
        <w:tab/>
      </w:r>
      <w:r w:rsidRPr="0052117D">
        <w:rPr>
          <w:rFonts w:asciiTheme="minorHAnsi" w:hAnsiTheme="minorHAnsi" w:cstheme="minorHAnsi"/>
          <w:szCs w:val="24"/>
        </w:rPr>
        <w:t>que la inexistencia o inestabilidad del suministro eléctrico de la red en numerosos países en desarrollo dificulta considerablemente la adopción, el despliegue, la explotación y el mantenimiento de infraestructuras TIC modernas;</w:t>
      </w:r>
    </w:p>
    <w:p w14:paraId="3272679F"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d)</w:t>
      </w:r>
      <w:r w:rsidRPr="0052117D">
        <w:rPr>
          <w:rFonts w:asciiTheme="minorHAnsi" w:hAnsiTheme="minorHAnsi" w:cstheme="minorHAnsi"/>
          <w:i/>
          <w:szCs w:val="24"/>
        </w:rPr>
        <w:tab/>
      </w:r>
      <w:r w:rsidRPr="0052117D">
        <w:rPr>
          <w:rFonts w:asciiTheme="minorHAnsi" w:hAnsiTheme="minorHAnsi" w:cstheme="minorHAnsi"/>
          <w:szCs w:val="24"/>
        </w:rPr>
        <w:t>la función del sector privado, la sociedad civil, la comunidad técnica, las instituciones académicas y las organizaciones regionales e internacionales en la provisión de equipos y servicios de telecomunicaciones/TIC, conocimientos especializados y asistencia para la creación de capacidad, con objeto de respaldar las iniciativas en materia de resiliencia;</w:t>
      </w:r>
    </w:p>
    <w:p w14:paraId="69FE1035"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i/>
          <w:szCs w:val="24"/>
        </w:rPr>
        <w:t>e)</w:t>
      </w:r>
      <w:r w:rsidRPr="0052117D">
        <w:rPr>
          <w:rFonts w:asciiTheme="minorHAnsi" w:hAnsiTheme="minorHAnsi" w:cstheme="minorHAnsi"/>
          <w:i/>
          <w:szCs w:val="24"/>
        </w:rPr>
        <w:tab/>
      </w:r>
      <w:r w:rsidRPr="0052117D">
        <w:rPr>
          <w:rFonts w:asciiTheme="minorHAnsi" w:hAnsiTheme="minorHAnsi" w:cstheme="minorHAnsi"/>
          <w:szCs w:val="24"/>
        </w:rPr>
        <w:t>la labor de la UIT en actividades fundamentales relativas a la resiliencia, tales como la Iniciativa Alerta Temprana para Todos, así como las contribuciones de las Comisiones de Estudio de la UIT en los tres Sectores a la elaboración de recomendaciones técnicas y prácticas idóneas,</w:t>
      </w:r>
    </w:p>
    <w:p w14:paraId="52C0AC1A" w14:textId="77777777" w:rsidR="00DD1ECB" w:rsidRPr="0052117D" w:rsidRDefault="00DD1ECB" w:rsidP="00DD1ECB">
      <w:pPr>
        <w:pStyle w:val="Call"/>
        <w:jc w:val="both"/>
        <w:rPr>
          <w:rFonts w:asciiTheme="minorHAnsi" w:hAnsiTheme="minorHAnsi" w:cstheme="minorHAnsi"/>
          <w:i w:val="0"/>
          <w:iCs/>
          <w:szCs w:val="24"/>
        </w:rPr>
      </w:pPr>
      <w:r w:rsidRPr="0052117D">
        <w:rPr>
          <w:rFonts w:asciiTheme="minorHAnsi" w:eastAsia="SimSun" w:hAnsiTheme="minorHAnsi" w:cstheme="minorHAnsi"/>
          <w:szCs w:val="24"/>
        </w:rPr>
        <w:t>opina</w:t>
      </w:r>
    </w:p>
    <w:p w14:paraId="44973C09"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w:t>
      </w:r>
      <w:r w:rsidRPr="0052117D">
        <w:rPr>
          <w:rFonts w:asciiTheme="minorHAnsi" w:hAnsiTheme="minorHAnsi" w:cstheme="minorHAnsi"/>
          <w:szCs w:val="24"/>
        </w:rPr>
        <w:tab/>
        <w:t xml:space="preserve">que las políticas e iniciativas en materia de resiliencia deberían ser polifacéticas e integrales, y abarcar la </w:t>
      </w:r>
      <w:r w:rsidRPr="0052117D">
        <w:rPr>
          <w:rFonts w:asciiTheme="minorHAnsi" w:eastAsiaTheme="minorEastAsia" w:hAnsiTheme="minorHAnsi" w:cstheme="minorHAnsi"/>
          <w:szCs w:val="24"/>
          <w:lang w:eastAsia="zh-CN"/>
        </w:rPr>
        <w:t>ciberseguridad</w:t>
      </w:r>
      <w:r w:rsidRPr="0052117D">
        <w:rPr>
          <w:rFonts w:asciiTheme="minorHAnsi" w:hAnsiTheme="minorHAnsi" w:cstheme="minorHAnsi"/>
          <w:szCs w:val="24"/>
        </w:rPr>
        <w:t xml:space="preserve">, los sistemas de alerta temprana y la acción temprana, la actualización y el mantenimiento periódicos de las infraestructuras de telecomunicaciones/TIC, </w:t>
      </w:r>
      <w:r w:rsidRPr="0052117D">
        <w:rPr>
          <w:rFonts w:asciiTheme="minorHAnsi" w:hAnsiTheme="minorHAnsi" w:cstheme="minorHAnsi"/>
          <w:bCs/>
          <w:szCs w:val="24"/>
        </w:rPr>
        <w:t>el seguimiento medioambiental,</w:t>
      </w:r>
      <w:r w:rsidRPr="0052117D">
        <w:rPr>
          <w:rFonts w:asciiTheme="minorHAnsi" w:hAnsiTheme="minorHAnsi" w:cstheme="minorHAnsi"/>
          <w:b/>
          <w:szCs w:val="24"/>
        </w:rPr>
        <w:t xml:space="preserve"> </w:t>
      </w:r>
      <w:r w:rsidRPr="0052117D">
        <w:rPr>
          <w:rFonts w:asciiTheme="minorHAnsi" w:hAnsiTheme="minorHAnsi" w:cstheme="minorHAnsi"/>
          <w:szCs w:val="24"/>
        </w:rPr>
        <w:t>las iniciativas de reducción del riesgo de catástrofes y la colaboración público-privada;</w:t>
      </w:r>
    </w:p>
    <w:p w14:paraId="78E6EFE5"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 xml:space="preserve">que la mejora de la resiliencia exige una acción coordinada entre los gobiernos, las autoridades reguladoras, el sector privado, la sociedad civil, la comunidad técnica y las instituciones académicas, correspondiendo a las autoridades nacionales una función esencial a la hora de dar prioridad al desarrollo de sistemas de telecomunicaciones/TIC resilientes, seguros y adaptables que respalden el </w:t>
      </w:r>
      <w:r w:rsidRPr="0052117D">
        <w:rPr>
          <w:rFonts w:asciiTheme="minorHAnsi" w:hAnsiTheme="minorHAnsi" w:cstheme="minorHAnsi"/>
          <w:bCs/>
          <w:szCs w:val="24"/>
        </w:rPr>
        <w:t>crecimiento</w:t>
      </w:r>
      <w:r w:rsidRPr="0052117D">
        <w:rPr>
          <w:rFonts w:asciiTheme="minorHAnsi" w:hAnsiTheme="minorHAnsi" w:cstheme="minorHAnsi"/>
          <w:b/>
          <w:szCs w:val="24"/>
        </w:rPr>
        <w:t xml:space="preserve"> </w:t>
      </w:r>
      <w:r w:rsidRPr="0052117D">
        <w:rPr>
          <w:rFonts w:asciiTheme="minorHAnsi" w:hAnsiTheme="minorHAnsi" w:cstheme="minorHAnsi"/>
          <w:szCs w:val="24"/>
        </w:rPr>
        <w:t>digital a largo plazo y la continuidad de los servicios esenciales;</w:t>
      </w:r>
    </w:p>
    <w:p w14:paraId="4E8E2119"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3</w:t>
      </w:r>
      <w:r w:rsidRPr="0052117D">
        <w:rPr>
          <w:rFonts w:asciiTheme="minorHAnsi" w:hAnsiTheme="minorHAnsi" w:cstheme="minorHAnsi"/>
          <w:szCs w:val="24"/>
        </w:rPr>
        <w:tab/>
        <w:t>que resulta esencial incorporar la resiliencia en todas las fases del diseño, el desarrollo y el despliegue de las telecomunicaciones/TIC;</w:t>
      </w:r>
    </w:p>
    <w:p w14:paraId="3D988E21"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4</w:t>
      </w:r>
      <w:r w:rsidRPr="0052117D">
        <w:rPr>
          <w:rFonts w:asciiTheme="minorHAnsi" w:hAnsiTheme="minorHAnsi" w:cstheme="minorHAnsi"/>
          <w:szCs w:val="24"/>
        </w:rPr>
        <w:tab/>
        <w:t>que unas infraestructuras de telecomunicaciones/TIC resilientes constituyen un factor propiciador esencial del crecimiento económico, la inclusión digital y la innovación, y deben poder adaptarse a los retos incipientes;</w:t>
      </w:r>
    </w:p>
    <w:p w14:paraId="20915DDC"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5</w:t>
      </w:r>
      <w:r w:rsidRPr="0052117D">
        <w:rPr>
          <w:rFonts w:asciiTheme="minorHAnsi" w:hAnsiTheme="minorHAnsi" w:cstheme="minorHAnsi"/>
          <w:szCs w:val="24"/>
        </w:rPr>
        <w:tab/>
        <w:t>que la reducción de la brecha digital y la garantía de un acceso asequible a las telecomunicaciones/TIC forman parte integrante de la construcción de la resiliencia;</w:t>
      </w:r>
    </w:p>
    <w:p w14:paraId="03CA7A8C"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lastRenderedPageBreak/>
        <w:t>6</w:t>
      </w:r>
      <w:r w:rsidRPr="0052117D">
        <w:rPr>
          <w:rFonts w:asciiTheme="minorHAnsi" w:hAnsiTheme="minorHAnsi" w:cstheme="minorHAnsi"/>
          <w:szCs w:val="24"/>
        </w:rPr>
        <w:tab/>
        <w:t>que la cooperación y la colaboración, las prácticas idóneas, los entornos propicios a la inversión y los mecanismos innovadores de financiación desempeñan funciones importantes en la construcción de sistemas de telecomunicaciones/TIC resilientes, capaces de responder a los retos mundiales y de respaldar la estabilidad económica, especialmente durante las catástrofes naturales y las emergencias;</w:t>
      </w:r>
    </w:p>
    <w:p w14:paraId="09CBF420"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7</w:t>
      </w:r>
      <w:r w:rsidRPr="0052117D">
        <w:rPr>
          <w:rFonts w:asciiTheme="minorHAnsi" w:hAnsiTheme="minorHAnsi" w:cstheme="minorHAnsi"/>
          <w:szCs w:val="24"/>
        </w:rPr>
        <w:tab/>
        <w:t>que debería adoptarse un enfoque multicanal de sensibilización de la población, a fin de garantizar que los mensajes pertinentes en materia de resiliencia, tales como las comunicaciones de emergencia y los consejos relativos a la ciberhigiene, lleguen a un público amplio y permitan a las personas actuar con antelación y protegerse;</w:t>
      </w:r>
    </w:p>
    <w:p w14:paraId="706129FE"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8</w:t>
      </w:r>
      <w:r w:rsidRPr="0052117D">
        <w:rPr>
          <w:rFonts w:asciiTheme="minorHAnsi" w:hAnsiTheme="minorHAnsi" w:cstheme="minorHAnsi"/>
          <w:szCs w:val="24"/>
        </w:rPr>
        <w:tab/>
        <w:t>que la protección del medio ambiente representa uno de los mayores retos de nuestro tiempo, y que la resiliencia frente a las catástrofes naturales puede reforzarse mediante el establecimiento de sistemas de alerta temprana y de planes nacionales de telecomunicaciones de emergencia;</w:t>
      </w:r>
    </w:p>
    <w:p w14:paraId="5A94E238"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9</w:t>
      </w:r>
      <w:r w:rsidRPr="0052117D">
        <w:rPr>
          <w:rFonts w:asciiTheme="minorHAnsi" w:hAnsiTheme="minorHAnsi" w:cstheme="minorHAnsi"/>
          <w:szCs w:val="24"/>
        </w:rPr>
        <w:tab/>
        <w:t>que la construcción de la ciberresiliencia en el conjunto de la sociedad resulta esencial para hacer frente a la creciente ciberamenaza;</w:t>
      </w:r>
    </w:p>
    <w:p w14:paraId="1CB75C62"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10</w:t>
      </w:r>
      <w:r w:rsidRPr="0052117D">
        <w:rPr>
          <w:rFonts w:asciiTheme="minorHAnsi" w:hAnsiTheme="minorHAnsi" w:cstheme="minorHAnsi"/>
          <w:szCs w:val="24"/>
        </w:rPr>
        <w:tab/>
        <w:t>que la promoción de la innovación y el despliegue de nuevas tecnologías son necesarios para garantizar que las economías de telecomunicaciones/TIC sigan siendo competitivas, seguras y resilientes;</w:t>
      </w:r>
    </w:p>
    <w:p w14:paraId="415FCD81"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11</w:t>
      </w:r>
      <w:r w:rsidRPr="0052117D">
        <w:rPr>
          <w:rFonts w:asciiTheme="minorHAnsi" w:hAnsiTheme="minorHAnsi" w:cstheme="minorHAnsi"/>
          <w:szCs w:val="24"/>
        </w:rPr>
        <w:tab/>
        <w:t>que las innovaciones en materia de resiliencia energética pueden respaldar la resiliencia de las infraestructuras, garantizando que las infraestructuras de telecomunicaciones y TIC puedan acceder a fuentes alternativas de energía;</w:t>
      </w:r>
    </w:p>
    <w:p w14:paraId="135BA6A8"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12</w:t>
      </w:r>
      <w:r w:rsidRPr="0052117D">
        <w:rPr>
          <w:rFonts w:asciiTheme="minorHAnsi" w:hAnsiTheme="minorHAnsi" w:cstheme="minorHAnsi"/>
          <w:szCs w:val="24"/>
        </w:rPr>
        <w:tab/>
        <w:t>que la UIT debería seguir impartiendo programas de formación y talleres y llevando a cabo actividades de creación de capacidad para promover la resiliencia de las telecomunicaciones/TIC,</w:t>
      </w:r>
    </w:p>
    <w:p w14:paraId="3E1537E0" w14:textId="77777777" w:rsidR="00DD1ECB" w:rsidRPr="0052117D" w:rsidRDefault="00DD1ECB" w:rsidP="00DD1ECB">
      <w:pPr>
        <w:pStyle w:val="Call"/>
        <w:jc w:val="both"/>
        <w:rPr>
          <w:rFonts w:asciiTheme="minorHAnsi" w:hAnsiTheme="minorHAnsi" w:cstheme="minorHAnsi"/>
          <w:szCs w:val="24"/>
        </w:rPr>
      </w:pPr>
      <w:r w:rsidRPr="0052117D">
        <w:rPr>
          <w:rFonts w:asciiTheme="minorHAnsi" w:hAnsiTheme="minorHAnsi" w:cstheme="minorHAnsi"/>
          <w:szCs w:val="24"/>
        </w:rPr>
        <w:t xml:space="preserve">invita a los Estados Miembros, Miembros de Sector y otras partes interesadas a trabajar en colaboración </w:t>
      </w:r>
    </w:p>
    <w:p w14:paraId="4F0D52BB"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w:t>
      </w:r>
      <w:r w:rsidRPr="0052117D">
        <w:rPr>
          <w:rFonts w:asciiTheme="minorHAnsi" w:hAnsiTheme="minorHAnsi" w:cstheme="minorHAnsi"/>
          <w:szCs w:val="24"/>
        </w:rPr>
        <w:tab/>
        <w:t>para dar prioridad al intercambio de información sobre la elaboración y aplicación de políticas que promuevan unas infraestructuras de telecomunicaciones/TIC resilientes, seguras y robustas, garantizando su conformidad con las normas internacionales y las prácticas idóneas;</w:t>
      </w:r>
    </w:p>
    <w:p w14:paraId="4D2BBF47"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para seguir facilitando e intensificando los esfuerzos encaminados a reforzar la resiliencia de las telecomunicaciones/TIC, incluidas las infraestructuras digitales, garantizando que dichos sistemas sean seguros, robustos y adaptables a los retos futuros, y capaces de asegurar la continuidad del servicio en momentos de perturbación;</w:t>
      </w:r>
    </w:p>
    <w:p w14:paraId="2255DD7D"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3</w:t>
      </w:r>
      <w:r w:rsidRPr="0052117D">
        <w:rPr>
          <w:rFonts w:asciiTheme="minorHAnsi" w:hAnsiTheme="minorHAnsi" w:cstheme="minorHAnsi"/>
          <w:szCs w:val="24"/>
        </w:rPr>
        <w:tab/>
        <w:t>para estudiar las oportunidades y abordar los retos que plantea la construcción de sistemas de telecomunicaciones/TIC resilientes, garantizando la continuidad del servicio en momentos de perturbación;</w:t>
      </w:r>
    </w:p>
    <w:p w14:paraId="531EBDF4"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4</w:t>
      </w:r>
      <w:r w:rsidRPr="0052117D">
        <w:rPr>
          <w:rFonts w:asciiTheme="minorHAnsi" w:hAnsiTheme="minorHAnsi" w:cstheme="minorHAnsi"/>
          <w:szCs w:val="24"/>
        </w:rPr>
        <w:tab/>
        <w:t>para colaborar con el sector privado, la sociedad civil, la comunidad técnica y las instituciones académicas con miras a promover unas telecomunicaciones/TIC resilientes, mediante programas de apoyo técnico y de creación de capacidad;</w:t>
      </w:r>
    </w:p>
    <w:p w14:paraId="5D6A26A9"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5</w:t>
      </w:r>
      <w:r w:rsidRPr="0052117D">
        <w:rPr>
          <w:rFonts w:asciiTheme="minorHAnsi" w:hAnsiTheme="minorHAnsi" w:cstheme="minorHAnsi"/>
          <w:szCs w:val="24"/>
        </w:rPr>
        <w:tab/>
        <w:t>para reforzar las asociaciones público-privadas con objeto de fomentar la resiliencia en el ecosistema de las telecomunicaciones/TIC y abordar los retos y oportunidades incipientes conexos;</w:t>
      </w:r>
    </w:p>
    <w:p w14:paraId="4C5A063F"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6</w:t>
      </w:r>
      <w:r w:rsidRPr="0052117D">
        <w:rPr>
          <w:rFonts w:asciiTheme="minorHAnsi" w:hAnsiTheme="minorHAnsi" w:cstheme="minorHAnsi"/>
          <w:szCs w:val="24"/>
        </w:rPr>
        <w:tab/>
        <w:t>para incorporar una perspectiva de género en las estrategias nacionales relativas a la resiliencia y garantizar que la adopción de decisiones sea inclusiva;</w:t>
      </w:r>
    </w:p>
    <w:p w14:paraId="34AE8B75"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lastRenderedPageBreak/>
        <w:t>7</w:t>
      </w:r>
      <w:r w:rsidRPr="0052117D">
        <w:rPr>
          <w:rFonts w:asciiTheme="minorHAnsi" w:hAnsiTheme="minorHAnsi" w:cstheme="minorHAnsi"/>
          <w:szCs w:val="24"/>
        </w:rPr>
        <w:tab/>
        <w:t>para seguir desplegando todos los esfuerzos necesarios con miras a integrar la respuesta a los ciberincidentes, la reducción del riesgo de catástrofes, la atenuación de las catástrofes, el socorro en caso de catástrofe y la resiliencia en los planes de desarrollo de las telecomunicaciones/TIC, teniendo en cuenta a las personas con discapacidad y a las personas con necesidades específicas, así como la importancia de colaborar con todas las partes interesadas en todas las fases de una catástrofe;</w:t>
      </w:r>
    </w:p>
    <w:p w14:paraId="2728E8EA"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8</w:t>
      </w:r>
      <w:r w:rsidRPr="0052117D">
        <w:rPr>
          <w:rFonts w:asciiTheme="minorHAnsi" w:hAnsiTheme="minorHAnsi" w:cstheme="minorHAnsi"/>
          <w:szCs w:val="24"/>
        </w:rPr>
        <w:tab/>
        <w:t xml:space="preserve">para adoptar las Recomendaciones pertinentes de la UIT que puedan contribuir a la construcción de la resiliencia de las telecomunicaciones/TIC y a una respuesta eficaz ante las crisis; </w:t>
      </w:r>
    </w:p>
    <w:p w14:paraId="677C1194"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9</w:t>
      </w:r>
      <w:r w:rsidRPr="0052117D">
        <w:rPr>
          <w:rFonts w:asciiTheme="minorHAnsi" w:hAnsiTheme="minorHAnsi" w:cstheme="minorHAnsi"/>
          <w:szCs w:val="24"/>
        </w:rPr>
        <w:tab/>
        <w:t xml:space="preserve">para participar activamente en los foros internacionales sobre la resiliencia de las telecomunicaciones/TIC, compartiendo conocimientos y experiencias; </w:t>
      </w:r>
    </w:p>
    <w:p w14:paraId="1DBB39ED"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10</w:t>
      </w:r>
      <w:r w:rsidRPr="0052117D">
        <w:rPr>
          <w:rFonts w:asciiTheme="minorHAnsi" w:hAnsiTheme="minorHAnsi" w:cstheme="minorHAnsi"/>
          <w:szCs w:val="24"/>
        </w:rPr>
        <w:tab/>
        <w:t>para respaldar las actividades internacionales de promoción de la creación de capacidad en materia de resiliencia, especialmente en favor de los PMA, los PDSL y los PEID;</w:t>
      </w:r>
    </w:p>
    <w:p w14:paraId="32AA06CD"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11</w:t>
      </w:r>
      <w:r w:rsidRPr="0052117D">
        <w:rPr>
          <w:rFonts w:asciiTheme="minorHAnsi" w:hAnsiTheme="minorHAnsi" w:cstheme="minorHAnsi"/>
          <w:szCs w:val="24"/>
        </w:rPr>
        <w:tab/>
        <w:t>para fomentar y posibilitar la inversión en infraestructuras de telecomunicaciones/TIC resilientes, en particular en las zonas no atendidas, insuficientemente atendidas y geográficamente complejas;</w:t>
      </w:r>
    </w:p>
    <w:p w14:paraId="3FD3A7CF"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12</w:t>
      </w:r>
      <w:r w:rsidRPr="0052117D">
        <w:rPr>
          <w:rFonts w:asciiTheme="minorHAnsi" w:hAnsiTheme="minorHAnsi" w:cstheme="minorHAnsi"/>
          <w:szCs w:val="24"/>
        </w:rPr>
        <w:tab/>
        <w:t>para adoptar estrategias de resiliencia de las telecomunicaciones/TIC, incluidos planes de gestión del riesgo de catástrofes y de respuesta ante interrupciones;</w:t>
      </w:r>
    </w:p>
    <w:p w14:paraId="35D99906"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13</w:t>
      </w:r>
      <w:r w:rsidRPr="0052117D">
        <w:rPr>
          <w:rFonts w:asciiTheme="minorHAnsi" w:hAnsiTheme="minorHAnsi" w:cstheme="minorHAnsi"/>
          <w:szCs w:val="24"/>
        </w:rPr>
        <w:tab/>
        <w:t>para promover políticas que refuercen la seguridad y la resiliencia de las cadenas de suministro de telecomunicaciones/TIC, garantizando que los equipos sean seguros y resilientes;</w:t>
      </w:r>
    </w:p>
    <w:p w14:paraId="77D05970"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14</w:t>
      </w:r>
      <w:r w:rsidRPr="0052117D">
        <w:rPr>
          <w:rFonts w:asciiTheme="minorHAnsi" w:hAnsiTheme="minorHAnsi" w:cstheme="minorHAnsi"/>
          <w:szCs w:val="24"/>
        </w:rPr>
        <w:tab/>
        <w:t>para respaldar la función de los servicios y tecnologías de telecomunicaciones/TIC nuevos e incipientes en la mejora de los sistemas de alerta temprana, la detección de amenazas y las estrategias de respuesta adaptativa en pro de la resiliencia de las telecomunicaciones/TIC;</w:t>
      </w:r>
    </w:p>
    <w:p w14:paraId="0F040ADD" w14:textId="77777777" w:rsidR="00DD1ECB" w:rsidRPr="0052117D" w:rsidRDefault="00DD1ECB" w:rsidP="00DD1ECB">
      <w:pPr>
        <w:jc w:val="both"/>
        <w:rPr>
          <w:rFonts w:asciiTheme="minorHAnsi" w:hAnsiTheme="minorHAnsi" w:cstheme="minorHAnsi"/>
          <w:szCs w:val="24"/>
        </w:rPr>
      </w:pPr>
      <w:r w:rsidRPr="0052117D">
        <w:rPr>
          <w:rFonts w:asciiTheme="minorHAnsi" w:hAnsiTheme="minorHAnsi" w:cstheme="minorHAnsi"/>
          <w:szCs w:val="24"/>
        </w:rPr>
        <w:t>15</w:t>
      </w:r>
      <w:r w:rsidRPr="0052117D">
        <w:rPr>
          <w:rFonts w:asciiTheme="minorHAnsi" w:hAnsiTheme="minorHAnsi" w:cstheme="minorHAnsi"/>
          <w:szCs w:val="24"/>
        </w:rPr>
        <w:tab/>
        <w:t>para considerar la posibilidad de tener en cuenta los resultados de las Cumbres de Abuya y Oporto al adoptar y aplicar políticas destinadas a mejorar la resiliencia de los cables submarinos,</w:t>
      </w:r>
    </w:p>
    <w:p w14:paraId="2921666D" w14:textId="77777777" w:rsidR="00DD1ECB" w:rsidRPr="0052117D" w:rsidRDefault="00DD1ECB" w:rsidP="00DD1ECB">
      <w:pPr>
        <w:pStyle w:val="Call"/>
        <w:jc w:val="both"/>
        <w:rPr>
          <w:rFonts w:asciiTheme="minorHAnsi" w:hAnsiTheme="minorHAnsi" w:cstheme="minorHAnsi"/>
          <w:i w:val="0"/>
          <w:iCs/>
          <w:szCs w:val="24"/>
        </w:rPr>
      </w:pPr>
      <w:r w:rsidRPr="0052117D">
        <w:rPr>
          <w:rFonts w:asciiTheme="minorHAnsi" w:eastAsia="SimSun" w:hAnsiTheme="minorHAnsi" w:cstheme="minorHAnsi"/>
          <w:szCs w:val="24"/>
        </w:rPr>
        <w:t>invita a</w:t>
      </w:r>
      <w:r>
        <w:rPr>
          <w:rFonts w:asciiTheme="minorHAnsi" w:eastAsia="SimSun" w:hAnsiTheme="minorHAnsi" w:cstheme="minorHAnsi"/>
          <w:szCs w:val="24"/>
        </w:rPr>
        <w:t xml:space="preserve"> </w:t>
      </w:r>
      <w:r w:rsidRPr="0052117D">
        <w:rPr>
          <w:rFonts w:asciiTheme="minorHAnsi" w:eastAsia="SimSun" w:hAnsiTheme="minorHAnsi" w:cstheme="minorHAnsi"/>
          <w:szCs w:val="24"/>
        </w:rPr>
        <w:t>l</w:t>
      </w:r>
      <w:r>
        <w:rPr>
          <w:rFonts w:asciiTheme="minorHAnsi" w:eastAsia="SimSun" w:hAnsiTheme="minorHAnsi" w:cstheme="minorHAnsi"/>
          <w:szCs w:val="24"/>
        </w:rPr>
        <w:t>a</w:t>
      </w:r>
      <w:r w:rsidRPr="0052117D">
        <w:rPr>
          <w:rFonts w:asciiTheme="minorHAnsi" w:eastAsia="SimSun" w:hAnsiTheme="minorHAnsi" w:cstheme="minorHAnsi"/>
          <w:szCs w:val="24"/>
        </w:rPr>
        <w:t xml:space="preserve"> </w:t>
      </w:r>
      <w:r>
        <w:rPr>
          <w:rFonts w:asciiTheme="minorHAnsi" w:eastAsia="SimSun" w:hAnsiTheme="minorHAnsi" w:cstheme="minorHAnsi"/>
          <w:szCs w:val="24"/>
        </w:rPr>
        <w:t>Secretaria General</w:t>
      </w:r>
    </w:p>
    <w:p w14:paraId="01632889" w14:textId="77777777" w:rsidR="00DD1ECB" w:rsidRPr="0052117D" w:rsidRDefault="00DD1ECB" w:rsidP="00E1315C">
      <w:pPr>
        <w:jc w:val="both"/>
        <w:rPr>
          <w:rFonts w:asciiTheme="minorHAnsi" w:hAnsiTheme="minorHAnsi" w:cstheme="minorHAnsi"/>
          <w:szCs w:val="24"/>
        </w:rPr>
      </w:pPr>
      <w:r w:rsidRPr="0052117D">
        <w:rPr>
          <w:rFonts w:asciiTheme="minorHAnsi" w:hAnsiTheme="minorHAnsi" w:cstheme="minorHAnsi"/>
          <w:szCs w:val="24"/>
        </w:rPr>
        <w:t>1</w:t>
      </w:r>
      <w:r w:rsidRPr="0052117D">
        <w:rPr>
          <w:rFonts w:asciiTheme="minorHAnsi" w:hAnsiTheme="minorHAnsi" w:cstheme="minorHAnsi"/>
          <w:szCs w:val="24"/>
        </w:rPr>
        <w:tab/>
        <w:t>a seguir facilitando e intensificando los esfuerzos internacionales encaminados a reforzar y promover la resiliencia de las telecomunicaciones/TIC;</w:t>
      </w:r>
    </w:p>
    <w:p w14:paraId="4B26710E" w14:textId="45489397" w:rsidR="00531F67" w:rsidRDefault="00DD1ECB" w:rsidP="00E1315C">
      <w:pPr>
        <w:jc w:val="both"/>
        <w:rPr>
          <w:rFonts w:asciiTheme="minorHAnsi" w:hAnsiTheme="minorHAnsi" w:cstheme="minorHAnsi"/>
          <w:szCs w:val="24"/>
        </w:rPr>
      </w:pPr>
      <w:r w:rsidRPr="0052117D">
        <w:rPr>
          <w:rFonts w:asciiTheme="minorHAnsi" w:hAnsiTheme="minorHAnsi" w:cstheme="minorHAnsi"/>
          <w:szCs w:val="24"/>
        </w:rPr>
        <w:t>2</w:t>
      </w:r>
      <w:r w:rsidRPr="0052117D">
        <w:rPr>
          <w:rFonts w:asciiTheme="minorHAnsi" w:hAnsiTheme="minorHAnsi" w:cstheme="minorHAnsi"/>
          <w:szCs w:val="24"/>
        </w:rPr>
        <w:tab/>
        <w:t>a velar por que la UIT siga respaldando a los Estados Miembros en la elaboración y el fortalecimiento de marcos normativos y reglamentarios para la resiliencia de las TIC y las telecomunicaciones.</w:t>
      </w:r>
    </w:p>
    <w:p w14:paraId="5FFA3A3E" w14:textId="77777777" w:rsidR="001D150F" w:rsidRDefault="001D150F" w:rsidP="00411C49">
      <w:pPr>
        <w:pStyle w:val="Reasons"/>
      </w:pPr>
    </w:p>
    <w:p w14:paraId="1D994FC4" w14:textId="77777777" w:rsidR="001D150F" w:rsidRDefault="001D150F">
      <w:pPr>
        <w:jc w:val="center"/>
      </w:pPr>
      <w:r>
        <w:t>______________</w:t>
      </w:r>
    </w:p>
    <w:sectPr w:rsidR="001D150F" w:rsidSect="00A70E95">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6D891" w14:textId="77777777" w:rsidR="00E31F1C" w:rsidRDefault="00E31F1C">
      <w:r>
        <w:separator/>
      </w:r>
    </w:p>
  </w:endnote>
  <w:endnote w:type="continuationSeparator" w:id="0">
    <w:p w14:paraId="4ECB7F82" w14:textId="77777777" w:rsidR="00E31F1C" w:rsidRDefault="00E31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C7D4" w14:textId="77777777" w:rsidR="004B07DB" w:rsidRPr="00DB336C" w:rsidRDefault="00DB336C" w:rsidP="00DB336C">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E20935">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9EFF2" w14:textId="77777777" w:rsidR="00E31F1C" w:rsidRDefault="00E31F1C">
      <w:r>
        <w:t>____________________</w:t>
      </w:r>
    </w:p>
  </w:footnote>
  <w:footnote w:type="continuationSeparator" w:id="0">
    <w:p w14:paraId="40AD173A" w14:textId="77777777" w:rsidR="00E31F1C" w:rsidRDefault="00E31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40839" w14:textId="28022BE8" w:rsidR="00255FA1" w:rsidRPr="00DB336C" w:rsidRDefault="00DB336C" w:rsidP="00531F67">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F67"/>
    <w:rsid w:val="0000188C"/>
    <w:rsid w:val="000507CA"/>
    <w:rsid w:val="00055C50"/>
    <w:rsid w:val="00057402"/>
    <w:rsid w:val="00075113"/>
    <w:rsid w:val="000863AB"/>
    <w:rsid w:val="000A1523"/>
    <w:rsid w:val="000B1752"/>
    <w:rsid w:val="0010546D"/>
    <w:rsid w:val="0013316A"/>
    <w:rsid w:val="00135F93"/>
    <w:rsid w:val="001632E3"/>
    <w:rsid w:val="001B1EF5"/>
    <w:rsid w:val="001B3234"/>
    <w:rsid w:val="001D150F"/>
    <w:rsid w:val="001D4983"/>
    <w:rsid w:val="001D6EC3"/>
    <w:rsid w:val="001D787B"/>
    <w:rsid w:val="001E3D06"/>
    <w:rsid w:val="001F0B24"/>
    <w:rsid w:val="001F4406"/>
    <w:rsid w:val="001F5B03"/>
    <w:rsid w:val="00225F6B"/>
    <w:rsid w:val="00237C17"/>
    <w:rsid w:val="00242376"/>
    <w:rsid w:val="00255FA1"/>
    <w:rsid w:val="00262FF4"/>
    <w:rsid w:val="00277985"/>
    <w:rsid w:val="002C6527"/>
    <w:rsid w:val="002E44FC"/>
    <w:rsid w:val="003537B5"/>
    <w:rsid w:val="003707E5"/>
    <w:rsid w:val="00375610"/>
    <w:rsid w:val="003762D1"/>
    <w:rsid w:val="00391611"/>
    <w:rsid w:val="003B276A"/>
    <w:rsid w:val="003B5DC9"/>
    <w:rsid w:val="003D0027"/>
    <w:rsid w:val="003E6E73"/>
    <w:rsid w:val="00451395"/>
    <w:rsid w:val="00484B72"/>
    <w:rsid w:val="00491A25"/>
    <w:rsid w:val="004A346E"/>
    <w:rsid w:val="004A63A9"/>
    <w:rsid w:val="004B07DB"/>
    <w:rsid w:val="004B09D4"/>
    <w:rsid w:val="004B0BCB"/>
    <w:rsid w:val="004C27F5"/>
    <w:rsid w:val="004C39C6"/>
    <w:rsid w:val="004D15DE"/>
    <w:rsid w:val="004D23BA"/>
    <w:rsid w:val="004E069C"/>
    <w:rsid w:val="004E08E0"/>
    <w:rsid w:val="004E28FB"/>
    <w:rsid w:val="004F4BB1"/>
    <w:rsid w:val="00504FD4"/>
    <w:rsid w:val="00507662"/>
    <w:rsid w:val="00523448"/>
    <w:rsid w:val="00531F67"/>
    <w:rsid w:val="005359B6"/>
    <w:rsid w:val="00536AB1"/>
    <w:rsid w:val="005470E8"/>
    <w:rsid w:val="00550FCF"/>
    <w:rsid w:val="00556958"/>
    <w:rsid w:val="0056054E"/>
    <w:rsid w:val="00567ED5"/>
    <w:rsid w:val="005A329F"/>
    <w:rsid w:val="005D1164"/>
    <w:rsid w:val="005D6488"/>
    <w:rsid w:val="005F6278"/>
    <w:rsid w:val="00601280"/>
    <w:rsid w:val="00641DBD"/>
    <w:rsid w:val="006426C0"/>
    <w:rsid w:val="006455D2"/>
    <w:rsid w:val="006537F3"/>
    <w:rsid w:val="00682039"/>
    <w:rsid w:val="006B5512"/>
    <w:rsid w:val="006B5C62"/>
    <w:rsid w:val="006C190D"/>
    <w:rsid w:val="00720686"/>
    <w:rsid w:val="00737EFF"/>
    <w:rsid w:val="00750806"/>
    <w:rsid w:val="007875D2"/>
    <w:rsid w:val="007D61E2"/>
    <w:rsid w:val="007F6EBC"/>
    <w:rsid w:val="00802FD6"/>
    <w:rsid w:val="00810D8B"/>
    <w:rsid w:val="00882773"/>
    <w:rsid w:val="008B4706"/>
    <w:rsid w:val="008B6676"/>
    <w:rsid w:val="008C3FA8"/>
    <w:rsid w:val="008E51C5"/>
    <w:rsid w:val="008F7109"/>
    <w:rsid w:val="00907347"/>
    <w:rsid w:val="009107B0"/>
    <w:rsid w:val="009220DE"/>
    <w:rsid w:val="0092592C"/>
    <w:rsid w:val="00930E84"/>
    <w:rsid w:val="009415B6"/>
    <w:rsid w:val="00956FE6"/>
    <w:rsid w:val="0099270D"/>
    <w:rsid w:val="0099551E"/>
    <w:rsid w:val="009A1A86"/>
    <w:rsid w:val="009D1BE0"/>
    <w:rsid w:val="009E0C42"/>
    <w:rsid w:val="00A50BE3"/>
    <w:rsid w:val="00A70E95"/>
    <w:rsid w:val="00AA1F73"/>
    <w:rsid w:val="00AB190D"/>
    <w:rsid w:val="00AB34CA"/>
    <w:rsid w:val="00AD400E"/>
    <w:rsid w:val="00AE3305"/>
    <w:rsid w:val="00AF0DC5"/>
    <w:rsid w:val="00B012B7"/>
    <w:rsid w:val="00B30C52"/>
    <w:rsid w:val="00B32DD0"/>
    <w:rsid w:val="00B501AB"/>
    <w:rsid w:val="00B73978"/>
    <w:rsid w:val="00B77C4D"/>
    <w:rsid w:val="00BB13FE"/>
    <w:rsid w:val="00BC7EE2"/>
    <w:rsid w:val="00BF32F2"/>
    <w:rsid w:val="00BF5475"/>
    <w:rsid w:val="00C20ED7"/>
    <w:rsid w:val="00C42D2D"/>
    <w:rsid w:val="00C43474"/>
    <w:rsid w:val="00C61A48"/>
    <w:rsid w:val="00C80F8F"/>
    <w:rsid w:val="00C84355"/>
    <w:rsid w:val="00C84A65"/>
    <w:rsid w:val="00CA3051"/>
    <w:rsid w:val="00CD20D9"/>
    <w:rsid w:val="00CD701A"/>
    <w:rsid w:val="00D04D2C"/>
    <w:rsid w:val="00D05AAE"/>
    <w:rsid w:val="00D05E6B"/>
    <w:rsid w:val="00D066F8"/>
    <w:rsid w:val="00D254A6"/>
    <w:rsid w:val="00D42B55"/>
    <w:rsid w:val="00D57D70"/>
    <w:rsid w:val="00DB23BE"/>
    <w:rsid w:val="00DB336C"/>
    <w:rsid w:val="00DC63B4"/>
    <w:rsid w:val="00DD1ECB"/>
    <w:rsid w:val="00DE3E41"/>
    <w:rsid w:val="00E05D81"/>
    <w:rsid w:val="00E1315C"/>
    <w:rsid w:val="00E20935"/>
    <w:rsid w:val="00E218A6"/>
    <w:rsid w:val="00E313E9"/>
    <w:rsid w:val="00E31F1C"/>
    <w:rsid w:val="00E40418"/>
    <w:rsid w:val="00E53DFC"/>
    <w:rsid w:val="00E66FC3"/>
    <w:rsid w:val="00E677DD"/>
    <w:rsid w:val="00E77F17"/>
    <w:rsid w:val="00E809D8"/>
    <w:rsid w:val="00E921EC"/>
    <w:rsid w:val="00EB23D0"/>
    <w:rsid w:val="00EC395A"/>
    <w:rsid w:val="00F01632"/>
    <w:rsid w:val="00F04858"/>
    <w:rsid w:val="00F13AA4"/>
    <w:rsid w:val="00F21A8A"/>
    <w:rsid w:val="00F3510D"/>
    <w:rsid w:val="00F43C07"/>
    <w:rsid w:val="00F43D44"/>
    <w:rsid w:val="00F80E6E"/>
    <w:rsid w:val="00F81A87"/>
    <w:rsid w:val="00F87ABE"/>
    <w:rsid w:val="00FD19EF"/>
    <w:rsid w:val="00FD7A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822FE"/>
  <w15:docId w15:val="{7C4147F6-5EBF-441E-BE09-910B265C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63A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s-ES_tradnl" w:eastAsia="en-US"/>
    </w:rPr>
  </w:style>
  <w:style w:type="paragraph" w:styleId="Heading1">
    <w:name w:val="heading 1"/>
    <w:basedOn w:val="Normal"/>
    <w:next w:val="Normal"/>
    <w:qFormat/>
    <w:rsid w:val="004A63A9"/>
    <w:pPr>
      <w:keepNext/>
      <w:keepLines/>
      <w:spacing w:before="480"/>
      <w:ind w:left="567" w:hanging="567"/>
      <w:outlineLvl w:val="0"/>
    </w:pPr>
    <w:rPr>
      <w:b/>
      <w:sz w:val="28"/>
    </w:rPr>
  </w:style>
  <w:style w:type="paragraph" w:styleId="Heading2">
    <w:name w:val="heading 2"/>
    <w:basedOn w:val="Heading1"/>
    <w:next w:val="Normal"/>
    <w:qFormat/>
    <w:rsid w:val="00BB13FE"/>
    <w:pPr>
      <w:spacing w:before="320"/>
      <w:outlineLvl w:val="1"/>
    </w:pPr>
    <w:rPr>
      <w:sz w:val="24"/>
    </w:rPr>
  </w:style>
  <w:style w:type="paragraph" w:styleId="Heading3">
    <w:name w:val="heading 3"/>
    <w:basedOn w:val="Heading1"/>
    <w:next w:val="Normal"/>
    <w:qFormat/>
    <w:rsid w:val="00BB13FE"/>
    <w:pPr>
      <w:spacing w:before="200"/>
      <w:outlineLvl w:val="2"/>
    </w:pPr>
    <w:rPr>
      <w:sz w:val="24"/>
    </w:rPr>
  </w:style>
  <w:style w:type="paragraph" w:styleId="Heading4">
    <w:name w:val="heading 4"/>
    <w:basedOn w:val="Heading3"/>
    <w:next w:val="Normal"/>
    <w:qFormat/>
    <w:rsid w:val="00A70E95"/>
    <w:pPr>
      <w:ind w:left="1134" w:hanging="1134"/>
      <w:outlineLvl w:val="3"/>
    </w:pPr>
  </w:style>
  <w:style w:type="paragraph" w:styleId="Heading5">
    <w:name w:val="heading 5"/>
    <w:basedOn w:val="Heading4"/>
    <w:next w:val="Normal"/>
    <w:qFormat/>
    <w:rsid w:val="00A70E95"/>
    <w:pPr>
      <w:outlineLvl w:val="4"/>
    </w:pPr>
  </w:style>
  <w:style w:type="paragraph" w:styleId="Heading6">
    <w:name w:val="heading 6"/>
    <w:basedOn w:val="Heading4"/>
    <w:next w:val="Normal"/>
    <w:qFormat/>
    <w:rsid w:val="00A70E95"/>
    <w:pPr>
      <w:outlineLvl w:val="5"/>
    </w:pPr>
  </w:style>
  <w:style w:type="paragraph" w:styleId="Heading7">
    <w:name w:val="heading 7"/>
    <w:basedOn w:val="Heading4"/>
    <w:next w:val="Normal"/>
    <w:qFormat/>
    <w:rsid w:val="00A70E95"/>
    <w:pPr>
      <w:ind w:left="1701" w:hanging="1701"/>
      <w:outlineLvl w:val="6"/>
    </w:pPr>
  </w:style>
  <w:style w:type="paragraph" w:styleId="Heading8">
    <w:name w:val="heading 8"/>
    <w:basedOn w:val="Heading4"/>
    <w:next w:val="Normal"/>
    <w:qFormat/>
    <w:rsid w:val="00A70E95"/>
    <w:pPr>
      <w:ind w:left="1701" w:hanging="1701"/>
      <w:outlineLvl w:val="7"/>
    </w:pPr>
  </w:style>
  <w:style w:type="paragraph" w:styleId="Heading9">
    <w:name w:val="heading 9"/>
    <w:basedOn w:val="Heading4"/>
    <w:next w:val="Normal"/>
    <w:qFormat/>
    <w:rsid w:val="00A70E95"/>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70E95"/>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70E95"/>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70E95"/>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70E95"/>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70E95"/>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70E95"/>
    <w:rPr>
      <w:position w:val="6"/>
      <w:sz w:val="16"/>
    </w:rPr>
  </w:style>
  <w:style w:type="paragraph" w:styleId="FootnoteText">
    <w:name w:val="footnote text"/>
    <w:basedOn w:val="Normal"/>
    <w:rsid w:val="00A70E95"/>
    <w:pPr>
      <w:keepLines/>
      <w:tabs>
        <w:tab w:val="left" w:pos="256"/>
      </w:tabs>
      <w:ind w:left="256" w:hanging="256"/>
    </w:pPr>
  </w:style>
  <w:style w:type="paragraph" w:styleId="NormalIndent">
    <w:name w:val="Normal Indent"/>
    <w:basedOn w:val="Normal"/>
    <w:rsid w:val="00A70E95"/>
    <w:pPr>
      <w:ind w:left="567"/>
    </w:pPr>
  </w:style>
  <w:style w:type="paragraph" w:customStyle="1" w:styleId="Tablelegend">
    <w:name w:val="Table_legend"/>
    <w:basedOn w:val="Tabletext"/>
    <w:rsid w:val="00A70E95"/>
    <w:pPr>
      <w:spacing w:before="120"/>
    </w:pPr>
  </w:style>
  <w:style w:type="paragraph" w:customStyle="1" w:styleId="Tabletext">
    <w:name w:val="Table_text"/>
    <w:basedOn w:val="Normal"/>
    <w:rsid w:val="00A70E95"/>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70E95"/>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70E95"/>
    <w:pPr>
      <w:keepNext/>
      <w:spacing w:before="560" w:after="120"/>
      <w:jc w:val="center"/>
    </w:pPr>
    <w:rPr>
      <w:caps/>
    </w:rPr>
  </w:style>
  <w:style w:type="paragraph" w:customStyle="1" w:styleId="enumlev1">
    <w:name w:val="enumlev1"/>
    <w:basedOn w:val="Normal"/>
    <w:rsid w:val="00A70E95"/>
    <w:pPr>
      <w:spacing w:before="86"/>
      <w:ind w:left="567" w:hanging="567"/>
    </w:pPr>
  </w:style>
  <w:style w:type="paragraph" w:customStyle="1" w:styleId="enumlev2">
    <w:name w:val="enumlev2"/>
    <w:basedOn w:val="enumlev1"/>
    <w:rsid w:val="00A70E95"/>
    <w:pPr>
      <w:ind w:left="1134"/>
    </w:pPr>
  </w:style>
  <w:style w:type="paragraph" w:customStyle="1" w:styleId="enumlev3">
    <w:name w:val="enumlev3"/>
    <w:basedOn w:val="enumlev2"/>
    <w:rsid w:val="00A70E95"/>
    <w:pPr>
      <w:ind w:left="1701"/>
    </w:pPr>
  </w:style>
  <w:style w:type="paragraph" w:customStyle="1" w:styleId="Tablehead">
    <w:name w:val="Table_head"/>
    <w:basedOn w:val="Tabletext"/>
    <w:rsid w:val="00A70E95"/>
    <w:pPr>
      <w:spacing w:before="120" w:after="120"/>
      <w:jc w:val="center"/>
    </w:pPr>
    <w:rPr>
      <w:b/>
    </w:rPr>
  </w:style>
  <w:style w:type="paragraph" w:customStyle="1" w:styleId="Normalaftertitle">
    <w:name w:val="Normal after title"/>
    <w:basedOn w:val="Normal"/>
    <w:next w:val="Normal"/>
    <w:rsid w:val="00A70E95"/>
    <w:pPr>
      <w:spacing w:before="240"/>
    </w:pPr>
  </w:style>
  <w:style w:type="paragraph" w:customStyle="1" w:styleId="AnnexNo">
    <w:name w:val="Annex_No"/>
    <w:basedOn w:val="Normal"/>
    <w:next w:val="Annexref"/>
    <w:rsid w:val="00BB13FE"/>
    <w:pPr>
      <w:spacing w:before="720"/>
      <w:jc w:val="center"/>
    </w:pPr>
    <w:rPr>
      <w:caps/>
      <w:sz w:val="28"/>
    </w:rPr>
  </w:style>
  <w:style w:type="paragraph" w:customStyle="1" w:styleId="Annexref">
    <w:name w:val="Annex_ref"/>
    <w:basedOn w:val="Normal"/>
    <w:next w:val="Annextitle"/>
    <w:rsid w:val="00BB13FE"/>
    <w:pPr>
      <w:jc w:val="center"/>
    </w:pPr>
    <w:rPr>
      <w:sz w:val="28"/>
    </w:rPr>
  </w:style>
  <w:style w:type="paragraph" w:customStyle="1" w:styleId="Annextitle">
    <w:name w:val="Annex_title"/>
    <w:basedOn w:val="Normal"/>
    <w:next w:val="Normal"/>
    <w:rsid w:val="00BB13FE"/>
    <w:pPr>
      <w:spacing w:before="240" w:after="240"/>
      <w:jc w:val="center"/>
    </w:pPr>
    <w:rPr>
      <w:b/>
      <w:sz w:val="28"/>
    </w:rPr>
  </w:style>
  <w:style w:type="paragraph" w:customStyle="1" w:styleId="AppendixNo">
    <w:name w:val="Appendix_No"/>
    <w:basedOn w:val="AnnexNo"/>
    <w:next w:val="Appendixref"/>
    <w:rsid w:val="00A70E95"/>
  </w:style>
  <w:style w:type="paragraph" w:customStyle="1" w:styleId="Appendixref">
    <w:name w:val="Appendix_ref"/>
    <w:basedOn w:val="Annexref"/>
    <w:next w:val="Appendixtitle"/>
    <w:rsid w:val="00A70E95"/>
  </w:style>
  <w:style w:type="paragraph" w:customStyle="1" w:styleId="Appendixtitle">
    <w:name w:val="Appendix_title"/>
    <w:basedOn w:val="Annextitle"/>
    <w:next w:val="Normal"/>
    <w:rsid w:val="00A70E95"/>
  </w:style>
  <w:style w:type="paragraph" w:customStyle="1" w:styleId="Reftitle">
    <w:name w:val="Ref_title"/>
    <w:basedOn w:val="Normal"/>
    <w:next w:val="Reftext"/>
    <w:rsid w:val="00BB13FE"/>
    <w:pPr>
      <w:spacing w:before="480"/>
      <w:jc w:val="center"/>
    </w:pPr>
    <w:rPr>
      <w:caps/>
      <w:sz w:val="28"/>
    </w:rPr>
  </w:style>
  <w:style w:type="paragraph" w:customStyle="1" w:styleId="Reftext">
    <w:name w:val="Ref_text"/>
    <w:basedOn w:val="Normal"/>
    <w:rsid w:val="00A70E95"/>
    <w:pPr>
      <w:ind w:left="567" w:hanging="567"/>
    </w:pPr>
  </w:style>
  <w:style w:type="paragraph" w:customStyle="1" w:styleId="Rectitle">
    <w:name w:val="Rec_title"/>
    <w:basedOn w:val="Normal"/>
    <w:next w:val="Heading1"/>
    <w:rsid w:val="004A63A9"/>
    <w:pPr>
      <w:spacing w:before="240"/>
      <w:jc w:val="center"/>
    </w:pPr>
    <w:rPr>
      <w:b/>
      <w:sz w:val="28"/>
    </w:rPr>
  </w:style>
  <w:style w:type="paragraph" w:customStyle="1" w:styleId="Call">
    <w:name w:val="Call"/>
    <w:basedOn w:val="Normal"/>
    <w:next w:val="Normal"/>
    <w:rsid w:val="00A70E95"/>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BB13FE"/>
    <w:pPr>
      <w:spacing w:before="720"/>
      <w:jc w:val="center"/>
    </w:pPr>
    <w:rPr>
      <w:caps/>
      <w:sz w:val="28"/>
    </w:rPr>
  </w:style>
  <w:style w:type="paragraph" w:customStyle="1" w:styleId="toc0">
    <w:name w:val="toc 0"/>
    <w:basedOn w:val="Normal"/>
    <w:next w:val="TOC1"/>
    <w:rsid w:val="00A70E95"/>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B13FE"/>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70E95"/>
    <w:pPr>
      <w:tabs>
        <w:tab w:val="clear" w:pos="567"/>
        <w:tab w:val="left" w:pos="851"/>
      </w:tabs>
    </w:pPr>
  </w:style>
  <w:style w:type="paragraph" w:customStyle="1" w:styleId="MinusFootnote">
    <w:name w:val="MinusFootnote"/>
    <w:basedOn w:val="Normal"/>
    <w:rsid w:val="00A70E95"/>
    <w:pPr>
      <w:ind w:left="-1701" w:hanging="284"/>
    </w:pPr>
  </w:style>
  <w:style w:type="paragraph" w:customStyle="1" w:styleId="Title3">
    <w:name w:val="Title 3"/>
    <w:basedOn w:val="Title2"/>
    <w:next w:val="Normalaftertitle"/>
    <w:rsid w:val="00A70E95"/>
    <w:rPr>
      <w:caps w:val="0"/>
    </w:rPr>
  </w:style>
  <w:style w:type="paragraph" w:customStyle="1" w:styleId="Title2">
    <w:name w:val="Title 2"/>
    <w:basedOn w:val="Source"/>
    <w:next w:val="Title3"/>
    <w:rsid w:val="00A70E95"/>
    <w:pPr>
      <w:spacing w:before="240"/>
    </w:pPr>
    <w:rPr>
      <w:b w:val="0"/>
      <w:caps/>
    </w:rPr>
  </w:style>
  <w:style w:type="paragraph" w:customStyle="1" w:styleId="Source">
    <w:name w:val="Source"/>
    <w:basedOn w:val="Normal"/>
    <w:next w:val="Title1"/>
    <w:rsid w:val="000A1523"/>
    <w:pPr>
      <w:spacing w:before="840"/>
      <w:jc w:val="center"/>
    </w:pPr>
    <w:rPr>
      <w:b/>
      <w:sz w:val="28"/>
    </w:rPr>
  </w:style>
  <w:style w:type="paragraph" w:customStyle="1" w:styleId="Title1">
    <w:name w:val="Title 1"/>
    <w:basedOn w:val="Source"/>
    <w:next w:val="Title2"/>
    <w:rsid w:val="00A70E95"/>
    <w:pPr>
      <w:spacing w:before="240"/>
    </w:pPr>
    <w:rPr>
      <w:b w:val="0"/>
      <w:caps/>
    </w:rPr>
  </w:style>
  <w:style w:type="paragraph" w:customStyle="1" w:styleId="ArtNo">
    <w:name w:val="Art_No"/>
    <w:basedOn w:val="Normal"/>
    <w:next w:val="Arttitle"/>
    <w:rsid w:val="00BB13FE"/>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B13FE"/>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A70E95"/>
  </w:style>
  <w:style w:type="paragraph" w:customStyle="1" w:styleId="Chaptitle">
    <w:name w:val="Chap_title"/>
    <w:basedOn w:val="Arttitle"/>
    <w:next w:val="Normal"/>
    <w:rsid w:val="00A70E95"/>
  </w:style>
  <w:style w:type="paragraph" w:customStyle="1" w:styleId="Reasons">
    <w:name w:val="Reasons"/>
    <w:basedOn w:val="Normal"/>
    <w:qFormat/>
    <w:rsid w:val="00A70E95"/>
  </w:style>
  <w:style w:type="paragraph" w:customStyle="1" w:styleId="ResNo">
    <w:name w:val="Res_No"/>
    <w:basedOn w:val="AnnexNo"/>
    <w:next w:val="Restitle"/>
    <w:rsid w:val="00A70E95"/>
  </w:style>
  <w:style w:type="paragraph" w:customStyle="1" w:styleId="Restitle">
    <w:name w:val="Res_title"/>
    <w:basedOn w:val="Annextitle"/>
    <w:next w:val="Normal"/>
    <w:rsid w:val="004A63A9"/>
  </w:style>
  <w:style w:type="paragraph" w:customStyle="1" w:styleId="AnnexNoS2">
    <w:name w:val="Annex_No_S2"/>
    <w:basedOn w:val="AnnexNo"/>
    <w:next w:val="AnnexrefS2"/>
    <w:rsid w:val="00BB13FE"/>
    <w:pPr>
      <w:tabs>
        <w:tab w:val="clear" w:pos="567"/>
        <w:tab w:val="clear" w:pos="1134"/>
        <w:tab w:val="clear" w:pos="1701"/>
        <w:tab w:val="clear" w:pos="2268"/>
        <w:tab w:val="clear" w:pos="2835"/>
        <w:tab w:val="left" w:pos="851"/>
      </w:tabs>
      <w:jc w:val="left"/>
    </w:pPr>
    <w:rPr>
      <w:b/>
      <w:sz w:val="24"/>
    </w:rPr>
  </w:style>
  <w:style w:type="paragraph" w:customStyle="1" w:styleId="AnnexrefS2">
    <w:name w:val="Annex_ref_S2"/>
    <w:basedOn w:val="Anne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nnextitleS2">
    <w:name w:val="Annex_title_S2"/>
    <w:basedOn w:val="Anne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NormalS2">
    <w:name w:val="Normal_S2"/>
    <w:basedOn w:val="Normal"/>
    <w:rsid w:val="00A70E95"/>
    <w:pPr>
      <w:tabs>
        <w:tab w:val="clear" w:pos="567"/>
        <w:tab w:val="clear" w:pos="1134"/>
        <w:tab w:val="clear" w:pos="1701"/>
        <w:tab w:val="clear" w:pos="2268"/>
        <w:tab w:val="clear" w:pos="2835"/>
        <w:tab w:val="left" w:pos="851"/>
      </w:tabs>
    </w:pPr>
    <w:rPr>
      <w:b/>
    </w:rPr>
  </w:style>
  <w:style w:type="paragraph" w:customStyle="1" w:styleId="Section1">
    <w:name w:val="Section 1"/>
    <w:basedOn w:val="ChapNo"/>
    <w:next w:val="Normal"/>
    <w:rsid w:val="00A70E95"/>
    <w:rPr>
      <w:caps w:val="0"/>
    </w:rPr>
  </w:style>
  <w:style w:type="paragraph" w:customStyle="1" w:styleId="Section2">
    <w:name w:val="Section 2"/>
    <w:basedOn w:val="Section1"/>
    <w:next w:val="Normal"/>
    <w:rsid w:val="00A70E95"/>
    <w:pPr>
      <w:spacing w:before="240"/>
    </w:pPr>
    <w:rPr>
      <w:b/>
      <w:i/>
    </w:rPr>
  </w:style>
  <w:style w:type="paragraph" w:customStyle="1" w:styleId="AppendixNoS2">
    <w:name w:val="Appendix_No_S2"/>
    <w:basedOn w:val="AppendixNo"/>
    <w:next w:val="Appendixref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B13FE"/>
    <w:pPr>
      <w:tabs>
        <w:tab w:val="clear" w:pos="567"/>
        <w:tab w:val="clear" w:pos="1134"/>
        <w:tab w:val="clear" w:pos="1701"/>
        <w:tab w:val="clear" w:pos="2268"/>
        <w:tab w:val="clear" w:pos="2835"/>
        <w:tab w:val="left" w:pos="851"/>
      </w:tabs>
      <w:jc w:val="left"/>
    </w:pPr>
    <w:rPr>
      <w:b/>
      <w:sz w:val="24"/>
    </w:rPr>
  </w:style>
  <w:style w:type="paragraph" w:customStyle="1" w:styleId="AppendixtitleS2">
    <w:name w:val="Appendix_title_S2"/>
    <w:basedOn w:val="Appendix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B13FE"/>
    <w:pPr>
      <w:tabs>
        <w:tab w:val="left" w:pos="851"/>
      </w:tabs>
      <w:jc w:val="left"/>
    </w:pPr>
    <w:rPr>
      <w:b/>
      <w:sz w:val="24"/>
    </w:rPr>
  </w:style>
  <w:style w:type="paragraph" w:customStyle="1" w:styleId="ArttitleS2">
    <w:name w:val="Art_title_S2"/>
    <w:basedOn w:val="Arttitle"/>
    <w:next w:val="NormalS2"/>
    <w:rsid w:val="00BB13FE"/>
    <w:pPr>
      <w:tabs>
        <w:tab w:val="left" w:pos="851"/>
      </w:tabs>
      <w:jc w:val="left"/>
    </w:pPr>
    <w:rPr>
      <w:sz w:val="24"/>
    </w:rPr>
  </w:style>
  <w:style w:type="paragraph" w:customStyle="1" w:styleId="ChapNoS2">
    <w:name w:val="Chap_No_S2"/>
    <w:basedOn w:val="ChapNo"/>
    <w:next w:val="ChaptitleS2"/>
    <w:rsid w:val="004A63A9"/>
    <w:pPr>
      <w:tabs>
        <w:tab w:val="left" w:pos="851"/>
      </w:tabs>
      <w:jc w:val="left"/>
    </w:pPr>
    <w:rPr>
      <w:b/>
      <w:sz w:val="24"/>
    </w:rPr>
  </w:style>
  <w:style w:type="paragraph" w:customStyle="1" w:styleId="ChaptitleS2">
    <w:name w:val="Chap_title_S2"/>
    <w:basedOn w:val="Chaptitle"/>
    <w:next w:val="NormalS2"/>
    <w:rsid w:val="00BB13FE"/>
    <w:pPr>
      <w:tabs>
        <w:tab w:val="left" w:pos="851"/>
      </w:tabs>
      <w:jc w:val="left"/>
    </w:pPr>
    <w:rPr>
      <w:sz w:val="24"/>
    </w:rPr>
  </w:style>
  <w:style w:type="paragraph" w:customStyle="1" w:styleId="enumlev1S2">
    <w:name w:val="enumlev1_S2"/>
    <w:basedOn w:val="enumlev1"/>
    <w:rsid w:val="00A70E95"/>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70E95"/>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70E95"/>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70E95"/>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B13FE"/>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70E95"/>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B13FE"/>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70E95"/>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70E95"/>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70E95"/>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70E95"/>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70E95"/>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70E95"/>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70E95"/>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70E95"/>
    <w:pPr>
      <w:tabs>
        <w:tab w:val="clear" w:pos="567"/>
        <w:tab w:val="clear" w:pos="1134"/>
        <w:tab w:val="clear" w:pos="1701"/>
        <w:tab w:val="clear" w:pos="2268"/>
        <w:tab w:val="clear" w:pos="2835"/>
        <w:tab w:val="left" w:pos="851"/>
      </w:tabs>
      <w:ind w:left="0"/>
    </w:pPr>
    <w:rPr>
      <w:b/>
    </w:rPr>
  </w:style>
  <w:style w:type="paragraph" w:customStyle="1" w:styleId="ReasonsS2">
    <w:name w:val="Reasons_S2"/>
    <w:basedOn w:val="Reasons"/>
    <w:rsid w:val="00A70E95"/>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B13FE"/>
    <w:pPr>
      <w:tabs>
        <w:tab w:val="clear" w:pos="567"/>
        <w:tab w:val="clear" w:pos="1134"/>
        <w:tab w:val="clear" w:pos="1701"/>
        <w:tab w:val="clear" w:pos="2268"/>
        <w:tab w:val="clear" w:pos="2835"/>
        <w:tab w:val="left" w:pos="851"/>
      </w:tabs>
      <w:jc w:val="left"/>
    </w:pPr>
    <w:rPr>
      <w:caps/>
      <w:sz w:val="24"/>
    </w:rPr>
  </w:style>
  <w:style w:type="paragraph" w:customStyle="1" w:styleId="ReftextS2">
    <w:name w:val="Ref_text_S2"/>
    <w:basedOn w:val="Reftext"/>
    <w:rsid w:val="00A70E95"/>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B13F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B13FE"/>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B13FE"/>
    <w:pPr>
      <w:tabs>
        <w:tab w:val="left" w:pos="851"/>
      </w:tabs>
      <w:jc w:val="left"/>
    </w:pPr>
    <w:rPr>
      <w:caps/>
      <w:sz w:val="24"/>
    </w:rPr>
  </w:style>
  <w:style w:type="paragraph" w:customStyle="1" w:styleId="Section2S2">
    <w:name w:val="Section 2_S2"/>
    <w:basedOn w:val="Section2"/>
    <w:next w:val="NormalS2"/>
    <w:rsid w:val="004A63A9"/>
    <w:pPr>
      <w:tabs>
        <w:tab w:val="left" w:pos="851"/>
      </w:tabs>
      <w:jc w:val="left"/>
    </w:pPr>
    <w:rPr>
      <w:sz w:val="24"/>
    </w:rPr>
  </w:style>
  <w:style w:type="paragraph" w:customStyle="1" w:styleId="TableNoS2">
    <w:name w:val="Table_No_S2"/>
    <w:basedOn w:val="TableNo"/>
    <w:next w:val="TabletitleS2"/>
    <w:rsid w:val="00A70E95"/>
    <w:pPr>
      <w:keepNext w:val="0"/>
      <w:tabs>
        <w:tab w:val="clear" w:pos="567"/>
        <w:tab w:val="clear" w:pos="1134"/>
        <w:tab w:val="clear" w:pos="1701"/>
        <w:tab w:val="clear" w:pos="2268"/>
        <w:tab w:val="clear" w:pos="2835"/>
        <w:tab w:val="left" w:pos="851"/>
      </w:tabs>
      <w:jc w:val="left"/>
    </w:pPr>
    <w:rPr>
      <w:b/>
    </w:rPr>
  </w:style>
  <w:style w:type="paragraph" w:customStyle="1" w:styleId="TabletitleS2">
    <w:name w:val="Table_title_S2"/>
    <w:basedOn w:val="Tabletitle"/>
    <w:next w:val="TabletextS2"/>
    <w:rsid w:val="00A70E95"/>
    <w:pPr>
      <w:keepNext w:val="0"/>
      <w:tabs>
        <w:tab w:val="clear" w:pos="2948"/>
        <w:tab w:val="clear" w:pos="4082"/>
        <w:tab w:val="left" w:pos="851"/>
      </w:tabs>
      <w:jc w:val="left"/>
    </w:pPr>
  </w:style>
  <w:style w:type="paragraph" w:customStyle="1" w:styleId="TabletextS2">
    <w:name w:val="Table_text_S2"/>
    <w:basedOn w:val="Tabletext"/>
    <w:rsid w:val="00A70E95"/>
    <w:pPr>
      <w:tabs>
        <w:tab w:val="left" w:pos="851"/>
      </w:tabs>
    </w:pPr>
    <w:rPr>
      <w:b/>
    </w:rPr>
  </w:style>
  <w:style w:type="paragraph" w:customStyle="1" w:styleId="TablelegendS2">
    <w:name w:val="Table_legend_S2"/>
    <w:basedOn w:val="Tablelegend"/>
    <w:rsid w:val="00A70E95"/>
    <w:pPr>
      <w:tabs>
        <w:tab w:val="left" w:pos="851"/>
      </w:tabs>
      <w:spacing w:after="0"/>
    </w:pPr>
    <w:rPr>
      <w:b/>
    </w:rPr>
  </w:style>
  <w:style w:type="paragraph" w:customStyle="1" w:styleId="FooterS2">
    <w:name w:val="Footer_S2"/>
    <w:basedOn w:val="Footer"/>
    <w:rsid w:val="00A70E95"/>
    <w:pPr>
      <w:tabs>
        <w:tab w:val="clear" w:pos="5954"/>
        <w:tab w:val="clear" w:pos="9639"/>
        <w:tab w:val="left" w:pos="3686"/>
        <w:tab w:val="right" w:pos="7655"/>
      </w:tabs>
      <w:ind w:left="-1985"/>
    </w:pPr>
  </w:style>
  <w:style w:type="paragraph" w:customStyle="1" w:styleId="HeaderS2">
    <w:name w:val="Header_S2"/>
    <w:basedOn w:val="Normal"/>
    <w:rsid w:val="00A70E95"/>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70E95"/>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70E95"/>
    <w:pPr>
      <w:tabs>
        <w:tab w:val="left" w:pos="851"/>
      </w:tabs>
      <w:jc w:val="left"/>
    </w:pPr>
  </w:style>
  <w:style w:type="paragraph" w:customStyle="1" w:styleId="NoteS2">
    <w:name w:val="Note_S2"/>
    <w:basedOn w:val="Note"/>
    <w:rsid w:val="00A70E95"/>
    <w:pPr>
      <w:tabs>
        <w:tab w:val="clear" w:pos="1134"/>
        <w:tab w:val="clear" w:pos="1701"/>
        <w:tab w:val="clear" w:pos="2268"/>
        <w:tab w:val="clear" w:pos="2835"/>
      </w:tabs>
    </w:pPr>
    <w:rPr>
      <w:b/>
    </w:rPr>
  </w:style>
  <w:style w:type="paragraph" w:styleId="Date">
    <w:name w:val="Date"/>
    <w:basedOn w:val="Normal"/>
    <w:rsid w:val="00A70E95"/>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paragraph" w:customStyle="1" w:styleId="HeadingbS2">
    <w:name w:val="Headingb_S2"/>
    <w:basedOn w:val="Headingb"/>
    <w:next w:val="NormalS2"/>
    <w:rsid w:val="00A70E95"/>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70E95"/>
    <w:pPr>
      <w:spacing w:before="160"/>
      <w:outlineLvl w:val="0"/>
    </w:pPr>
  </w:style>
  <w:style w:type="paragraph" w:customStyle="1" w:styleId="HeadingiS2">
    <w:name w:val="Headingi_S2"/>
    <w:basedOn w:val="Headingi"/>
    <w:next w:val="NormalS2"/>
    <w:rsid w:val="00A70E95"/>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4A63A9"/>
    <w:pPr>
      <w:spacing w:before="160"/>
      <w:outlineLvl w:val="0"/>
    </w:pPr>
    <w:rPr>
      <w:b w:val="0"/>
      <w:i/>
    </w:rPr>
  </w:style>
  <w:style w:type="paragraph" w:customStyle="1" w:styleId="FirstFooter">
    <w:name w:val="FirstFooter"/>
    <w:basedOn w:val="Footer"/>
    <w:rsid w:val="00A70E95"/>
    <w:rPr>
      <w:caps w:val="0"/>
    </w:rPr>
  </w:style>
  <w:style w:type="paragraph" w:styleId="TOC9">
    <w:name w:val="toc 9"/>
    <w:basedOn w:val="Normal"/>
    <w:next w:val="Normal"/>
    <w:rsid w:val="00A70E95"/>
    <w:pPr>
      <w:tabs>
        <w:tab w:val="clear" w:pos="567"/>
        <w:tab w:val="clear" w:pos="1134"/>
        <w:tab w:val="clear" w:pos="1701"/>
        <w:tab w:val="clear" w:pos="2268"/>
        <w:tab w:val="clear" w:pos="2835"/>
        <w:tab w:val="right" w:leader="dot" w:pos="9645"/>
      </w:tabs>
      <w:ind w:left="1920"/>
    </w:pPr>
  </w:style>
  <w:style w:type="paragraph" w:customStyle="1" w:styleId="Heading1c">
    <w:name w:val="Heading 1c"/>
    <w:basedOn w:val="Heading1"/>
    <w:next w:val="Normal"/>
    <w:rsid w:val="000863AB"/>
    <w:pPr>
      <w:ind w:left="0" w:firstLine="0"/>
      <w:jc w:val="center"/>
      <w:outlineLvl w:val="9"/>
    </w:pPr>
  </w:style>
  <w:style w:type="paragraph" w:customStyle="1" w:styleId="Heading1cS2">
    <w:name w:val="Heading 1c_S2"/>
    <w:basedOn w:val="Heading1c"/>
    <w:next w:val="NormalS2"/>
    <w:rsid w:val="00BB13FE"/>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4A63A9"/>
    <w:rPr>
      <w:b w:val="0"/>
      <w:i/>
    </w:rPr>
  </w:style>
  <w:style w:type="paragraph" w:customStyle="1" w:styleId="Heading2iS2">
    <w:name w:val="Heading 2i_S2"/>
    <w:basedOn w:val="Heading2i"/>
    <w:next w:val="NormalS2"/>
    <w:rsid w:val="00A70E95"/>
    <w:pPr>
      <w:tabs>
        <w:tab w:val="clear" w:pos="567"/>
        <w:tab w:val="clear" w:pos="1134"/>
        <w:tab w:val="clear" w:pos="1701"/>
        <w:tab w:val="clear" w:pos="2268"/>
        <w:tab w:val="clear" w:pos="2835"/>
        <w:tab w:val="left" w:pos="851"/>
      </w:tabs>
    </w:pPr>
    <w:rPr>
      <w:b/>
      <w:i w:val="0"/>
    </w:rPr>
  </w:style>
  <w:style w:type="character" w:styleId="PageNumber">
    <w:name w:val="page number"/>
    <w:basedOn w:val="DefaultParagraphFont"/>
    <w:rsid w:val="004A63A9"/>
    <w:rPr>
      <w:rFonts w:ascii="Calibri" w:hAnsi="Calibri"/>
    </w:rPr>
  </w:style>
  <w:style w:type="character" w:styleId="Hyperlink">
    <w:name w:val="Hyperlink"/>
    <w:basedOn w:val="DefaultParagraphFont"/>
    <w:uiPriority w:val="99"/>
    <w:rsid w:val="000863AB"/>
    <w:rPr>
      <w:rFonts w:ascii="Calibri" w:hAnsi="Calibri"/>
      <w:color w:val="0000FF"/>
      <w:u w:val="single"/>
    </w:rPr>
  </w:style>
  <w:style w:type="paragraph" w:customStyle="1" w:styleId="Head">
    <w:name w:val="Head"/>
    <w:basedOn w:val="Normal"/>
    <w:rsid w:val="00A70E95"/>
    <w:pPr>
      <w:tabs>
        <w:tab w:val="clear" w:pos="567"/>
        <w:tab w:val="clear" w:pos="1134"/>
        <w:tab w:val="clear" w:pos="1701"/>
        <w:tab w:val="clear" w:pos="2268"/>
        <w:tab w:val="clear" w:pos="2835"/>
      </w:tabs>
      <w:spacing w:before="0"/>
    </w:pPr>
  </w:style>
  <w:style w:type="paragraph" w:customStyle="1" w:styleId="Heading1pv">
    <w:name w:val="Heading 1pv"/>
    <w:basedOn w:val="Heading1"/>
    <w:next w:val="Normalpv"/>
    <w:rsid w:val="00A70E95"/>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Normalpv">
    <w:name w:val="Normal pv"/>
    <w:basedOn w:val="Normal"/>
    <w:rsid w:val="00A70E95"/>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2pv">
    <w:name w:val="Heading 2pv"/>
    <w:basedOn w:val="Heading1pv"/>
    <w:next w:val="Normalpv"/>
    <w:rsid w:val="00A70E95"/>
    <w:pPr>
      <w:spacing w:before="320"/>
      <w:outlineLvl w:val="1"/>
    </w:pPr>
  </w:style>
  <w:style w:type="paragraph" w:customStyle="1" w:styleId="Heading3pv">
    <w:name w:val="Heading 3pv"/>
    <w:basedOn w:val="Heading1pv"/>
    <w:next w:val="Normalpv"/>
    <w:rsid w:val="00A70E95"/>
    <w:pPr>
      <w:spacing w:before="200"/>
      <w:outlineLvl w:val="2"/>
    </w:pPr>
  </w:style>
  <w:style w:type="paragraph" w:customStyle="1" w:styleId="NormalendS2">
    <w:name w:val="Normal_end_S2"/>
    <w:basedOn w:val="Normal"/>
    <w:qFormat/>
    <w:rsid w:val="00F80E6E"/>
    <w:pPr>
      <w:tabs>
        <w:tab w:val="clear" w:pos="567"/>
        <w:tab w:val="clear" w:pos="1134"/>
        <w:tab w:val="clear" w:pos="1701"/>
        <w:tab w:val="clear" w:pos="2268"/>
        <w:tab w:val="clear" w:pos="2835"/>
      </w:tabs>
      <w:overflowPunct/>
      <w:autoSpaceDE/>
      <w:autoSpaceDN/>
      <w:adjustRightInd/>
      <w:spacing w:before="0"/>
      <w:textAlignment w:val="auto"/>
    </w:pPr>
  </w:style>
  <w:style w:type="paragraph" w:customStyle="1" w:styleId="Dectitle">
    <w:name w:val="Dec_title"/>
    <w:basedOn w:val="Rectitle"/>
    <w:next w:val="Normalaftertitle"/>
    <w:qFormat/>
    <w:rsid w:val="009A1A86"/>
  </w:style>
  <w:style w:type="paragraph" w:customStyle="1" w:styleId="DecNo">
    <w:name w:val="Dec_No"/>
    <w:basedOn w:val="RecNo"/>
    <w:next w:val="Dectitle"/>
    <w:qFormat/>
    <w:rsid w:val="009A1A86"/>
  </w:style>
  <w:style w:type="paragraph" w:customStyle="1" w:styleId="DectitleS2">
    <w:name w:val="Dec_title_S2"/>
    <w:basedOn w:val="RestitleS2"/>
    <w:next w:val="Normal"/>
    <w:qFormat/>
    <w:rsid w:val="009A1A86"/>
  </w:style>
  <w:style w:type="paragraph" w:customStyle="1" w:styleId="DecNoS2">
    <w:name w:val="Dec_No_S2"/>
    <w:basedOn w:val="ResNoS2"/>
    <w:next w:val="DectitleS2"/>
    <w:qFormat/>
    <w:rsid w:val="009A1A86"/>
  </w:style>
  <w:style w:type="paragraph" w:customStyle="1" w:styleId="SectionNo">
    <w:name w:val="Section_No"/>
    <w:basedOn w:val="ArtNo"/>
    <w:next w:val="Normal"/>
    <w:qFormat/>
    <w:rsid w:val="00CD20D9"/>
    <w:rPr>
      <w:lang w:val="en-GB"/>
    </w:rPr>
  </w:style>
  <w:style w:type="paragraph" w:customStyle="1" w:styleId="SectionNoS2">
    <w:name w:val="Section_No_S2"/>
    <w:basedOn w:val="ArtNoS2"/>
    <w:next w:val="Normal"/>
    <w:qFormat/>
    <w:rsid w:val="00CD20D9"/>
    <w:rPr>
      <w:lang w:val="en-GB"/>
    </w:rPr>
  </w:style>
  <w:style w:type="paragraph" w:customStyle="1" w:styleId="Sectiontitle">
    <w:name w:val="Section_title"/>
    <w:basedOn w:val="Arttitle"/>
    <w:next w:val="Normalaftertitle"/>
    <w:qFormat/>
    <w:rsid w:val="00CD20D9"/>
    <w:rPr>
      <w:lang w:val="en-GB"/>
    </w:rPr>
  </w:style>
  <w:style w:type="paragraph" w:customStyle="1" w:styleId="SectiontitleS2">
    <w:name w:val="Section_title_S2"/>
    <w:basedOn w:val="ArttitleS2"/>
    <w:next w:val="Normal"/>
    <w:qFormat/>
    <w:rsid w:val="00CD20D9"/>
    <w:rPr>
      <w:lang w:val="en-GB"/>
    </w:rPr>
  </w:style>
  <w:style w:type="paragraph" w:customStyle="1" w:styleId="firstfooter0">
    <w:name w:val="firstfooter"/>
    <w:basedOn w:val="Normal"/>
    <w:rsid w:val="004B07DB"/>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Agendaitem">
    <w:name w:val="Agenda_item"/>
    <w:basedOn w:val="Normal"/>
    <w:next w:val="Normal"/>
    <w:qFormat/>
    <w:rsid w:val="00255FA1"/>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rPr>
  </w:style>
  <w:style w:type="paragraph" w:customStyle="1" w:styleId="Committee">
    <w:name w:val="Committee"/>
    <w:basedOn w:val="Normal"/>
    <w:qFormat/>
    <w:rsid w:val="00255FA1"/>
    <w:pPr>
      <w:framePr w:hSpace="180" w:wrap="around" w:hAnchor="margin" w:y="-675"/>
      <w:tabs>
        <w:tab w:val="clear" w:pos="567"/>
        <w:tab w:val="clear" w:pos="1701"/>
        <w:tab w:val="clear" w:pos="2835"/>
        <w:tab w:val="left" w:pos="1871"/>
      </w:tabs>
      <w:spacing w:before="0" w:after="48" w:line="240" w:lineRule="atLeast"/>
    </w:pPr>
    <w:rPr>
      <w:rFonts w:asciiTheme="minorHAnsi" w:hAnsiTheme="minorHAnsi" w:cstheme="minorHAnsi"/>
      <w:b/>
      <w:smallCaps/>
      <w:szCs w:val="24"/>
      <w:lang w:val="en-US"/>
    </w:rPr>
  </w:style>
  <w:style w:type="character" w:customStyle="1" w:styleId="HeaderChar">
    <w:name w:val="Header Char"/>
    <w:basedOn w:val="DefaultParagraphFont"/>
    <w:link w:val="Header"/>
    <w:rsid w:val="00255FA1"/>
    <w:rPr>
      <w:rFonts w:ascii="Calibri" w:hAnsi="Calibri"/>
      <w:sz w:val="18"/>
      <w:lang w:val="es-ES_tradnl" w:eastAsia="en-US"/>
    </w:rPr>
  </w:style>
  <w:style w:type="paragraph" w:customStyle="1" w:styleId="Proposal">
    <w:name w:val="Proposal"/>
    <w:basedOn w:val="Normal"/>
    <w:next w:val="Normal"/>
    <w:rsid w:val="003D0027"/>
    <w:pPr>
      <w:keepNext/>
      <w:tabs>
        <w:tab w:val="clear" w:pos="567"/>
        <w:tab w:val="clear" w:pos="1701"/>
        <w:tab w:val="clear" w:pos="2268"/>
        <w:tab w:val="clear" w:pos="2835"/>
      </w:tabs>
      <w:spacing w:before="240"/>
    </w:pPr>
    <w:rPr>
      <w:rFonts w:asciiTheme="minorHAnsi" w:hAnsi="Times New Roman Bold"/>
      <w:b/>
      <w:lang w:val="en-GB"/>
    </w:rPr>
  </w:style>
  <w:style w:type="paragraph" w:styleId="BalloonText">
    <w:name w:val="Balloon Text"/>
    <w:basedOn w:val="Normal"/>
    <w:link w:val="BalloonTextChar"/>
    <w:semiHidden/>
    <w:unhideWhenUsed/>
    <w:rsid w:val="00AD400E"/>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D400E"/>
    <w:rPr>
      <w:rFonts w:ascii="Tahoma" w:hAnsi="Tahoma" w:cs="Tahoma"/>
      <w:sz w:val="16"/>
      <w:szCs w:val="16"/>
      <w:lang w:val="es-ES_tradnl" w:eastAsia="en-US"/>
    </w:rPr>
  </w:style>
  <w:style w:type="paragraph" w:customStyle="1" w:styleId="OP">
    <w:name w:val="OP"/>
    <w:basedOn w:val="Normal"/>
    <w:next w:val="Normal"/>
    <w:qFormat/>
    <w:rsid w:val="00504FD4"/>
    <w:pPr>
      <w:tabs>
        <w:tab w:val="clear" w:pos="1134"/>
        <w:tab w:val="clear" w:pos="2268"/>
        <w:tab w:val="right" w:pos="567"/>
        <w:tab w:val="left" w:pos="794"/>
        <w:tab w:val="left" w:pos="1191"/>
        <w:tab w:val="left" w:pos="1588"/>
        <w:tab w:val="left" w:pos="1985"/>
      </w:tabs>
      <w:spacing w:before="1200" w:after="240" w:line="480" w:lineRule="atLeast"/>
      <w:jc w:val="center"/>
    </w:pPr>
    <w:rPr>
      <w:b/>
      <w:sz w:val="32"/>
      <w:lang w:val="en-GB"/>
    </w:rPr>
  </w:style>
  <w:style w:type="paragraph" w:customStyle="1" w:styleId="OPtitle">
    <w:name w:val="OP_title"/>
    <w:basedOn w:val="Normal"/>
    <w:next w:val="Normalaftertitle"/>
    <w:qFormat/>
    <w:rsid w:val="00504FD4"/>
    <w:pPr>
      <w:jc w:val="center"/>
    </w:pPr>
    <w:rPr>
      <w:b/>
      <w:bCs/>
      <w:lang w:val="en-GB"/>
    </w:rPr>
  </w:style>
  <w:style w:type="paragraph" w:customStyle="1" w:styleId="VolumeTitle">
    <w:name w:val="VolumeTitle"/>
    <w:basedOn w:val="Normal"/>
    <w:next w:val="Normal"/>
    <w:rsid w:val="004B09D4"/>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504FD4"/>
  </w:style>
  <w:style w:type="character" w:styleId="UnresolvedMention">
    <w:name w:val="Unresolved Mention"/>
    <w:basedOn w:val="DefaultParagraphFont"/>
    <w:uiPriority w:val="99"/>
    <w:semiHidden/>
    <w:unhideWhenUsed/>
    <w:rsid w:val="003B5DC9"/>
    <w:rPr>
      <w:color w:val="605E5C"/>
      <w:shd w:val="clear" w:color="auto" w:fill="E1DFDD"/>
    </w:rPr>
  </w:style>
  <w:style w:type="character" w:styleId="FollowedHyperlink">
    <w:name w:val="FollowedHyperlink"/>
    <w:basedOn w:val="DefaultParagraphFont"/>
    <w:semiHidden/>
    <w:unhideWhenUsed/>
    <w:rsid w:val="00057402"/>
    <w:rPr>
      <w:color w:val="800080" w:themeColor="followedHyperlink"/>
      <w:u w:val="single"/>
    </w:rPr>
  </w:style>
  <w:style w:type="character" w:styleId="PlaceholderText">
    <w:name w:val="Placeholder Text"/>
    <w:basedOn w:val="DefaultParagraphFont"/>
    <w:uiPriority w:val="99"/>
    <w:semiHidden/>
    <w:rsid w:val="00DB336C"/>
    <w:rPr>
      <w:color w:val="666666"/>
    </w:rPr>
  </w:style>
  <w:style w:type="paragraph" w:customStyle="1" w:styleId="OpNo">
    <w:name w:val="Op_No"/>
    <w:basedOn w:val="ResNo"/>
    <w:rsid w:val="00531F67"/>
    <w:rPr>
      <w:lang w:val="en-GB"/>
    </w:rPr>
  </w:style>
  <w:style w:type="paragraph" w:customStyle="1" w:styleId="Optitle0">
    <w:name w:val="Op_title"/>
    <w:basedOn w:val="Restitle"/>
    <w:rsid w:val="00531F67"/>
    <w:rPr>
      <w:rFonts w:eastAsia="Calibri"/>
      <w:lang w:val="en-GB"/>
    </w:rPr>
  </w:style>
  <w:style w:type="paragraph" w:styleId="Revision">
    <w:name w:val="Revision"/>
    <w:hidden/>
    <w:uiPriority w:val="99"/>
    <w:semiHidden/>
    <w:rsid w:val="00E40418"/>
    <w:rPr>
      <w:rFonts w:ascii="Calibri" w:hAnsi="Calibri"/>
      <w:sz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S%20-%20ITU\GS\PS_WTPF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PS_WTPF26.dotx</Template>
  <TotalTime>2</TotalTime>
  <Pages>6</Pages>
  <Words>2646</Words>
  <Characters>15086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ITU</Company>
  <LinksUpToDate>false</LinksUpToDate>
  <CharactersWithSpaces>17697</CharactersWithSpaces>
  <SharedDoc>false</SharedDoc>
  <HyperlinkBase/>
  <HLinks>
    <vt:vector size="6" baseType="variant">
      <vt:variant>
        <vt:i4>4194374</vt:i4>
      </vt:variant>
      <vt:variant>
        <vt:i4>12</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Opinión 3 - La resiliencia de las telecomunicaciones/TIC</dc:title>
  <dc:subject>World telecommunication/information and communication technology policy forum</dc:subject>
  <cp:keywords>WTPF, WTPF-26</cp:keywords>
  <dc:description/>
  <dcterms:created xsi:type="dcterms:W3CDTF">2026-08-20T15:18:00Z</dcterms:created>
  <dcterms:modified xsi:type="dcterms:W3CDTF">2026-08-20T15:19:00Z</dcterms:modified>
  <cp:category>Conference document</cp:category>
</cp:coreProperties>
</file>