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9B79EE" w14:paraId="1272B5DE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01180B36" w14:textId="77777777" w:rsidR="00A27A55" w:rsidRPr="009B79EE" w:rsidRDefault="003B04FF" w:rsidP="000D42F6">
            <w:pPr>
              <w:spacing w:before="0"/>
              <w:rPr>
                <w:lang w:val="ru-RU"/>
              </w:rPr>
            </w:pPr>
            <w:r w:rsidRPr="009B79EE">
              <w:rPr>
                <w:noProof/>
                <w:lang w:val="ru-RU"/>
              </w:rPr>
              <w:drawing>
                <wp:inline distT="0" distB="0" distL="0" distR="0" wp14:anchorId="1787A973" wp14:editId="4A7C566D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9B79EE" w14:paraId="02CD4EBE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5B7AF4F" w14:textId="77777777" w:rsidR="00B1156A" w:rsidRPr="009B79EE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9B79EE" w14:paraId="47E57F8F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19529383" w14:textId="77777777" w:rsidR="00F96AB4" w:rsidRPr="009B79EE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0FF1BCD2" w14:textId="77777777" w:rsidR="00F96AB4" w:rsidRPr="009B79EE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9B79EE" w14:paraId="40C64784" w14:textId="77777777" w:rsidTr="0087080B">
        <w:trPr>
          <w:cantSplit/>
          <w:jc w:val="center"/>
        </w:trPr>
        <w:tc>
          <w:tcPr>
            <w:tcW w:w="7229" w:type="dxa"/>
          </w:tcPr>
          <w:p w14:paraId="4A5B5E6D" w14:textId="77777777" w:rsidR="00F96AB4" w:rsidRPr="009B79EE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2E424E65" w14:textId="65C8F9D2" w:rsidR="00F96AB4" w:rsidRPr="009B79EE" w:rsidRDefault="00F96AB4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</w:p>
        </w:tc>
      </w:tr>
      <w:tr w:rsidR="00F96AB4" w:rsidRPr="009B79EE" w14:paraId="0BCD0A74" w14:textId="77777777" w:rsidTr="0087080B">
        <w:trPr>
          <w:cantSplit/>
          <w:jc w:val="center"/>
        </w:trPr>
        <w:tc>
          <w:tcPr>
            <w:tcW w:w="7229" w:type="dxa"/>
          </w:tcPr>
          <w:p w14:paraId="11B27018" w14:textId="77777777" w:rsidR="00F96AB4" w:rsidRPr="009B79EE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582F3BB" w14:textId="2611B6F4" w:rsidR="00F96AB4" w:rsidRPr="009B79EE" w:rsidRDefault="009B79EE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9B79EE">
              <w:rPr>
                <w:rFonts w:cstheme="minorHAnsi"/>
                <w:b/>
                <w:bCs/>
                <w:szCs w:val="28"/>
                <w:lang w:val="ru-RU"/>
              </w:rPr>
              <w:t>29 апреля 2026</w:t>
            </w:r>
            <w:r w:rsidR="00F96AB4" w:rsidRPr="009B79EE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9B79EE" w14:paraId="35FD40D3" w14:textId="77777777" w:rsidTr="0087080B">
        <w:trPr>
          <w:cantSplit/>
          <w:jc w:val="center"/>
        </w:trPr>
        <w:tc>
          <w:tcPr>
            <w:tcW w:w="7229" w:type="dxa"/>
          </w:tcPr>
          <w:p w14:paraId="5416BC7C" w14:textId="77777777" w:rsidR="00F96AB4" w:rsidRPr="009B79EE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749D1AB" w14:textId="77777777" w:rsidR="00F96AB4" w:rsidRPr="009B79EE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9B79EE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9B79EE" w14:paraId="2C5777AD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FAC9EDE" w14:textId="77777777" w:rsidR="00F96AB4" w:rsidRPr="009B79EE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</w:tbl>
    <w:p w14:paraId="403667A9" w14:textId="77777777" w:rsidR="009B79EE" w:rsidRPr="009B79EE" w:rsidRDefault="009B79EE" w:rsidP="009B79EE">
      <w:pPr>
        <w:pStyle w:val="OpNo"/>
      </w:pPr>
      <w:r w:rsidRPr="009B79EE">
        <w:t>ПРОЕКТ МНЕНИЯ 3</w:t>
      </w:r>
    </w:p>
    <w:p w14:paraId="02339BD6" w14:textId="77777777" w:rsidR="009B79EE" w:rsidRPr="009B79EE" w:rsidRDefault="009B79EE" w:rsidP="009B79EE">
      <w:pPr>
        <w:pStyle w:val="Optitle0"/>
      </w:pPr>
      <w:r w:rsidRPr="009B79EE">
        <w:t>Способность к восстановлению систем электросвязи/ИКТ</w:t>
      </w:r>
    </w:p>
    <w:p w14:paraId="10EE0144" w14:textId="77777777" w:rsidR="009B79EE" w:rsidRPr="009B79EE" w:rsidRDefault="009B79EE" w:rsidP="009B79EE">
      <w:pPr>
        <w:pStyle w:val="Normalaftertitle"/>
        <w:jc w:val="both"/>
        <w:rPr>
          <w:rFonts w:asciiTheme="minorHAnsi" w:hAnsiTheme="minorHAnsi" w:cstheme="minorHAnsi"/>
          <w:szCs w:val="24"/>
          <w:lang w:val="ru-RU"/>
        </w:rPr>
      </w:pPr>
      <w:r w:rsidRPr="009B79EE">
        <w:rPr>
          <w:rFonts w:asciiTheme="minorHAnsi" w:eastAsia="SimSun" w:hAnsiTheme="minorHAnsi" w:cstheme="minorHAnsi"/>
          <w:szCs w:val="24"/>
          <w:lang w:val="ru-RU"/>
        </w:rPr>
        <w:t>Седьмой Всемирный форум по политике в области электросвязи/ИКТ (Нассау, 2026 г.),</w:t>
      </w:r>
    </w:p>
    <w:p w14:paraId="15B33ABE" w14:textId="77777777" w:rsidR="009B79EE" w:rsidRPr="009B79EE" w:rsidRDefault="009B79EE" w:rsidP="009B79EE">
      <w:pPr>
        <w:pStyle w:val="Call"/>
        <w:rPr>
          <w:lang w:val="ru-RU"/>
        </w:rPr>
      </w:pPr>
      <w:r w:rsidRPr="009B79EE">
        <w:rPr>
          <w:lang w:val="ru-RU"/>
        </w:rPr>
        <w:t>напоминая</w:t>
      </w:r>
    </w:p>
    <w:p w14:paraId="17E13583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a)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 xml:space="preserve">о резолюции 79/1 Генеральной Ассамблеи Организации Объединенных Наций (ГА ООН) о Пакте во имя будущего; </w:t>
      </w:r>
    </w:p>
    <w:p w14:paraId="35CE95B1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b)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о резолюции 70/1 ГА ООН о преобразовании нашего мира: Повестка дня в области устойчивого развития на период до 2030 года, в частности о Целях в области устойчивого развития 12 об обеспечении перехода к рациональным моделям потребления и производства и 13</w:t>
      </w:r>
      <w:r w:rsidRPr="009B79EE">
        <w:rPr>
          <w:lang w:val="ru-RU"/>
        </w:rPr>
        <w:t xml:space="preserve"> о п</w:t>
      </w:r>
      <w:r w:rsidRPr="009B79EE">
        <w:rPr>
          <w:rFonts w:eastAsiaTheme="minorEastAsia"/>
          <w:lang w:val="ru-RU" w:eastAsia="zh-CN"/>
        </w:rPr>
        <w:t xml:space="preserve">ринятии срочных мер по борьбе с изменением климата и его последствиями; </w:t>
      </w:r>
    </w:p>
    <w:p w14:paraId="51517C7E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c)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 xml:space="preserve">о резолюции </w:t>
      </w:r>
      <w:r w:rsidRPr="009B79EE">
        <w:rPr>
          <w:lang w:val="ru-RU"/>
        </w:rPr>
        <w:t>80/173 ГА ООН об итоговом документе совещания высокого уровня, посвященного общему обзору хода осуществления решений Всемирной встречи на высшем уровне по вопросам информационного общества (ВВУИО+20)</w:t>
      </w:r>
      <w:r w:rsidRPr="009B79EE">
        <w:rPr>
          <w:rFonts w:eastAsiaTheme="minorEastAsia"/>
          <w:lang w:val="ru-RU" w:eastAsia="zh-CN"/>
        </w:rPr>
        <w:t>;</w:t>
      </w:r>
    </w:p>
    <w:p w14:paraId="3E21DBC5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d)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 xml:space="preserve">о Резолюции 130 (Пересм. Бухарест, 2022 г.) Полномочной конференции об усилении роли МСЭ в укреплении доверия и безопасности при использовании информационно-коммуникационных технологий (ИКТ); </w:t>
      </w:r>
    </w:p>
    <w:p w14:paraId="33F8E0EB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e)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 xml:space="preserve">о Резолюции 136 (Пересм. Бухарест, 2022 г.) Полномочной конференции об использовании электросвязи/ИКТ для оказания гуманитарной помощи, а также в целях мониторинга и управления в чрезвычайных ситуациях и в случаях бедствий, включая чрезвычайные ситуации в сфере здравоохранения, для их раннего предупреждения, предотвращения, смягчения их последствий и оказания помощи; </w:t>
      </w:r>
    </w:p>
    <w:p w14:paraId="6DD974BB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f)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 xml:space="preserve">о Резолюции 139 (Пересм. Бухарест, 2022 г.) Полномочной конференции об использовании электросвязи/ИКТ для преодоления цифрового разрыва и построения открытого для всех информационного общества; </w:t>
      </w:r>
    </w:p>
    <w:p w14:paraId="4A601036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g)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 xml:space="preserve">о Резолюции 182 (Пересм. Бухарест, 2022 г.) Полномочной конференции о роли электросвязи/ИКТ в изменении климата и охране окружающей среды; </w:t>
      </w:r>
    </w:p>
    <w:p w14:paraId="625ABF35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h)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 xml:space="preserve">о Резолюции 200 (Пересм. Бухарест, 2022 г.) Полномочной конференции о повестке дня "Соединим к 2030 году" в области глобального развития электросвязи/информационно-коммуникационных технологий, включая широкополосную связь, для обеспечения устойчивого развития; </w:t>
      </w:r>
    </w:p>
    <w:p w14:paraId="4E663B0E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i)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о Резолюции 11 (Пересм. Баку, 2025 г.) Всемирной конференции по развитию электросвязи (ВКРЭ) об услугах электросвязи/ИКТ в сельских, изолированных, необслуживаемых и в недостаточной степени обслуживаемых районах;</w:t>
      </w:r>
    </w:p>
    <w:p w14:paraId="42F46A04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lastRenderedPageBreak/>
        <w:t>j)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о Резолюции 34 (Пересм. Баку, 2025 г.) ВКРЭ о роли электросвязи/ИКТ в обеспечении готовности к бедствиям, раннем предупреждении, спасании, смягчении последствий бедствий, оказании помощи при бедствиях и мерах реагирования;</w:t>
      </w:r>
    </w:p>
    <w:p w14:paraId="359404CE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k)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о Резолюции 37 (Пересм. Баку, 2025 г.) ВКРЭ о преодолении цифрового разрыва;</w:t>
      </w:r>
    </w:p>
    <w:p w14:paraId="0A891527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l)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о Резолюции 45 (Пересм. Баку, 2025 г.) ВКРЭ о механизмах совершенствования сотрудничества в области кибербезопасности, включая противодействие спаму и борьбу с ним,</w:t>
      </w:r>
    </w:p>
    <w:p w14:paraId="47FD2321" w14:textId="77777777" w:rsidR="009B79EE" w:rsidRPr="009B79EE" w:rsidRDefault="009B79EE" w:rsidP="009B79EE">
      <w:pPr>
        <w:pStyle w:val="Call"/>
        <w:rPr>
          <w:lang w:val="ru-RU"/>
        </w:rPr>
      </w:pPr>
      <w:r w:rsidRPr="009B79EE">
        <w:rPr>
          <w:lang w:val="ru-RU"/>
        </w:rPr>
        <w:t>отмечая</w:t>
      </w:r>
      <w:r w:rsidRPr="009B79EE">
        <w:rPr>
          <w:i w:val="0"/>
          <w:iCs/>
          <w:lang w:val="ru-RU"/>
        </w:rPr>
        <w:t>,</w:t>
      </w:r>
    </w:p>
    <w:p w14:paraId="55397809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что способные к восстановлению системы электросвязи/ИКТ могут прогнозировать различные чрезвычайные ситуации, реагировать на них и противостоять им, включая, помимо прочего, ситуации, связанные с изменением климата, киберинциденты, стихийные бедствия или катастрофы,</w:t>
      </w:r>
    </w:p>
    <w:p w14:paraId="18BEE350" w14:textId="77777777" w:rsidR="009B79EE" w:rsidRPr="009B79EE" w:rsidRDefault="009B79EE" w:rsidP="009B79EE">
      <w:pPr>
        <w:pStyle w:val="Call"/>
        <w:rPr>
          <w:lang w:val="ru-RU"/>
        </w:rPr>
      </w:pPr>
      <w:r w:rsidRPr="009B79EE">
        <w:rPr>
          <w:lang w:val="ru-RU"/>
        </w:rPr>
        <w:t>принимая во внимание</w:t>
      </w:r>
      <w:r w:rsidRPr="009B79EE">
        <w:rPr>
          <w:i w:val="0"/>
          <w:iCs/>
          <w:lang w:val="ru-RU"/>
        </w:rPr>
        <w:t>,</w:t>
      </w:r>
    </w:p>
    <w:p w14:paraId="6E233912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a)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что создание способных к восстановлению систем электросвязи/ИКТ, которые могут противостоять стихийным бедствиям или опасностям, различным киберугрозам и непреднамеренным техническим сбоям, имеет жизненно важное значение в условиях, когда доступ к основным услугам и информации, а также их предоставление зависят от интернета;</w:t>
      </w:r>
    </w:p>
    <w:p w14:paraId="58514C8B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b)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что инициативы по обеспечению способности к восстановлению приобретают все большее значение, поскольку изменение климата приводит к увеличению числа бедствий, затрагивающих системы электросвязи/ИКТ;</w:t>
      </w:r>
    </w:p>
    <w:p w14:paraId="41F244A4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c)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важность обеспечения доступности способных к восстановлению систем электросвязи/ИКТ для всех, в частности для необслуживаемых и обслуживаемых в недостаточной степени групп населения, поскольку кризисы могут усугубить существующее неравенство и цифровые разрывы;</w:t>
      </w:r>
    </w:p>
    <w:p w14:paraId="064020BF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d)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многочисленные и взаимосвязанные проблемы, касающиеся географического цифрового разрыва, при разработке и внедрении способных к восстановлению систем электросвязи/ИКТ в наименее развитых странах (НРС), развивающихся странах, не имеющих выхода к морю (ЛЛДС), и малых островных развивающихся государствах (СИДС), где ограниченные возможности по укреплению способности к восстановлению и уязвимое географическое положение приводят к тому, что чрезвычайные ситуации оказывают более серьезное воздействие на их экономику и инфраструктуру;</w:t>
      </w:r>
    </w:p>
    <w:p w14:paraId="6534F8B4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e)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важность разработки способных к восстановлению систем электросвязи/ИКТ, которые могут противостоять различным угрозам и одновременно удовлетворяющих разнообразные потребности пользователей в доступе, в частности потребности лиц с ограниченными возможностями и лиц с особыми потребностями, с целью обеспечения справедливого внедрения таких способных к восстановлению систем;</w:t>
      </w:r>
    </w:p>
    <w:p w14:paraId="3C360FDF" w14:textId="77777777" w:rsidR="009B79EE" w:rsidRPr="009B79EE" w:rsidRDefault="009B79EE" w:rsidP="00EF0733">
      <w:pPr>
        <w:jc w:val="both"/>
        <w:rPr>
          <w:rFonts w:eastAsiaTheme="minorEastAsia"/>
          <w:lang w:val="ru-RU" w:eastAsia="zh-CN"/>
        </w:rPr>
      </w:pPr>
      <w:r w:rsidRPr="009B79EE">
        <w:rPr>
          <w:rFonts w:eastAsiaTheme="minorEastAsia"/>
          <w:i/>
          <w:lang w:val="ru-RU" w:eastAsia="zh-CN"/>
        </w:rPr>
        <w:t>f)</w:t>
      </w:r>
      <w:r w:rsidRPr="009B79EE">
        <w:rPr>
          <w:rFonts w:eastAsiaTheme="minorEastAsia"/>
          <w:i/>
          <w:lang w:val="ru-RU" w:eastAsia="zh-CN"/>
        </w:rPr>
        <w:tab/>
      </w:r>
      <w:r w:rsidRPr="009B79EE">
        <w:rPr>
          <w:rFonts w:eastAsiaTheme="minorEastAsia"/>
          <w:lang w:val="ru-RU" w:eastAsia="zh-CN"/>
        </w:rPr>
        <w:t>что Комитет Организации Объединенных Наций по ликвидации дискриминации в отношении женщин в своей Общей рекомендации 37 отметил, что отсутствие активного участия женщин в программах, связанных с уменьшением риска бедствий и обеспечением устойчивости к изменению климата, может препятствовать их разработке и эффективности,</w:t>
      </w:r>
    </w:p>
    <w:p w14:paraId="010BA8DF" w14:textId="77777777" w:rsidR="009B79EE" w:rsidRPr="009B79EE" w:rsidRDefault="009B79EE" w:rsidP="009B79EE">
      <w:pPr>
        <w:pStyle w:val="Call"/>
        <w:rPr>
          <w:lang w:val="ru-RU"/>
        </w:rPr>
      </w:pPr>
      <w:r w:rsidRPr="009B79EE">
        <w:rPr>
          <w:lang w:val="ru-RU"/>
        </w:rPr>
        <w:t>учитывая</w:t>
      </w:r>
      <w:r w:rsidRPr="009B79EE">
        <w:rPr>
          <w:i w:val="0"/>
          <w:iCs/>
          <w:lang w:val="ru-RU"/>
        </w:rPr>
        <w:t>,</w:t>
      </w:r>
    </w:p>
    <w:p w14:paraId="375A11BC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a)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 xml:space="preserve">что </w:t>
      </w:r>
      <w:r w:rsidRPr="009B79EE">
        <w:rPr>
          <w:rFonts w:eastAsiaTheme="minorEastAsia"/>
          <w:lang w:val="ru-RU" w:eastAsia="zh-CN"/>
        </w:rPr>
        <w:t>способная к восстановлению</w:t>
      </w:r>
      <w:r w:rsidRPr="009B79EE">
        <w:rPr>
          <w:lang w:val="ru-RU"/>
        </w:rPr>
        <w:t xml:space="preserve"> инфраструктура электросвязи/ИКТ имеет решающее значение для поддержки глобальной цифровой экономики, содействия инновациям и стимулирования роста, особенно в условиях, когда экономики все в большей степени зависят от надежных систем ИКТ;</w:t>
      </w:r>
    </w:p>
    <w:p w14:paraId="15671EE9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b)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содействие обеспечению надежной и безопасной связи и доступности систем электросвязи/ИКТ для всех слоев общества может расширить экономические возможности, улучшить качество образования, здравоохранения и других важнейших секторов, способствуя устойчивому экономическому развитию;</w:t>
      </w:r>
    </w:p>
    <w:p w14:paraId="301985C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lastRenderedPageBreak/>
        <w:t>c)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укрепление инфраструктуры электросвязи/ИКТ в обслуживаемых в недостаточной степени и отдаленных районах с помощью инновационных решений будет способствовать формированию жизнестойкой цифровой экономики;</w:t>
      </w:r>
    </w:p>
    <w:p w14:paraId="5E2DA816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d)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 xml:space="preserve">что </w:t>
      </w:r>
      <w:r w:rsidRPr="009B79EE">
        <w:rPr>
          <w:rFonts w:eastAsiaTheme="minorEastAsia"/>
          <w:lang w:val="ru-RU" w:eastAsia="zh-CN"/>
        </w:rPr>
        <w:t>способные к восстановлению</w:t>
      </w:r>
      <w:r w:rsidRPr="009B79EE">
        <w:rPr>
          <w:lang w:val="ru-RU"/>
        </w:rPr>
        <w:t xml:space="preserve"> и безопасные системы электросвязи/ИКТ имеют решающее значение для обеспечения непрерывности деятельности предприятий, предоставления государственных услуг и доступа к жизненно важным услугам в периоды кризисов, стихийных бедствий, различных киберугроз, непреднамеренных технических сбоев и глобальных чрезвычайных ситуаций в области здравоохранения;</w:t>
      </w:r>
    </w:p>
    <w:p w14:paraId="189645D0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e)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использование электросвязи/ИКТ для обмена информацией в случае кризиса является мощным инструментом принятия решений для служб спасения и реагирования, а также для операционных структур, и для связи с отдельными лицами и между ними; что ИКТ имеют важнейшее значение для мероприятий по обеспечению устойчивости к изменению климата, таких как мониторинг климата и защита природных экосистем, сбор данных, оперативная передача информации и управление рисками, связанными с изменением климата;</w:t>
      </w:r>
    </w:p>
    <w:p w14:paraId="5800ECAA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f)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системы электросвязи/ИКТ должны оставаться способными к восстановлению и надежными в условиях целого спектра внешних сбоев, таких как стихийные бедствия или опасные явления, перебои в электроснабжении и киберинциденты;</w:t>
      </w:r>
    </w:p>
    <w:p w14:paraId="36842720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g)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повышение кибербезопасности систем электросвязи/ИКТ имеет решающее значение для укрепления доверия к цифровой экономике, обеспечения финансовых транзакций, электронной торговли и защиты персональных данных;</w:t>
      </w:r>
    </w:p>
    <w:p w14:paraId="06DDC9A6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h)</w:t>
      </w:r>
      <w:r w:rsidRPr="009B79EE">
        <w:rPr>
          <w:i/>
          <w:lang w:val="ru-RU"/>
        </w:rPr>
        <w:tab/>
      </w:r>
      <w:r w:rsidRPr="009B79EE">
        <w:rPr>
          <w:iCs/>
          <w:lang w:val="ru-RU"/>
        </w:rPr>
        <w:t xml:space="preserve">что </w:t>
      </w:r>
      <w:r w:rsidRPr="009B79EE">
        <w:rPr>
          <w:lang w:val="ru-RU"/>
        </w:rPr>
        <w:t>вопросы способности к восстановлению должны учитываться на всех этапах проектирования и внедрения систем электросвязи/ИКТ с целью обеспечения их долговечности на протяжении всего жизненного цикла, способности противостоять изменяющимся условиям, а также предотвращения усугубления угроз и уязвимостей;</w:t>
      </w:r>
    </w:p>
    <w:p w14:paraId="058DA2AD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i)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необходимость повышения осведомленности общественности об основных мерах безопасности, обеспечивающих способность к восстановлению, включая правила кибергигиены, а также обеспечения доступности соответствующей информации для всех пользователей;</w:t>
      </w:r>
    </w:p>
    <w:p w14:paraId="25A67142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j)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развитие партнерских отношений между правительствами, частным сектором, регуляторными органами, гражданским обществом, техническим сообществом, академическими и международными организациями имеет ключевое значение для обеспечения развития жизнестойкости экосистем электросвязи/ИКТ, способных адаптироваться к меняющимся угрозам и возможностям в цифровой экономике;</w:t>
      </w:r>
    </w:p>
    <w:p w14:paraId="7D53C378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k)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международное сотрудничество и обмен передовым опытом могут укрепить национальный потенциал в области создания надежных систем электросвязи/ИКТ, обеспечив всем странам возможность воспользоваться преимуществами, создаваемыми цифровой экономикой;</w:t>
      </w:r>
    </w:p>
    <w:p w14:paraId="117ED246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l)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важное значение имеют итеративные долгосрочные стратегии и планы управления рисками, обеспечивающие скоординированную жизнестойкость различных секторов электросвязи/ИКТ, что облегчает прогнозирование и реагирование на проблемы в различных контекстах, а также противодействие постоянно меняющимся угрозам и уязвимостям;</w:t>
      </w:r>
    </w:p>
    <w:p w14:paraId="49558EB0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m)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продвижение и использование инновационных технологий могут играть ключевую роль в построении жизнестойкой экономики в сфере электросвязи/ИКТ, способной адаптироваться к технологическому прогрессу и изменениям рынка;</w:t>
      </w:r>
    </w:p>
    <w:p w14:paraId="724FC5CF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n)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важность инфраструктуры подводных кабелей и ее устойчивости, а также итоги Международных саммитов по устойчивости подводных кабелей, состоявшихся в Абудже в 2025 году и в Порту в 2026 году,</w:t>
      </w:r>
    </w:p>
    <w:p w14:paraId="79648829" w14:textId="77777777" w:rsidR="009B79EE" w:rsidRPr="009B79EE" w:rsidRDefault="009B79EE" w:rsidP="009B79EE">
      <w:pPr>
        <w:pStyle w:val="Call"/>
        <w:rPr>
          <w:lang w:val="ru-RU"/>
        </w:rPr>
      </w:pPr>
      <w:r w:rsidRPr="009B79EE">
        <w:rPr>
          <w:lang w:val="ru-RU"/>
        </w:rPr>
        <w:lastRenderedPageBreak/>
        <w:t>признавая</w:t>
      </w:r>
      <w:r w:rsidRPr="009B79EE">
        <w:rPr>
          <w:i w:val="0"/>
          <w:iCs/>
          <w:lang w:val="ru-RU"/>
        </w:rPr>
        <w:t>,</w:t>
      </w:r>
    </w:p>
    <w:p w14:paraId="20C897BD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a)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способные к восстановлению системы электросвязи/ИКТ являются одной из важнейших основ для устойчивого развития и преодоления цифровых разрывов;</w:t>
      </w:r>
    </w:p>
    <w:p w14:paraId="4A71F777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b)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внедрение передовых технологий потребует значительных капиталовложений, которые могут оказаться недоступными для развивающихся стран, что приведет к сохранению зависимости от устаревшей инфраструктуры ИКТ;</w:t>
      </w:r>
    </w:p>
    <w:p w14:paraId="112F66DA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c)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отсутствие или нестабильность электроснабжения во многих развивающихся странах существенно затрудняет внедрение, развертывание, эксплуатацию и техническое обслуживание современной инфраструктуры ИКТ;</w:t>
      </w:r>
    </w:p>
    <w:p w14:paraId="62896BC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d)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что частный сектор, гражданское общество, техническое сообщество, академические организации, а также региональные и международные организации играют важную роль в предоставлении оборудования и услуг электросвязи/ИКТ, а также экспертных знаний и помощи в наращивании потенциала для поддержки инициатив по обеспечению способности к восстановлению;</w:t>
      </w:r>
    </w:p>
    <w:p w14:paraId="4CF855B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i/>
          <w:lang w:val="ru-RU"/>
        </w:rPr>
        <w:t>e)</w:t>
      </w:r>
      <w:r w:rsidRPr="009B79EE">
        <w:rPr>
          <w:i/>
          <w:lang w:val="ru-RU"/>
        </w:rPr>
        <w:tab/>
      </w:r>
      <w:r w:rsidRPr="009B79EE">
        <w:rPr>
          <w:lang w:val="ru-RU"/>
        </w:rPr>
        <w:t>работу МСЭ в рамках ключевых мероприятий по обеспечению способности к восстановлению, таких как инициатива "Раннее предупреждение для всех", а также вклад исследовательских комиссий МСЭ во всех трех Секторах в разработку технических рекомендаций и передовой практики,</w:t>
      </w:r>
    </w:p>
    <w:p w14:paraId="6DFCE53B" w14:textId="77777777" w:rsidR="009B79EE" w:rsidRPr="009B79EE" w:rsidRDefault="009B79EE" w:rsidP="009B79EE">
      <w:pPr>
        <w:pStyle w:val="Call"/>
        <w:jc w:val="both"/>
        <w:rPr>
          <w:rFonts w:asciiTheme="minorHAnsi" w:hAnsiTheme="minorHAnsi" w:cstheme="minorHAnsi"/>
          <w:i w:val="0"/>
          <w:iCs/>
          <w:szCs w:val="24"/>
          <w:lang w:val="ru-RU"/>
        </w:rPr>
      </w:pPr>
      <w:r w:rsidRPr="009B79EE">
        <w:rPr>
          <w:rFonts w:asciiTheme="minorHAnsi" w:eastAsia="SimSun" w:hAnsiTheme="minorHAnsi" w:cstheme="minorHAnsi"/>
          <w:szCs w:val="24"/>
          <w:lang w:val="ru-RU"/>
        </w:rPr>
        <w:t>считает</w:t>
      </w:r>
      <w:r w:rsidRPr="009B79EE">
        <w:rPr>
          <w:rFonts w:asciiTheme="minorHAnsi" w:eastAsia="SimSun" w:hAnsiTheme="minorHAnsi" w:cstheme="minorHAnsi"/>
          <w:i w:val="0"/>
          <w:iCs/>
          <w:szCs w:val="24"/>
          <w:lang w:val="ru-RU"/>
        </w:rPr>
        <w:t>,</w:t>
      </w:r>
    </w:p>
    <w:p w14:paraId="19F2F887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</w:t>
      </w:r>
      <w:r w:rsidRPr="009B79EE">
        <w:rPr>
          <w:lang w:val="ru-RU"/>
        </w:rPr>
        <w:tab/>
        <w:t>что политика и инициативы в области обеспечения способности к восстановлению должны носить многосторонний и комплексный характер, охватывая такие области, как кибербезопасность, системы раннего предупреждения и своевременного реагирования, регулярную модернизацию и техническое обслуживание инфраструктуры электросвязи/ИКТ, мониторинг состояния окружающей среды, инициативы по снижению риска бедствий, а также сотрудничество между государственным и частным секторами;</w:t>
      </w:r>
    </w:p>
    <w:p w14:paraId="193522B2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2</w:t>
      </w:r>
      <w:r w:rsidRPr="009B79EE">
        <w:rPr>
          <w:lang w:val="ru-RU"/>
        </w:rPr>
        <w:tab/>
        <w:t>что повышение способности к восстановлению требует скоординированных действий со стороны правительств, регуляторных органов, частного сектора, гражданского общества, технического сообщества и академических организаций, причем национальные органы власти должны играть ключевую роль в определении приоритетов развития способных к восстановлению, безопасных и адаптируемых систем электросвязи/ИКТ для поддержки долгосрочного цифрового роста и обеспечения непрерывности предоставления жизненно важных услуг;</w:t>
      </w:r>
    </w:p>
    <w:p w14:paraId="2680BD5D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3</w:t>
      </w:r>
      <w:r w:rsidRPr="009B79EE">
        <w:rPr>
          <w:lang w:val="ru-RU"/>
        </w:rPr>
        <w:tab/>
        <w:t>что крайне важно учитывать факторы способности к восстановлению на всех этапах проектирования, разработки и развертывания систем электросвязи/ИКТ;</w:t>
      </w:r>
    </w:p>
    <w:p w14:paraId="33ED6331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4</w:t>
      </w:r>
      <w:r w:rsidRPr="009B79EE">
        <w:rPr>
          <w:lang w:val="ru-RU"/>
        </w:rPr>
        <w:tab/>
        <w:t>что способная к восстановлению инфраструктура электросвязи/ИКТ является одним из важнейших факторов, способствующих экономическому росту, охвату цифровыми технологиями и инновациям, и должна иметь возможность адаптироваться к возникающим вызовам;</w:t>
      </w:r>
    </w:p>
    <w:p w14:paraId="35031070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5</w:t>
      </w:r>
      <w:r w:rsidRPr="009B79EE">
        <w:rPr>
          <w:lang w:val="ru-RU"/>
        </w:rPr>
        <w:tab/>
        <w:t>что преодоление цифрового разрыва и обеспечение приемлемого в ценовом отношении доступа к электросвязи/ИКТ являются неотъемлемой частью повышения способности к восстановлению;</w:t>
      </w:r>
    </w:p>
    <w:p w14:paraId="519A770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6</w:t>
      </w:r>
      <w:r w:rsidRPr="009B79EE">
        <w:rPr>
          <w:lang w:val="ru-RU"/>
        </w:rPr>
        <w:tab/>
        <w:t>что сотрудничество и взаимодействие в области передовой практики, создания благоприятных условий для инвестиций и инновационных механизмов финансирования играют важную роль в создании способных к восстановлению систем электросвязи/ИКТ, которые могут реагировать на глобальные вызовы и поддерживать экономическую стабильность, особенно во время стихийных бедствий и чрезвычайных ситуаций;</w:t>
      </w:r>
    </w:p>
    <w:p w14:paraId="2DD4EEF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7</w:t>
      </w:r>
      <w:r w:rsidRPr="009B79EE">
        <w:rPr>
          <w:lang w:val="ru-RU"/>
        </w:rPr>
        <w:tab/>
        <w:t xml:space="preserve">что следует применять многоканальный подход к повышению осведомленности общественности, с тем чтобы обеспечить донесение соответствующих сообщений, касающихся способности к восстановлению, таких как рекомендации по связи в чрезвычайных ситуациях и по </w:t>
      </w:r>
      <w:r w:rsidRPr="009B79EE">
        <w:rPr>
          <w:lang w:val="ru-RU"/>
        </w:rPr>
        <w:lastRenderedPageBreak/>
        <w:t>кибербезопасности, до широкой аудитории и дать людям возможность действовать заблаговременно и защитить себя;</w:t>
      </w:r>
    </w:p>
    <w:p w14:paraId="5CDFF54F" w14:textId="77777777" w:rsidR="009B79EE" w:rsidRPr="009B79EE" w:rsidRDefault="009B79EE" w:rsidP="00EF0733">
      <w:pPr>
        <w:jc w:val="both"/>
        <w:rPr>
          <w:rFonts w:asciiTheme="minorHAnsi" w:hAnsiTheme="minorHAnsi" w:cstheme="minorHAnsi"/>
          <w:szCs w:val="24"/>
          <w:lang w:val="ru-RU"/>
        </w:rPr>
      </w:pPr>
      <w:r w:rsidRPr="009B79EE">
        <w:rPr>
          <w:rFonts w:asciiTheme="minorHAnsi" w:hAnsiTheme="minorHAnsi" w:cstheme="minorHAnsi"/>
          <w:szCs w:val="24"/>
          <w:lang w:val="ru-RU"/>
        </w:rPr>
        <w:t>8</w:t>
      </w:r>
      <w:r w:rsidRPr="009B79EE">
        <w:rPr>
          <w:rFonts w:asciiTheme="minorHAnsi" w:hAnsiTheme="minorHAnsi" w:cstheme="minorHAnsi"/>
          <w:szCs w:val="24"/>
          <w:lang w:val="ru-RU"/>
        </w:rPr>
        <w:tab/>
        <w:t>что охрана окружающей среды представляет собой одну из величайших проблем нашего времени и что устойчивость к стихийным бедствиям можно укрепить путем создания систем раннего предупреждения и национальных планов обеспечения электросвязи в чрезвычайных ситуациях;</w:t>
      </w:r>
    </w:p>
    <w:p w14:paraId="16D2BC68" w14:textId="77777777" w:rsidR="009B79EE" w:rsidRPr="009B79EE" w:rsidRDefault="009B79EE" w:rsidP="00EF0733">
      <w:pPr>
        <w:jc w:val="both"/>
        <w:rPr>
          <w:rFonts w:asciiTheme="minorHAnsi" w:hAnsiTheme="minorHAnsi" w:cstheme="minorHAnsi"/>
          <w:szCs w:val="24"/>
          <w:lang w:val="ru-RU"/>
        </w:rPr>
      </w:pPr>
      <w:r w:rsidRPr="009B79EE">
        <w:rPr>
          <w:rFonts w:asciiTheme="minorHAnsi" w:hAnsiTheme="minorHAnsi" w:cstheme="minorHAnsi"/>
          <w:szCs w:val="24"/>
          <w:lang w:val="ru-RU"/>
        </w:rPr>
        <w:t>9</w:t>
      </w:r>
      <w:r w:rsidRPr="009B79EE">
        <w:rPr>
          <w:rFonts w:asciiTheme="minorHAnsi" w:hAnsiTheme="minorHAnsi" w:cstheme="minorHAnsi"/>
          <w:szCs w:val="24"/>
          <w:lang w:val="ru-RU"/>
        </w:rPr>
        <w:tab/>
        <w:t>что укрепление киберустойчивости во всем обществе имеет решающее значение для противодействия растущей киберугрозе;</w:t>
      </w:r>
    </w:p>
    <w:p w14:paraId="2D929A0E" w14:textId="77777777" w:rsidR="009B79EE" w:rsidRPr="009B79EE" w:rsidRDefault="009B79EE" w:rsidP="00EF0733">
      <w:pPr>
        <w:jc w:val="both"/>
        <w:rPr>
          <w:rFonts w:asciiTheme="minorHAnsi" w:hAnsiTheme="minorHAnsi" w:cstheme="minorHAnsi"/>
          <w:szCs w:val="24"/>
          <w:lang w:val="ru-RU"/>
        </w:rPr>
      </w:pPr>
      <w:r w:rsidRPr="009B79EE">
        <w:rPr>
          <w:rFonts w:asciiTheme="minorHAnsi" w:hAnsiTheme="minorHAnsi" w:cstheme="minorHAnsi"/>
          <w:szCs w:val="24"/>
          <w:lang w:val="ru-RU"/>
        </w:rPr>
        <w:t>10</w:t>
      </w:r>
      <w:r w:rsidRPr="009B79EE">
        <w:rPr>
          <w:rFonts w:asciiTheme="minorHAnsi" w:hAnsiTheme="minorHAnsi" w:cstheme="minorHAnsi"/>
          <w:szCs w:val="24"/>
          <w:lang w:val="ru-RU"/>
        </w:rPr>
        <w:tab/>
        <w:t>что содействие инновациям и внедрению новых технологий необходимо для обеспечения конкурентоспособности, безопасности и жизнестойкой экономики в сфере электросвязи/ИКТ;</w:t>
      </w:r>
    </w:p>
    <w:p w14:paraId="6C2CCE5F" w14:textId="77777777" w:rsidR="009B79EE" w:rsidRPr="009B79EE" w:rsidRDefault="009B79EE" w:rsidP="00EF0733">
      <w:pPr>
        <w:jc w:val="both"/>
        <w:rPr>
          <w:rFonts w:asciiTheme="minorHAnsi" w:hAnsiTheme="minorHAnsi" w:cstheme="minorHAnsi"/>
          <w:szCs w:val="24"/>
          <w:lang w:val="ru-RU"/>
        </w:rPr>
      </w:pPr>
      <w:r w:rsidRPr="009B79EE">
        <w:rPr>
          <w:rFonts w:asciiTheme="minorHAnsi" w:hAnsiTheme="minorHAnsi" w:cstheme="minorHAnsi"/>
          <w:szCs w:val="24"/>
          <w:lang w:val="ru-RU"/>
        </w:rPr>
        <w:t>11</w:t>
      </w:r>
      <w:r w:rsidRPr="009B79EE">
        <w:rPr>
          <w:rFonts w:asciiTheme="minorHAnsi" w:hAnsiTheme="minorHAnsi" w:cstheme="minorHAnsi"/>
          <w:szCs w:val="24"/>
          <w:lang w:val="ru-RU"/>
        </w:rPr>
        <w:tab/>
        <w:t>что инновации в области энергетической устойчивости могут способствовать обеспечению способности к восстановлению инфраструктуры, гарантируя объектам инфраструктуры электросвязи/ИКТ доступ к альтернативным источникам энергии;</w:t>
      </w:r>
    </w:p>
    <w:p w14:paraId="0DF5F0B3" w14:textId="77777777" w:rsidR="009B79EE" w:rsidRPr="009B79EE" w:rsidRDefault="009B79EE" w:rsidP="00EF0733">
      <w:pPr>
        <w:jc w:val="both"/>
        <w:rPr>
          <w:rFonts w:asciiTheme="minorHAnsi" w:hAnsiTheme="minorHAnsi" w:cstheme="minorHAnsi"/>
          <w:szCs w:val="24"/>
          <w:lang w:val="ru-RU"/>
        </w:rPr>
      </w:pPr>
      <w:r w:rsidRPr="009B79EE">
        <w:rPr>
          <w:rFonts w:asciiTheme="minorHAnsi" w:hAnsiTheme="minorHAnsi" w:cstheme="minorHAnsi"/>
          <w:szCs w:val="24"/>
          <w:lang w:val="ru-RU"/>
        </w:rPr>
        <w:t>12</w:t>
      </w:r>
      <w:r w:rsidRPr="009B79EE">
        <w:rPr>
          <w:rFonts w:asciiTheme="minorHAnsi" w:hAnsiTheme="minorHAnsi" w:cstheme="minorHAnsi"/>
          <w:szCs w:val="24"/>
          <w:lang w:val="ru-RU"/>
        </w:rPr>
        <w:tab/>
        <w:t>что МСЭ следует продолжать проводить учебные программы, семинары и мероприятия по укреплению потенциала в целях содействия обеспечению способности к восстановлению систем электросвязи/ИКТ,</w:t>
      </w:r>
    </w:p>
    <w:p w14:paraId="2F1FC2F1" w14:textId="77777777" w:rsidR="009B79EE" w:rsidRPr="009B79EE" w:rsidRDefault="009B79EE" w:rsidP="009B79EE">
      <w:pPr>
        <w:pStyle w:val="Call"/>
        <w:rPr>
          <w:lang w:val="ru-RU"/>
        </w:rPr>
      </w:pPr>
      <w:r w:rsidRPr="009B79EE">
        <w:rPr>
          <w:lang w:val="ru-RU"/>
        </w:rPr>
        <w:t>предлагает Государствам-Членам, Членам Секторов и другим заинтересованным сторонам действовать совместно, с тем чтобы</w:t>
      </w:r>
    </w:p>
    <w:p w14:paraId="70866F10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</w:t>
      </w:r>
      <w:r w:rsidRPr="009B79EE">
        <w:rPr>
          <w:lang w:val="ru-RU"/>
        </w:rPr>
        <w:tab/>
        <w:t>уделять первоочередное внимание обмену информацией о разработке и реализации политики, способствующей созданию способной к восстановлению, безопасной и надежной инфраструктуры электросвязи/ИКТ, обеспечивая соответствие международным стандартам и передовой практике;</w:t>
      </w:r>
    </w:p>
    <w:p w14:paraId="705FBF02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2</w:t>
      </w:r>
      <w:r w:rsidRPr="009B79EE">
        <w:rPr>
          <w:lang w:val="ru-RU"/>
        </w:rPr>
        <w:tab/>
        <w:t>продолжать содействовать и активизировать усилия по укреплению способности к восстановлению инфраструктуры электросвязи/ИКТ, включая цифровую инфраструктуру, обеспечивая безопасность, надежность и адаптируемость этих систем к будущим вызовам, а также их способность гарантировать непрерывность обслуживания в случае сбоев;</w:t>
      </w:r>
    </w:p>
    <w:p w14:paraId="242F95DB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3</w:t>
      </w:r>
      <w:r w:rsidRPr="009B79EE">
        <w:rPr>
          <w:lang w:val="ru-RU"/>
        </w:rPr>
        <w:tab/>
        <w:t>изучать возможности и решать проблемы, возникающие при создании способных к восстановлению систем электросвязи/ИКТ, обеспечивающих непрерывность обслуживания в случае сбоев;</w:t>
      </w:r>
    </w:p>
    <w:p w14:paraId="5094BC36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4</w:t>
      </w:r>
      <w:r w:rsidRPr="009B79EE">
        <w:rPr>
          <w:lang w:val="ru-RU"/>
        </w:rPr>
        <w:tab/>
        <w:t>сотрудничать с частным сектором, гражданским обществом, техническим сообществом и научным сообществом в целях содействия развитию способных к восстановлению систем электросвязи/ИКТ путем реализации программ технической поддержки и укрепления потенциала;</w:t>
      </w:r>
    </w:p>
    <w:p w14:paraId="750552A8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5</w:t>
      </w:r>
      <w:r w:rsidRPr="009B79EE">
        <w:rPr>
          <w:lang w:val="ru-RU"/>
        </w:rPr>
        <w:tab/>
        <w:t>укреплять государственно-частные партнерства в целях повышения жизнестойкости экосистемы электросвязи/ИКТ, а также реагирования на возникающие в ней связанные с этим вызовы и использование открывающихся возможностей;</w:t>
      </w:r>
    </w:p>
    <w:p w14:paraId="6840FE93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6</w:t>
      </w:r>
      <w:r w:rsidRPr="009B79EE">
        <w:rPr>
          <w:lang w:val="ru-RU"/>
        </w:rPr>
        <w:tab/>
        <w:t>учитывать гендерные аспекты в национальных стратегиях, касающихся способности к восстановлению, и обеспечивать инклюзивность процессов принятия решений;</w:t>
      </w:r>
    </w:p>
    <w:p w14:paraId="20733DDF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7</w:t>
      </w:r>
      <w:r w:rsidRPr="009B79EE">
        <w:rPr>
          <w:lang w:val="ru-RU"/>
        </w:rPr>
        <w:tab/>
        <w:t>продолжать прилагать все необходимые усилия для интеграции мер по реагированию на киберинциденты, снижению риска бедствий, смягчению последствий бедствий, оказанию помощи при бедствиях и обеспечению способности к восстановлению в планы развития электросвязи/ИКТ с учетом интересов лиц с ограниченными возможностями и лиц с особыми потребностями, а также важности сотрудничества со всеми заинтересованными сторонами на всех этапах бедствий;</w:t>
      </w:r>
    </w:p>
    <w:p w14:paraId="0019602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8</w:t>
      </w:r>
      <w:r w:rsidRPr="009B79EE">
        <w:rPr>
          <w:lang w:val="ru-RU"/>
        </w:rPr>
        <w:tab/>
        <w:t>принять соответствующие рекомендации МСЭ, которые могли бы внести вклад в укрепление способности к восстановлению систем электросвязи/ИКТ и эффективному реагированию на кризисы;</w:t>
      </w:r>
    </w:p>
    <w:p w14:paraId="688A0D88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9</w:t>
      </w:r>
      <w:r w:rsidRPr="009B79EE">
        <w:rPr>
          <w:lang w:val="ru-RU"/>
        </w:rPr>
        <w:tab/>
        <w:t>активно участвовать в международных форумах, посвященных способности к восстановлению систем электросвязи/ИКТ, обмениваясь знаниями и опытом;</w:t>
      </w:r>
    </w:p>
    <w:p w14:paraId="13360D0D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lastRenderedPageBreak/>
        <w:t>10</w:t>
      </w:r>
      <w:r w:rsidRPr="009B79EE">
        <w:rPr>
          <w:lang w:val="ru-RU"/>
        </w:rPr>
        <w:tab/>
        <w:t>поддерживать международные мероприятия, направленные на содействие наращиванию потенциала в области обеспечения способности к восстановлению, особенно в НРС, ЛЛДС и СИДС;</w:t>
      </w:r>
    </w:p>
    <w:p w14:paraId="1B9F6964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11</w:t>
      </w:r>
      <w:r w:rsidRPr="009B79EE">
        <w:rPr>
          <w:lang w:val="ru-RU"/>
        </w:rPr>
        <w:tab/>
        <w:t>поощрять и создавать условия для инвестиций в способную к восстановлению инфраструктуру электросвязи/ИКТ, особенно в необслуживаемых и обслуживаемых в недостаточной степени районах, а также в географически сложных районах;</w:t>
      </w:r>
    </w:p>
    <w:p w14:paraId="4D9AE79C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12</w:t>
      </w:r>
      <w:r w:rsidRPr="009B79EE">
        <w:rPr>
          <w:lang w:val="ru-RU"/>
        </w:rPr>
        <w:tab/>
        <w:t>принимать стратегии обеспечения способности к восстановлению систем электросвязи/ИКТ, включая планы управления рисками стихийных бедствий и реагирования на сбои в работе;</w:t>
      </w:r>
    </w:p>
    <w:p w14:paraId="4AB4340C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13</w:t>
      </w:r>
      <w:r w:rsidRPr="009B79EE">
        <w:rPr>
          <w:lang w:val="ru-RU"/>
        </w:rPr>
        <w:tab/>
        <w:t>содействовать реализации политики, направленной на укрепление безопасности и устойчивости цепочек поставок в сфере электросвязи/ИКТ, обеспечивая безопасность и отказоустойчивость оборудования;</w:t>
      </w:r>
    </w:p>
    <w:p w14:paraId="7E3D8B2B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14</w:t>
      </w:r>
      <w:r w:rsidRPr="009B79EE">
        <w:rPr>
          <w:lang w:val="ru-RU"/>
        </w:rPr>
        <w:tab/>
        <w:t>поддерживать роль новых и появляющихся услуг и технологий в сфере электросвязи/ИКТ в совершенствовании систем раннего предупреждения, выявлении угроз и разработке стратегий адаптивного реагирования для обеспечения способности к восстановлению систем электросвязи/ИКТ;</w:t>
      </w:r>
    </w:p>
    <w:p w14:paraId="1A10F68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15</w:t>
      </w:r>
      <w:r w:rsidRPr="009B79EE">
        <w:rPr>
          <w:lang w:val="ru-RU"/>
        </w:rPr>
        <w:tab/>
        <w:t>рассмотреть возможность учета итогов саммитов в Абудже и Порту при принятии и реализации мер по повышению устойчивости подводных кабелей,</w:t>
      </w:r>
    </w:p>
    <w:p w14:paraId="17CE1693" w14:textId="77777777" w:rsidR="009B79EE" w:rsidRPr="009B79EE" w:rsidRDefault="009B79EE" w:rsidP="009B79EE">
      <w:pPr>
        <w:pStyle w:val="Call"/>
        <w:rPr>
          <w:lang w:val="ru-RU"/>
        </w:rPr>
      </w:pPr>
      <w:r w:rsidRPr="009B79EE">
        <w:rPr>
          <w:lang w:val="ru-RU"/>
        </w:rPr>
        <w:t>предлагает Генеральному секретарю</w:t>
      </w:r>
    </w:p>
    <w:p w14:paraId="5844B91A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1</w:t>
      </w:r>
      <w:r w:rsidRPr="009B79EE">
        <w:rPr>
          <w:lang w:val="ru-RU"/>
        </w:rPr>
        <w:tab/>
        <w:t>продолжать содействовать и активизировать международные усилия по укреплению и повышению способности к восстановлению систем электросвязи/ИКТ;</w:t>
      </w:r>
    </w:p>
    <w:p w14:paraId="5F7E0105" w14:textId="77777777" w:rsidR="009B79EE" w:rsidRPr="009B79EE" w:rsidRDefault="009B79EE" w:rsidP="00EF0733">
      <w:pPr>
        <w:jc w:val="both"/>
        <w:rPr>
          <w:lang w:val="ru-RU"/>
        </w:rPr>
      </w:pPr>
      <w:r w:rsidRPr="009B79EE">
        <w:rPr>
          <w:lang w:val="ru-RU"/>
        </w:rPr>
        <w:t>2</w:t>
      </w:r>
      <w:r w:rsidRPr="009B79EE">
        <w:rPr>
          <w:lang w:val="ru-RU"/>
        </w:rPr>
        <w:tab/>
        <w:t>обеспечить, чтобы МСЭ продолжал оказывать поддержку Государствам-Членам в разработке и укреплении политических и нормативных рамок, направленных на обеспечение способности к восстановлению систем ИКТ и электросвязи.</w:t>
      </w:r>
    </w:p>
    <w:p w14:paraId="374C909B" w14:textId="77777777" w:rsidR="009B79EE" w:rsidRPr="009B79EE" w:rsidRDefault="009B79EE" w:rsidP="009572D7">
      <w:pPr>
        <w:spacing w:before="480"/>
        <w:jc w:val="center"/>
        <w:rPr>
          <w:lang w:val="ru-RU"/>
        </w:rPr>
      </w:pPr>
      <w:r w:rsidRPr="009B79EE">
        <w:rPr>
          <w:lang w:val="ru-RU"/>
        </w:rPr>
        <w:t>______________</w:t>
      </w:r>
    </w:p>
    <w:sectPr w:rsidR="009B79EE" w:rsidRPr="009B79EE" w:rsidSect="00172DFB">
      <w:headerReference w:type="default" r:id="rId7"/>
      <w:footerReference w:type="first" r:id="rId8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10C5E" w14:textId="77777777" w:rsidR="002A0A17" w:rsidRDefault="002A0A17" w:rsidP="0079159C">
      <w:r>
        <w:separator/>
      </w:r>
    </w:p>
    <w:p w14:paraId="27B4441F" w14:textId="77777777" w:rsidR="002A0A17" w:rsidRDefault="002A0A17" w:rsidP="0079159C"/>
    <w:p w14:paraId="49A62829" w14:textId="77777777" w:rsidR="002A0A17" w:rsidRDefault="002A0A17" w:rsidP="0079159C"/>
    <w:p w14:paraId="065F9101" w14:textId="77777777" w:rsidR="002A0A17" w:rsidRDefault="002A0A17" w:rsidP="0079159C"/>
    <w:p w14:paraId="1B4A7A41" w14:textId="77777777" w:rsidR="002A0A17" w:rsidRDefault="002A0A17" w:rsidP="0079159C"/>
    <w:p w14:paraId="1340CD82" w14:textId="77777777" w:rsidR="002A0A17" w:rsidRDefault="002A0A17" w:rsidP="0079159C"/>
    <w:p w14:paraId="3818A90D" w14:textId="77777777" w:rsidR="002A0A17" w:rsidRDefault="002A0A17" w:rsidP="0079159C"/>
    <w:p w14:paraId="251A33BD" w14:textId="77777777" w:rsidR="002A0A17" w:rsidRDefault="002A0A17" w:rsidP="0079159C"/>
    <w:p w14:paraId="793F8F3B" w14:textId="77777777" w:rsidR="002A0A17" w:rsidRDefault="002A0A17" w:rsidP="0079159C"/>
    <w:p w14:paraId="1666C5C5" w14:textId="77777777" w:rsidR="002A0A17" w:rsidRDefault="002A0A17" w:rsidP="0079159C"/>
    <w:p w14:paraId="7FBDC970" w14:textId="77777777" w:rsidR="002A0A17" w:rsidRDefault="002A0A17" w:rsidP="0079159C"/>
    <w:p w14:paraId="2EE5DAB4" w14:textId="77777777" w:rsidR="002A0A17" w:rsidRDefault="002A0A17" w:rsidP="0079159C"/>
    <w:p w14:paraId="4303FF89" w14:textId="77777777" w:rsidR="002A0A17" w:rsidRDefault="002A0A17" w:rsidP="0079159C"/>
    <w:p w14:paraId="0B6F03F0" w14:textId="77777777" w:rsidR="002A0A17" w:rsidRDefault="002A0A17" w:rsidP="0079159C"/>
    <w:p w14:paraId="3CF6C782" w14:textId="77777777" w:rsidR="002A0A17" w:rsidRDefault="002A0A17" w:rsidP="004B3A6C"/>
    <w:p w14:paraId="62509E57" w14:textId="77777777" w:rsidR="002A0A17" w:rsidRDefault="002A0A17" w:rsidP="004B3A6C"/>
  </w:endnote>
  <w:endnote w:type="continuationSeparator" w:id="0">
    <w:p w14:paraId="66AA43BC" w14:textId="77777777" w:rsidR="002A0A17" w:rsidRDefault="002A0A17" w:rsidP="0079159C">
      <w:r>
        <w:continuationSeparator/>
      </w:r>
    </w:p>
    <w:p w14:paraId="2CF56F45" w14:textId="77777777" w:rsidR="002A0A17" w:rsidRDefault="002A0A17" w:rsidP="0079159C"/>
    <w:p w14:paraId="5EBA7A17" w14:textId="77777777" w:rsidR="002A0A17" w:rsidRDefault="002A0A17" w:rsidP="0079159C"/>
    <w:p w14:paraId="32EA9DE5" w14:textId="77777777" w:rsidR="002A0A17" w:rsidRDefault="002A0A17" w:rsidP="0079159C"/>
    <w:p w14:paraId="6DB8365A" w14:textId="77777777" w:rsidR="002A0A17" w:rsidRDefault="002A0A17" w:rsidP="0079159C"/>
    <w:p w14:paraId="4F0A0492" w14:textId="77777777" w:rsidR="002A0A17" w:rsidRDefault="002A0A17" w:rsidP="0079159C"/>
    <w:p w14:paraId="4E5E21D7" w14:textId="77777777" w:rsidR="002A0A17" w:rsidRDefault="002A0A17" w:rsidP="0079159C"/>
    <w:p w14:paraId="0C4515EB" w14:textId="77777777" w:rsidR="002A0A17" w:rsidRDefault="002A0A17" w:rsidP="0079159C"/>
    <w:p w14:paraId="51667F8F" w14:textId="77777777" w:rsidR="002A0A17" w:rsidRDefault="002A0A17" w:rsidP="0079159C"/>
    <w:p w14:paraId="64386AB6" w14:textId="77777777" w:rsidR="002A0A17" w:rsidRDefault="002A0A17" w:rsidP="0079159C"/>
    <w:p w14:paraId="6362B92F" w14:textId="77777777" w:rsidR="002A0A17" w:rsidRDefault="002A0A17" w:rsidP="0079159C"/>
    <w:p w14:paraId="5D671D95" w14:textId="77777777" w:rsidR="002A0A17" w:rsidRDefault="002A0A17" w:rsidP="0079159C"/>
    <w:p w14:paraId="57E6D157" w14:textId="77777777" w:rsidR="002A0A17" w:rsidRDefault="002A0A17" w:rsidP="0079159C"/>
    <w:p w14:paraId="4CF9EC3E" w14:textId="77777777" w:rsidR="002A0A17" w:rsidRDefault="002A0A17" w:rsidP="0079159C"/>
    <w:p w14:paraId="2AE8E71C" w14:textId="77777777" w:rsidR="002A0A17" w:rsidRDefault="002A0A17" w:rsidP="004B3A6C"/>
    <w:p w14:paraId="43F6D5D1" w14:textId="77777777" w:rsidR="002A0A17" w:rsidRDefault="002A0A17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D978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r w:rsidRPr="00050596">
        <w:rPr>
          <w:rStyle w:val="Hyperlink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D7D48" w14:textId="77777777" w:rsidR="002A0A17" w:rsidRDefault="002A0A17" w:rsidP="0079159C">
      <w:r>
        <w:t>____________________</w:t>
      </w:r>
    </w:p>
  </w:footnote>
  <w:footnote w:type="continuationSeparator" w:id="0">
    <w:p w14:paraId="1DFDF8C3" w14:textId="77777777" w:rsidR="002A0A17" w:rsidRDefault="002A0A17" w:rsidP="0079159C">
      <w:r>
        <w:continuationSeparator/>
      </w:r>
    </w:p>
    <w:p w14:paraId="333D0AB9" w14:textId="77777777" w:rsidR="002A0A17" w:rsidRDefault="002A0A17" w:rsidP="0079159C"/>
    <w:p w14:paraId="47D12E0A" w14:textId="77777777" w:rsidR="002A0A17" w:rsidRDefault="002A0A17" w:rsidP="0079159C"/>
    <w:p w14:paraId="3EE01B20" w14:textId="77777777" w:rsidR="002A0A17" w:rsidRDefault="002A0A17" w:rsidP="0079159C"/>
    <w:p w14:paraId="367D628F" w14:textId="77777777" w:rsidR="002A0A17" w:rsidRDefault="002A0A17" w:rsidP="0079159C"/>
    <w:p w14:paraId="033AC9D1" w14:textId="77777777" w:rsidR="002A0A17" w:rsidRDefault="002A0A17" w:rsidP="0079159C"/>
    <w:p w14:paraId="015CFD71" w14:textId="77777777" w:rsidR="002A0A17" w:rsidRDefault="002A0A17" w:rsidP="0079159C"/>
    <w:p w14:paraId="67739977" w14:textId="77777777" w:rsidR="002A0A17" w:rsidRDefault="002A0A17" w:rsidP="0079159C"/>
    <w:p w14:paraId="58D34AA8" w14:textId="77777777" w:rsidR="002A0A17" w:rsidRDefault="002A0A17" w:rsidP="0079159C"/>
    <w:p w14:paraId="3CE3F35C" w14:textId="77777777" w:rsidR="002A0A17" w:rsidRDefault="002A0A17" w:rsidP="0079159C"/>
    <w:p w14:paraId="0FFBF295" w14:textId="77777777" w:rsidR="002A0A17" w:rsidRDefault="002A0A17" w:rsidP="0079159C"/>
    <w:p w14:paraId="4F95EFA8" w14:textId="77777777" w:rsidR="002A0A17" w:rsidRDefault="002A0A17" w:rsidP="0079159C"/>
    <w:p w14:paraId="4617DC58" w14:textId="77777777" w:rsidR="002A0A17" w:rsidRDefault="002A0A17" w:rsidP="0079159C"/>
    <w:p w14:paraId="1C6CED6B" w14:textId="77777777" w:rsidR="002A0A17" w:rsidRDefault="002A0A17" w:rsidP="0079159C"/>
    <w:p w14:paraId="19DCE65C" w14:textId="77777777" w:rsidR="002A0A17" w:rsidRDefault="002A0A17" w:rsidP="004B3A6C"/>
    <w:p w14:paraId="4A7E0BA6" w14:textId="77777777" w:rsidR="002A0A17" w:rsidRDefault="002A0A17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76CE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46"/>
    <w:rsid w:val="00014808"/>
    <w:rsid w:val="00016EB5"/>
    <w:rsid w:val="0002174D"/>
    <w:rsid w:val="000270F5"/>
    <w:rsid w:val="00027300"/>
    <w:rsid w:val="0003029E"/>
    <w:rsid w:val="00050596"/>
    <w:rsid w:val="00055C50"/>
    <w:rsid w:val="000626B1"/>
    <w:rsid w:val="00063CA3"/>
    <w:rsid w:val="00065F00"/>
    <w:rsid w:val="000666D9"/>
    <w:rsid w:val="00066DE8"/>
    <w:rsid w:val="00071D10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96461"/>
    <w:rsid w:val="001A0EEB"/>
    <w:rsid w:val="001B2BFF"/>
    <w:rsid w:val="001B5341"/>
    <w:rsid w:val="001B5FBF"/>
    <w:rsid w:val="001E2C42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78B4"/>
    <w:rsid w:val="00273A0B"/>
    <w:rsid w:val="00277F85"/>
    <w:rsid w:val="00297915"/>
    <w:rsid w:val="002A0A17"/>
    <w:rsid w:val="002A409A"/>
    <w:rsid w:val="002A5402"/>
    <w:rsid w:val="002B033B"/>
    <w:rsid w:val="002B3829"/>
    <w:rsid w:val="002C5477"/>
    <w:rsid w:val="002C78FF"/>
    <w:rsid w:val="002D0055"/>
    <w:rsid w:val="002D024B"/>
    <w:rsid w:val="003429D1"/>
    <w:rsid w:val="00375BBA"/>
    <w:rsid w:val="00384CFC"/>
    <w:rsid w:val="00385F70"/>
    <w:rsid w:val="00387244"/>
    <w:rsid w:val="00395CE4"/>
    <w:rsid w:val="003B04FF"/>
    <w:rsid w:val="003B276A"/>
    <w:rsid w:val="003E7EAA"/>
    <w:rsid w:val="00400701"/>
    <w:rsid w:val="004014B0"/>
    <w:rsid w:val="00426AC1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4D15DE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97446"/>
    <w:rsid w:val="005A700C"/>
    <w:rsid w:val="005C3DE4"/>
    <w:rsid w:val="005C67E8"/>
    <w:rsid w:val="005D0C15"/>
    <w:rsid w:val="005F526C"/>
    <w:rsid w:val="00600272"/>
    <w:rsid w:val="006104EA"/>
    <w:rsid w:val="0061434A"/>
    <w:rsid w:val="00617BE4"/>
    <w:rsid w:val="0062155D"/>
    <w:rsid w:val="00627A76"/>
    <w:rsid w:val="006418E6"/>
    <w:rsid w:val="0067722F"/>
    <w:rsid w:val="006B7F84"/>
    <w:rsid w:val="006C1A71"/>
    <w:rsid w:val="006E57C8"/>
    <w:rsid w:val="00706CC2"/>
    <w:rsid w:val="00710760"/>
    <w:rsid w:val="0073319E"/>
    <w:rsid w:val="00733439"/>
    <w:rsid w:val="007340B5"/>
    <w:rsid w:val="00750829"/>
    <w:rsid w:val="00760830"/>
    <w:rsid w:val="007649C2"/>
    <w:rsid w:val="0079159C"/>
    <w:rsid w:val="007919C2"/>
    <w:rsid w:val="007C50AF"/>
    <w:rsid w:val="007E4D0F"/>
    <w:rsid w:val="008034F1"/>
    <w:rsid w:val="008048D3"/>
    <w:rsid w:val="008102A6"/>
    <w:rsid w:val="00822C54"/>
    <w:rsid w:val="00826A7C"/>
    <w:rsid w:val="00842BD1"/>
    <w:rsid w:val="00850AEF"/>
    <w:rsid w:val="008560B8"/>
    <w:rsid w:val="00870059"/>
    <w:rsid w:val="0087080B"/>
    <w:rsid w:val="008715E3"/>
    <w:rsid w:val="008A2FB3"/>
    <w:rsid w:val="008D2EB4"/>
    <w:rsid w:val="008D3134"/>
    <w:rsid w:val="008D3BE2"/>
    <w:rsid w:val="008F5F4D"/>
    <w:rsid w:val="009125CE"/>
    <w:rsid w:val="0093377B"/>
    <w:rsid w:val="00934241"/>
    <w:rsid w:val="00950E0F"/>
    <w:rsid w:val="009572D7"/>
    <w:rsid w:val="00962CCF"/>
    <w:rsid w:val="0097690C"/>
    <w:rsid w:val="00977F6A"/>
    <w:rsid w:val="00996435"/>
    <w:rsid w:val="009A47A2"/>
    <w:rsid w:val="009A6D9A"/>
    <w:rsid w:val="009B79EE"/>
    <w:rsid w:val="009E09E0"/>
    <w:rsid w:val="009E4F4B"/>
    <w:rsid w:val="009F0BA9"/>
    <w:rsid w:val="009F3A10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B1156A"/>
    <w:rsid w:val="00B14377"/>
    <w:rsid w:val="00B1733E"/>
    <w:rsid w:val="00B45785"/>
    <w:rsid w:val="00B52354"/>
    <w:rsid w:val="00B62568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A38C9"/>
    <w:rsid w:val="00CC6362"/>
    <w:rsid w:val="00CD163A"/>
    <w:rsid w:val="00CD367F"/>
    <w:rsid w:val="00CE40BB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3188"/>
    <w:rsid w:val="00E54E66"/>
    <w:rsid w:val="00E56E57"/>
    <w:rsid w:val="00E86DC6"/>
    <w:rsid w:val="00E91D24"/>
    <w:rsid w:val="00EC064C"/>
    <w:rsid w:val="00ED2157"/>
    <w:rsid w:val="00ED279F"/>
    <w:rsid w:val="00ED4CB2"/>
    <w:rsid w:val="00EF0733"/>
    <w:rsid w:val="00EF2642"/>
    <w:rsid w:val="00EF3681"/>
    <w:rsid w:val="00F06FDE"/>
    <w:rsid w:val="00F076D9"/>
    <w:rsid w:val="00F20BC2"/>
    <w:rsid w:val="00F23DBF"/>
    <w:rsid w:val="00F27805"/>
    <w:rsid w:val="00F34194"/>
    <w:rsid w:val="00F342E4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FAB96"/>
  <w15:docId w15:val="{7CC5618A-77D5-45A3-9FF8-39DB7F7E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OpNo">
    <w:name w:val="Op_No"/>
    <w:basedOn w:val="ResNo"/>
    <w:rsid w:val="009B79E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lang w:val="ru-RU"/>
    </w:rPr>
  </w:style>
  <w:style w:type="paragraph" w:customStyle="1" w:styleId="Optitle0">
    <w:name w:val="Op_title"/>
    <w:basedOn w:val="Restitle"/>
    <w:rsid w:val="009B79E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rFonts w:eastAsia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0</TotalTime>
  <Pages>6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17438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Opinion 3 - Resilience of telecommunication/ICTs</dc:title>
  <dc:subject>World telecommunication/information and communication technology policy forum</dc:subject>
  <cp:keywords>WTPF, WTPF-26</cp:keywords>
  <dc:description/>
  <dcterms:created xsi:type="dcterms:W3CDTF">2026-08-20T15:20:00Z</dcterms:created>
  <dcterms:modified xsi:type="dcterms:W3CDTF">2026-08-20T15:20:00Z</dcterms:modified>
  <cp:category>Conference document</cp:category>
</cp:coreProperties>
</file>