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088"/>
        <w:gridCol w:w="2943"/>
      </w:tblGrid>
      <w:tr w:rsidR="00CE496F" w:rsidRPr="00AA1DF1" w14:paraId="4484B0C5" w14:textId="77777777" w:rsidTr="00490624">
        <w:trPr>
          <w:cantSplit/>
          <w:trHeight w:hRule="exact" w:val="1418"/>
          <w:jc w:val="center"/>
        </w:trPr>
        <w:tc>
          <w:tcPr>
            <w:tcW w:w="10031" w:type="dxa"/>
            <w:gridSpan w:val="2"/>
            <w:tcMar>
              <w:left w:w="0" w:type="dxa"/>
              <w:right w:w="0" w:type="dxa"/>
            </w:tcMar>
            <w:vAlign w:val="center"/>
          </w:tcPr>
          <w:p w14:paraId="7A1CF8E0" w14:textId="6F52120C" w:rsidR="00CE496F" w:rsidRPr="00AA1DF1" w:rsidRDefault="0023018E" w:rsidP="00CE496F">
            <w:pPr>
              <w:spacing w:before="0" w:line="240" w:lineRule="atLeast"/>
              <w:rPr>
                <w:rFonts w:cstheme="minorHAnsi"/>
              </w:rPr>
            </w:pPr>
            <w:r>
              <w:rPr>
                <w:rFonts w:cstheme="minorHAnsi"/>
                <w:noProof/>
              </w:rPr>
              <w:drawing>
                <wp:inline distT="0" distB="0" distL="0" distR="0" wp14:anchorId="3A8B55D0" wp14:editId="0890ACE9">
                  <wp:extent cx="6660000" cy="971793"/>
                  <wp:effectExtent l="0" t="0" r="7620" b="0"/>
                  <wp:docPr id="164605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5545" name="Picture 16460554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E1AF7" w:rsidRPr="00AA1DF1" w14:paraId="3120A8D9" w14:textId="77777777" w:rsidTr="00BD5C12">
        <w:trPr>
          <w:cantSplit/>
          <w:jc w:val="center"/>
        </w:trPr>
        <w:tc>
          <w:tcPr>
            <w:tcW w:w="10031" w:type="dxa"/>
            <w:gridSpan w:val="2"/>
            <w:tcBorders>
              <w:bottom w:val="single" w:sz="12" w:space="0" w:color="71716F"/>
            </w:tcBorders>
          </w:tcPr>
          <w:p w14:paraId="57068B73" w14:textId="77777777" w:rsidR="002E1AF7" w:rsidRPr="00AA1DF1" w:rsidRDefault="002E1AF7" w:rsidP="00CE496F">
            <w:pPr>
              <w:spacing w:before="0" w:line="240" w:lineRule="atLeast"/>
              <w:rPr>
                <w:rFonts w:cstheme="minorHAnsi"/>
                <w:b/>
                <w:smallCaps/>
                <w:szCs w:val="24"/>
              </w:rPr>
            </w:pPr>
            <w:bookmarkStart w:id="0" w:name="dhead"/>
          </w:p>
        </w:tc>
      </w:tr>
      <w:tr w:rsidR="00BD1614" w:rsidRPr="00AA1DF1" w14:paraId="20A2296F" w14:textId="77777777" w:rsidTr="00490624">
        <w:trPr>
          <w:cantSplit/>
          <w:jc w:val="center"/>
        </w:trPr>
        <w:tc>
          <w:tcPr>
            <w:tcW w:w="7088" w:type="dxa"/>
            <w:tcBorders>
              <w:top w:val="single" w:sz="12" w:space="0" w:color="71716F"/>
            </w:tcBorders>
          </w:tcPr>
          <w:p w14:paraId="4CFA6027" w14:textId="77777777" w:rsidR="00BD1614" w:rsidRPr="00AA1DF1" w:rsidRDefault="00BD1614" w:rsidP="007A47E9">
            <w:pPr>
              <w:spacing w:before="0"/>
              <w:rPr>
                <w:rFonts w:cstheme="minorHAnsi"/>
                <w:b/>
                <w:smallCaps/>
                <w:szCs w:val="24"/>
              </w:rPr>
            </w:pPr>
          </w:p>
        </w:tc>
        <w:tc>
          <w:tcPr>
            <w:tcW w:w="2943" w:type="dxa"/>
            <w:tcBorders>
              <w:top w:val="single" w:sz="12" w:space="0" w:color="71716F"/>
            </w:tcBorders>
            <w:tcMar>
              <w:left w:w="142" w:type="dxa"/>
              <w:right w:w="0" w:type="dxa"/>
            </w:tcMar>
          </w:tcPr>
          <w:p w14:paraId="3C479168" w14:textId="77777777" w:rsidR="00BD1614" w:rsidRPr="00AA1DF1" w:rsidRDefault="00BD1614" w:rsidP="007A47E9">
            <w:pPr>
              <w:spacing w:before="0"/>
              <w:rPr>
                <w:rFonts w:cstheme="minorHAnsi"/>
                <w:szCs w:val="24"/>
              </w:rPr>
            </w:pPr>
          </w:p>
        </w:tc>
      </w:tr>
      <w:tr w:rsidR="00BD1614" w:rsidRPr="00AA1DF1" w14:paraId="5EBA9561" w14:textId="77777777" w:rsidTr="00490624">
        <w:trPr>
          <w:cantSplit/>
          <w:jc w:val="center"/>
        </w:trPr>
        <w:tc>
          <w:tcPr>
            <w:tcW w:w="7088" w:type="dxa"/>
          </w:tcPr>
          <w:p w14:paraId="081C5B53" w14:textId="579B80EB" w:rsidR="00BD1614" w:rsidRPr="00AA1DF1" w:rsidRDefault="00BD1614" w:rsidP="00801154">
            <w:pPr>
              <w:pStyle w:val="Committee"/>
              <w:framePr w:hSpace="0" w:wrap="auto" w:hAnchor="text" w:yAlign="inline"/>
              <w:spacing w:after="0" w:line="240" w:lineRule="auto"/>
              <w:rPr>
                <w:lang w:val="fr-FR"/>
              </w:rPr>
            </w:pPr>
          </w:p>
        </w:tc>
        <w:tc>
          <w:tcPr>
            <w:tcW w:w="2943" w:type="dxa"/>
            <w:tcMar>
              <w:left w:w="142" w:type="dxa"/>
              <w:right w:w="0" w:type="dxa"/>
            </w:tcMar>
          </w:tcPr>
          <w:p w14:paraId="42E82404" w14:textId="7ADE700E" w:rsidR="00BD1614" w:rsidRPr="00AA1DF1" w:rsidRDefault="00BD1614" w:rsidP="007A47E9">
            <w:pPr>
              <w:spacing w:before="0"/>
              <w:rPr>
                <w:rFonts w:cstheme="minorHAnsi"/>
                <w:szCs w:val="24"/>
              </w:rPr>
            </w:pPr>
          </w:p>
        </w:tc>
      </w:tr>
      <w:tr w:rsidR="00BD1614" w:rsidRPr="00AA1DF1" w14:paraId="5C605E2F" w14:textId="77777777" w:rsidTr="00490624">
        <w:trPr>
          <w:cantSplit/>
          <w:jc w:val="center"/>
        </w:trPr>
        <w:tc>
          <w:tcPr>
            <w:tcW w:w="7088" w:type="dxa"/>
          </w:tcPr>
          <w:p w14:paraId="3701819B" w14:textId="4343949C" w:rsidR="00BD1614" w:rsidRPr="00AA1DF1" w:rsidRDefault="00BD1614" w:rsidP="007A47E9">
            <w:pPr>
              <w:spacing w:before="0"/>
              <w:rPr>
                <w:rFonts w:cstheme="minorHAnsi"/>
                <w:b/>
                <w:szCs w:val="24"/>
              </w:rPr>
            </w:pPr>
          </w:p>
        </w:tc>
        <w:tc>
          <w:tcPr>
            <w:tcW w:w="2943" w:type="dxa"/>
            <w:tcMar>
              <w:left w:w="142" w:type="dxa"/>
              <w:right w:w="0" w:type="dxa"/>
            </w:tcMar>
          </w:tcPr>
          <w:p w14:paraId="4FD5E934" w14:textId="2F1797AF" w:rsidR="00BD1614" w:rsidRPr="00AA1DF1" w:rsidRDefault="00240E0D" w:rsidP="007A47E9">
            <w:pPr>
              <w:spacing w:before="0"/>
              <w:rPr>
                <w:rFonts w:cstheme="minorHAnsi"/>
                <w:b/>
                <w:szCs w:val="24"/>
              </w:rPr>
            </w:pPr>
            <w:r>
              <w:rPr>
                <w:b/>
              </w:rPr>
              <w:t>29 avril</w:t>
            </w:r>
            <w:r w:rsidR="00C550C5" w:rsidRPr="00AA1DF1">
              <w:rPr>
                <w:b/>
              </w:rPr>
              <w:t xml:space="preserve"> 2026</w:t>
            </w:r>
          </w:p>
        </w:tc>
      </w:tr>
      <w:tr w:rsidR="00BD1614" w:rsidRPr="00AA1DF1" w14:paraId="6B2B4BC1" w14:textId="77777777" w:rsidTr="00490624">
        <w:trPr>
          <w:cantSplit/>
          <w:jc w:val="center"/>
        </w:trPr>
        <w:tc>
          <w:tcPr>
            <w:tcW w:w="7088" w:type="dxa"/>
          </w:tcPr>
          <w:p w14:paraId="780A194C" w14:textId="77777777" w:rsidR="00BD1614" w:rsidRPr="00AA1DF1" w:rsidRDefault="00BD1614" w:rsidP="007A47E9">
            <w:pPr>
              <w:spacing w:before="0"/>
              <w:rPr>
                <w:rFonts w:cstheme="minorHAnsi"/>
                <w:b/>
                <w:smallCaps/>
                <w:szCs w:val="24"/>
              </w:rPr>
            </w:pPr>
          </w:p>
        </w:tc>
        <w:tc>
          <w:tcPr>
            <w:tcW w:w="2943" w:type="dxa"/>
            <w:tcMar>
              <w:left w:w="142" w:type="dxa"/>
              <w:right w:w="0" w:type="dxa"/>
            </w:tcMar>
          </w:tcPr>
          <w:p w14:paraId="36796BDA" w14:textId="7A166A47" w:rsidR="00BD1614" w:rsidRPr="00AA1DF1" w:rsidRDefault="00801154" w:rsidP="007A47E9">
            <w:pPr>
              <w:spacing w:before="0"/>
              <w:rPr>
                <w:rFonts w:cstheme="minorHAnsi"/>
                <w:b/>
                <w:szCs w:val="24"/>
              </w:rPr>
            </w:pPr>
            <w:r w:rsidRPr="00AA1DF1">
              <w:rPr>
                <w:rFonts w:cstheme="minorHAnsi"/>
                <w:b/>
                <w:szCs w:val="24"/>
              </w:rPr>
              <w:t xml:space="preserve">Original: </w:t>
            </w:r>
            <w:r w:rsidR="00C550C5" w:rsidRPr="00AA1DF1">
              <w:rPr>
                <w:b/>
                <w:bCs/>
                <w:color w:val="000000"/>
                <w:szCs w:val="24"/>
              </w:rPr>
              <w:t>anglais</w:t>
            </w:r>
          </w:p>
        </w:tc>
      </w:tr>
      <w:tr w:rsidR="00BD1614" w:rsidRPr="00AA1DF1" w14:paraId="4259B884" w14:textId="77777777" w:rsidTr="002E1AF7">
        <w:trPr>
          <w:cantSplit/>
          <w:jc w:val="center"/>
        </w:trPr>
        <w:tc>
          <w:tcPr>
            <w:tcW w:w="10031" w:type="dxa"/>
            <w:gridSpan w:val="2"/>
          </w:tcPr>
          <w:p w14:paraId="770628D7" w14:textId="77777777" w:rsidR="00BD1614" w:rsidRPr="00AA1DF1" w:rsidRDefault="00BD1614" w:rsidP="007A47E9">
            <w:pPr>
              <w:spacing w:before="0" w:line="240" w:lineRule="atLeast"/>
              <w:rPr>
                <w:rFonts w:cstheme="minorHAnsi"/>
                <w:b/>
                <w:szCs w:val="24"/>
              </w:rPr>
            </w:pPr>
          </w:p>
        </w:tc>
      </w:tr>
    </w:tbl>
    <w:p w14:paraId="707B4EE3" w14:textId="0709E266" w:rsidR="00B119C6" w:rsidRPr="00AA1DF1" w:rsidRDefault="0023018E" w:rsidP="00B119C6">
      <w:pPr>
        <w:pStyle w:val="RecNo"/>
      </w:pPr>
      <w:bookmarkStart w:id="1" w:name="_Hlk182852311"/>
      <w:bookmarkEnd w:id="0"/>
      <w:r w:rsidRPr="00AA1DF1">
        <w:rPr>
          <w:caps w:val="0"/>
        </w:rPr>
        <w:t>PROJET D'AVIS 3</w:t>
      </w:r>
    </w:p>
    <w:p w14:paraId="458E4144" w14:textId="77777777" w:rsidR="00B119C6" w:rsidRPr="00AA1DF1" w:rsidRDefault="00B119C6" w:rsidP="00B119C6">
      <w:pPr>
        <w:pStyle w:val="Rectitle"/>
      </w:pPr>
      <w:r w:rsidRPr="00AA1DF1">
        <w:t>Résilience des télécommunications/TIC</w:t>
      </w:r>
    </w:p>
    <w:p w14:paraId="7D6AAFA2" w14:textId="77777777" w:rsidR="00B119C6" w:rsidRPr="00AA1DF1" w:rsidRDefault="00B119C6" w:rsidP="0023018E">
      <w:pPr>
        <w:pStyle w:val="Normalaftertitle"/>
        <w:jc w:val="both"/>
      </w:pPr>
      <w:r w:rsidRPr="00AA1DF1">
        <w:t>Le septième Forum mondial des politiques de télécommunication/technologies de l'information et de la communication (Nassau, 2026),</w:t>
      </w:r>
    </w:p>
    <w:p w14:paraId="00E0C334" w14:textId="77777777" w:rsidR="00B119C6" w:rsidRPr="00AA1DF1" w:rsidRDefault="00B119C6" w:rsidP="00434918">
      <w:pPr>
        <w:pStyle w:val="Call"/>
      </w:pPr>
      <w:r w:rsidRPr="00AA1DF1">
        <w:t>rappelant</w:t>
      </w:r>
    </w:p>
    <w:p w14:paraId="49AD645A" w14:textId="77777777" w:rsidR="00B119C6" w:rsidRPr="00AA1DF1" w:rsidRDefault="00B119C6" w:rsidP="0023018E">
      <w:pPr>
        <w:jc w:val="both"/>
      </w:pPr>
      <w:r w:rsidRPr="00AA1DF1">
        <w:rPr>
          <w:i/>
          <w:iCs/>
        </w:rPr>
        <w:t>a)</w:t>
      </w:r>
      <w:r w:rsidRPr="00AA1DF1">
        <w:tab/>
        <w:t>la Résolution 79/1 de l'Assemblée générale des Nations Unies relative au Pacte pour l'avenir;</w:t>
      </w:r>
    </w:p>
    <w:p w14:paraId="1BEFAEF5" w14:textId="77777777" w:rsidR="00B119C6" w:rsidRPr="00AA1DF1" w:rsidRDefault="00B119C6" w:rsidP="0023018E">
      <w:pPr>
        <w:jc w:val="both"/>
      </w:pPr>
      <w:r w:rsidRPr="00AA1DF1">
        <w:rPr>
          <w:i/>
          <w:iCs/>
        </w:rPr>
        <w:t>b)</w:t>
      </w:r>
      <w:r w:rsidRPr="00AA1DF1">
        <w:tab/>
        <w:t>la Résolution 70/1 de l'Assemblée générale des Nations Unies, intitulée "Transformer notre monde: le Programme de développement durable à l'horizon 2030", en particulier les Objectifs de développement durable 12 (Établir des modes de consommation et de production durables) et 13 (Prendre d'urgence des mesures pour lutter contre les changements climatiques et leurs répercussions);</w:t>
      </w:r>
    </w:p>
    <w:p w14:paraId="5517BF46"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c)</w:t>
      </w:r>
      <w:r w:rsidRPr="00AA1DF1">
        <w:rPr>
          <w:szCs w:val="24"/>
        </w:rPr>
        <w:tab/>
        <w:t>la Résolution 80/173 de l'Assemblée générale des Nations Unies, intitulée "Document final de la réunion de haut niveau de l'Assemblée générale sur l'examen d'ensemble de la mise en œuvre des textes issus du Sommet mondial sur la société de l'information" (SMSI+20);</w:t>
      </w:r>
    </w:p>
    <w:p w14:paraId="0B11CB35"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d)</w:t>
      </w:r>
      <w:r w:rsidRPr="00AA1DF1">
        <w:rPr>
          <w:szCs w:val="24"/>
        </w:rPr>
        <w:tab/>
        <w:t>la Résolution 130 (Rév. Bucarest, 2022) de la Conférence de plénipotentiaires sur le renforcement du rôle de l'UIT dans l'instauration de la confiance et de la sécurité dans l'utilisation des technologies de l'information et de la communication (TIC);</w:t>
      </w:r>
    </w:p>
    <w:p w14:paraId="44AD5D83"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e)</w:t>
      </w:r>
      <w:r w:rsidRPr="00AA1DF1">
        <w:rPr>
          <w:szCs w:val="24"/>
        </w:rPr>
        <w:tab/>
        <w:t>la Résolution 136 (Rév. Bucarest, 2022) de la Conférence de plénipotentiaires sur l'utilisation des télécommunications/TIC pour l'aide humanitaire, pour le contrôle et la gestion des situations d'urgence et de catastrophe, y compris des urgences sanitaires, et pour l'alerte avancée, la prévention, l'atténuation des effets des catastrophes et les opérations de secours;</w:t>
      </w:r>
    </w:p>
    <w:p w14:paraId="49E93957"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f)</w:t>
      </w:r>
      <w:r w:rsidRPr="00AA1DF1">
        <w:rPr>
          <w:szCs w:val="24"/>
        </w:rPr>
        <w:tab/>
        <w:t>la Résolution 139 (Rév. Bucarest, 2022) de la Conférence de plénipotentiaires sur l'utilisation des télécommunications/TIC pour réduire la fracture numérique et édifier une société de l'information inclusive;</w:t>
      </w:r>
    </w:p>
    <w:p w14:paraId="134994C7"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g)</w:t>
      </w:r>
      <w:r w:rsidRPr="00AA1DF1">
        <w:rPr>
          <w:szCs w:val="24"/>
        </w:rPr>
        <w:tab/>
        <w:t>la Résolution 182 (Rév. Bucarest, 2022) de la Conférence de plénipotentiaires sur le rôle des télécommunications/TIC en ce qui concerne les changements climatiques et la protection de l'environnement;</w:t>
      </w:r>
    </w:p>
    <w:p w14:paraId="08DD456D"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h)</w:t>
      </w:r>
      <w:r w:rsidRPr="00AA1DF1">
        <w:rPr>
          <w:szCs w:val="24"/>
        </w:rPr>
        <w:tab/>
        <w:t>la Résolution 200 (Rév. Bucarest, 2022) de la Conférence de plénipotentiaires sur le Programme Connect 2030 pour le développement des télécommunications/TIC dans le monde, y compris le large bande, en faveur du développement durable;</w:t>
      </w:r>
    </w:p>
    <w:p w14:paraId="2BBD23BE"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lastRenderedPageBreak/>
        <w:t>i)</w:t>
      </w:r>
      <w:r w:rsidRPr="00AA1DF1">
        <w:rPr>
          <w:szCs w:val="24"/>
        </w:rPr>
        <w:tab/>
        <w:t>la Résolution 11 (Rév. Bakou, 2025) de la Conférence mondiale de développement des télécommunications (CMDT) relative aux services issus des télécommunications/TIC dans les zones rurales, isolées, non desservies et mal desservies;</w:t>
      </w:r>
    </w:p>
    <w:p w14:paraId="1210EBE5"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j)</w:t>
      </w:r>
      <w:r w:rsidRPr="00AA1DF1">
        <w:rPr>
          <w:szCs w:val="24"/>
        </w:rPr>
        <w:tab/>
        <w:t>la Résolution 34 (Rév. Bakou, 2025) de la CMDT sur le rôle des télécommunications et des TIC dans la préparation en prévision des catastrophes, l'alerte avancée, l'atténuation des effets des catastrophes, les interventions et les opérations de secours;</w:t>
      </w:r>
    </w:p>
    <w:p w14:paraId="2E3668B0"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k)</w:t>
      </w:r>
      <w:r w:rsidRPr="00AA1DF1">
        <w:rPr>
          <w:szCs w:val="24"/>
        </w:rPr>
        <w:tab/>
        <w:t>la Résolution 37 (Rév. Bakou, 2025) de la CMDT sur la réduction de la fracture numérique;</w:t>
      </w:r>
    </w:p>
    <w:p w14:paraId="785B0020"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l)</w:t>
      </w:r>
      <w:r w:rsidRPr="00AA1DF1">
        <w:rPr>
          <w:szCs w:val="24"/>
        </w:rPr>
        <w:tab/>
        <w:t>la Résolution 45 (Rév. Bakou, 2025) de la CMDT sur les mécanismes propres à améliorer la coopération en matière de cybersécurité,</w:t>
      </w:r>
      <w:r w:rsidRPr="00AA1DF1">
        <w:rPr>
          <w:rFonts w:ascii="Segoe UI" w:hAnsi="Segoe UI" w:cs="Segoe UI"/>
          <w:color w:val="000000"/>
          <w:sz w:val="20"/>
          <w:shd w:val="clear" w:color="auto" w:fill="FFFFFF"/>
        </w:rPr>
        <w:t xml:space="preserve"> </w:t>
      </w:r>
      <w:r w:rsidRPr="00AA1DF1">
        <w:rPr>
          <w:szCs w:val="24"/>
        </w:rPr>
        <w:t>y compris dans la lutte contre le spam,</w:t>
      </w:r>
    </w:p>
    <w:p w14:paraId="5620C3CF" w14:textId="77777777" w:rsidR="00B119C6" w:rsidRPr="00AA1DF1" w:rsidRDefault="00B119C6" w:rsidP="00434918">
      <w:pPr>
        <w:pStyle w:val="Call"/>
      </w:pPr>
      <w:r w:rsidRPr="00AA1DF1">
        <w:t>notant</w:t>
      </w:r>
    </w:p>
    <w:p w14:paraId="4204C387" w14:textId="77777777" w:rsidR="00B119C6" w:rsidRPr="00AA1DF1" w:rsidRDefault="00B119C6" w:rsidP="0023018E">
      <w:pPr>
        <w:tabs>
          <w:tab w:val="clear" w:pos="1134"/>
          <w:tab w:val="clear" w:pos="1701"/>
          <w:tab w:val="clear" w:pos="2268"/>
          <w:tab w:val="clear" w:pos="2835"/>
        </w:tabs>
        <w:overflowPunct/>
        <w:autoSpaceDE/>
        <w:autoSpaceDN/>
        <w:adjustRightInd/>
        <w:spacing w:before="80"/>
        <w:jc w:val="both"/>
        <w:textAlignment w:val="auto"/>
        <w:rPr>
          <w:rFonts w:asciiTheme="minorHAnsi" w:hAnsiTheme="minorHAnsi" w:cstheme="minorHAnsi"/>
          <w:bCs/>
          <w:szCs w:val="24"/>
        </w:rPr>
      </w:pPr>
      <w:r w:rsidRPr="00AA1DF1">
        <w:rPr>
          <w:szCs w:val="24"/>
        </w:rPr>
        <w:t>que les télécommunications/TIC résilientes sont capables de prévoir diverses situations d'urgence, notamment mais non exclusivement les urgences liées au climat, les cyberincidents, les catastrophes ou les dangers naturels, de répondre à ces situations et d'y faire face,</w:t>
      </w:r>
    </w:p>
    <w:p w14:paraId="4BCDD807" w14:textId="77777777" w:rsidR="00B119C6" w:rsidRPr="00AA1DF1" w:rsidRDefault="00B119C6" w:rsidP="00434918">
      <w:pPr>
        <w:pStyle w:val="Call"/>
      </w:pPr>
      <w:r w:rsidRPr="00AA1DF1">
        <w:t>ayant à l'esprit</w:t>
      </w:r>
    </w:p>
    <w:p w14:paraId="32E5510C" w14:textId="77777777" w:rsidR="00B119C6" w:rsidRPr="00AA1DF1" w:rsidRDefault="00B119C6" w:rsidP="0023018E">
      <w:pPr>
        <w:tabs>
          <w:tab w:val="clear" w:pos="1134"/>
          <w:tab w:val="clear" w:pos="1701"/>
          <w:tab w:val="clear" w:pos="2268"/>
          <w:tab w:val="clear" w:pos="2835"/>
        </w:tabs>
        <w:overflowPunct/>
        <w:autoSpaceDE/>
        <w:autoSpaceDN/>
        <w:adjustRightInd/>
        <w:spacing w:before="80"/>
        <w:jc w:val="both"/>
        <w:textAlignment w:val="auto"/>
        <w:rPr>
          <w:rFonts w:asciiTheme="minorHAnsi" w:eastAsiaTheme="minorEastAsia" w:hAnsiTheme="minorHAnsi" w:cstheme="minorHAnsi"/>
          <w:szCs w:val="24"/>
        </w:rPr>
      </w:pPr>
      <w:r w:rsidRPr="00AA1DF1">
        <w:rPr>
          <w:i/>
          <w:iCs/>
        </w:rPr>
        <w:t>a)</w:t>
      </w:r>
      <w:r w:rsidRPr="00AA1DF1">
        <w:rPr>
          <w:szCs w:val="24"/>
        </w:rPr>
        <w:tab/>
        <w:t>qu'il est vital de mettre en place des infrastructures de télécommunication/TIC résilientes, capables de faire face aux catastrophes ou aux dangers naturels, aux différentes cybermenaces et aux pannes techniques non malveillantes, à une époque où l'accès aux services et renseignements essentiels, ainsi que leur fourniture, dépendent de l'Internet;</w:t>
      </w:r>
    </w:p>
    <w:p w14:paraId="2262FE4C"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b)</w:t>
      </w:r>
      <w:r w:rsidRPr="00AA1DF1">
        <w:rPr>
          <w:szCs w:val="24"/>
        </w:rPr>
        <w:tab/>
        <w:t>que les initiatives en matière de résilience revêtent de plus en plus d'importance car les changements climatiques contribuent à un nombre croissant de catastrophes qui affectent les télécommunications/TIC;</w:t>
      </w:r>
    </w:p>
    <w:p w14:paraId="4AC26148"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c)</w:t>
      </w:r>
      <w:r w:rsidRPr="00AA1DF1">
        <w:rPr>
          <w:szCs w:val="24"/>
        </w:rPr>
        <w:tab/>
        <w:t>qu'il importe de veiller à ce que des télécommunications/TIC résilientes soient accessibles à tous, en particulier aux groupes non desservis ou mal desservis, étant donné que les crises peuvent aggraver les inégalités et les fractures numériques préexistantes;</w:t>
      </w:r>
    </w:p>
    <w:p w14:paraId="1E1ADF6D"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d)</w:t>
      </w:r>
      <w:r w:rsidRPr="00AA1DF1">
        <w:rPr>
          <w:szCs w:val="24"/>
        </w:rPr>
        <w:tab/>
        <w:t>que des problèmes multiples et interdépendants découlent de la fracture numérique géographique lors de la conception et du déploiement de systèmes de télécommunication/TIC résilients dans les pays les moins avancés (PMA), les pays en développement sans littoral (PDSL) et les petits États insulaires en développement (PEID), où la capacité limitée pour ce qui est de renforcer la résilience et la vulnérabilité géographique aggravent les conséquences des situations d'urgence pour leur économie et leurs infrastructures;</w:t>
      </w:r>
    </w:p>
    <w:p w14:paraId="07FA0B07"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e)</w:t>
      </w:r>
      <w:r w:rsidRPr="00AA1DF1">
        <w:rPr>
          <w:szCs w:val="24"/>
        </w:rPr>
        <w:tab/>
        <w:t>qu'il importe de mettre au point des systèmes de télécommunication/TIC résilients capables de faire face à différentes menaces, tout en répondant aux besoins divers des utilisateurs, en particulier les personnes en situation de handicap et les personnes ayant des besoins particuliers, pour garantir le déploiement équitable de télécommunications/TIC résilientes;</w:t>
      </w:r>
    </w:p>
    <w:p w14:paraId="1E85C863" w14:textId="77777777" w:rsidR="00B119C6" w:rsidRPr="00AA1DF1" w:rsidRDefault="00B119C6" w:rsidP="0023018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f)</w:t>
      </w:r>
      <w:r w:rsidRPr="00AA1DF1">
        <w:rPr>
          <w:szCs w:val="24"/>
        </w:rPr>
        <w:tab/>
        <w:t>que le Comité des Nations Unies pour l'élimination de la discrimination à l'égard des femmes a relevé, dans sa Recommandation générale N° 37, que l'absence de participation active des femmes aux programmes relatifs à la réduction des risques de catastrophe et à la résilience face aux changements climatiques pouvait nuire au développement et à l'efficacité de ces programmes,</w:t>
      </w:r>
    </w:p>
    <w:p w14:paraId="0D654453" w14:textId="77777777" w:rsidR="00B119C6" w:rsidRPr="00AA1DF1" w:rsidRDefault="00B119C6" w:rsidP="00240E0D">
      <w:pPr>
        <w:pStyle w:val="Call"/>
        <w:keepNext w:val="0"/>
        <w:keepLines w:val="0"/>
        <w:widowControl w:val="0"/>
      </w:pPr>
      <w:r w:rsidRPr="00AA1DF1">
        <w:t>considérant</w:t>
      </w:r>
    </w:p>
    <w:p w14:paraId="00FAED23" w14:textId="77777777" w:rsidR="00B119C6" w:rsidRPr="00AA1DF1" w:rsidRDefault="00B119C6" w:rsidP="0023018E">
      <w:pPr>
        <w:widowControl w:val="0"/>
        <w:spacing w:before="80"/>
        <w:jc w:val="both"/>
        <w:rPr>
          <w:rFonts w:asciiTheme="minorHAnsi" w:hAnsiTheme="minorHAnsi" w:cstheme="minorHAnsi"/>
          <w:szCs w:val="24"/>
        </w:rPr>
      </w:pPr>
      <w:r w:rsidRPr="00AA1DF1">
        <w:rPr>
          <w:i/>
          <w:iCs/>
        </w:rPr>
        <w:t>a)</w:t>
      </w:r>
      <w:r w:rsidRPr="00AA1DF1">
        <w:rPr>
          <w:szCs w:val="24"/>
        </w:rPr>
        <w:tab/>
        <w:t>que des infrastructures de télécommunication/TIC résilientes sont essentielles pour soutenir l'économie numérique mondiale, encourager l'innovation et stimuler la croissance, d'autant plus que les économies sont de plus en plus tributaires de systèmes de TIC robustes;</w:t>
      </w:r>
    </w:p>
    <w:p w14:paraId="3568080B" w14:textId="77777777" w:rsidR="00B119C6" w:rsidRPr="00AA1DF1" w:rsidRDefault="00B119C6" w:rsidP="0023018E">
      <w:pPr>
        <w:jc w:val="both"/>
        <w:rPr>
          <w:rFonts w:asciiTheme="minorHAnsi" w:hAnsiTheme="minorHAnsi" w:cstheme="minorHAnsi"/>
          <w:szCs w:val="24"/>
        </w:rPr>
      </w:pPr>
      <w:r w:rsidRPr="00AA1DF1">
        <w:rPr>
          <w:i/>
          <w:iCs/>
        </w:rPr>
        <w:lastRenderedPageBreak/>
        <w:t>b)</w:t>
      </w:r>
      <w:r w:rsidRPr="00AA1DF1">
        <w:rPr>
          <w:szCs w:val="24"/>
        </w:rPr>
        <w:tab/>
        <w:t>que la promotion d'une connectivité fiable et sûre et de l'accessibilité des systèmes de télécommunication/TIC pour tous les segments de la société peut améliorer les débouchés économiques, l'éducation, les soins de santé et d'autres secteurs essentiels, contribuant ainsi au développement économique durable;</w:t>
      </w:r>
    </w:p>
    <w:p w14:paraId="73096DE7" w14:textId="77777777" w:rsidR="00B119C6" w:rsidRPr="00AA1DF1" w:rsidRDefault="00B119C6" w:rsidP="0023018E">
      <w:pPr>
        <w:jc w:val="both"/>
        <w:rPr>
          <w:rFonts w:asciiTheme="minorHAnsi" w:hAnsiTheme="minorHAnsi" w:cstheme="minorHAnsi"/>
          <w:szCs w:val="24"/>
        </w:rPr>
      </w:pPr>
      <w:r w:rsidRPr="00AA1DF1">
        <w:rPr>
          <w:i/>
          <w:iCs/>
        </w:rPr>
        <w:t>c)</w:t>
      </w:r>
      <w:r w:rsidRPr="00AA1DF1">
        <w:rPr>
          <w:szCs w:val="24"/>
        </w:rPr>
        <w:tab/>
        <w:t>que le renforcement de l'infrastructure des télécommunications/TIC dans les zones mal desservies et isolées, grâce à des solutions innovantes, contribuerait à la résilience des économies numériques;</w:t>
      </w:r>
    </w:p>
    <w:p w14:paraId="4BCA2F67" w14:textId="77777777" w:rsidR="00B119C6" w:rsidRPr="00AA1DF1" w:rsidRDefault="00B119C6" w:rsidP="0023018E">
      <w:pPr>
        <w:keepNext/>
        <w:keepLines/>
        <w:jc w:val="both"/>
        <w:rPr>
          <w:rFonts w:asciiTheme="minorHAnsi" w:hAnsiTheme="minorHAnsi" w:cstheme="minorHAnsi"/>
          <w:szCs w:val="24"/>
        </w:rPr>
      </w:pPr>
      <w:r w:rsidRPr="00AA1DF1">
        <w:rPr>
          <w:i/>
          <w:iCs/>
        </w:rPr>
        <w:t>d)</w:t>
      </w:r>
      <w:r w:rsidRPr="00AA1DF1">
        <w:rPr>
          <w:szCs w:val="24"/>
        </w:rPr>
        <w:tab/>
        <w:t>que des systèmes de télécommunication/TIC résilients et sûrs sont indispensables pour assurer la continuité des activités, la fourniture de services publics et l'accès aux services essentiels en temps de crise et en cas de catastrophes naturelles, de cybermenaces diverses, de pannes techniques non malveillantes et d'urgences sanitaires à l'échelle mondiale;</w:t>
      </w:r>
    </w:p>
    <w:p w14:paraId="26895F42" w14:textId="77777777" w:rsidR="00B119C6" w:rsidRPr="00AA1DF1" w:rsidRDefault="00B119C6" w:rsidP="0023018E">
      <w:pPr>
        <w:jc w:val="both"/>
        <w:rPr>
          <w:rFonts w:asciiTheme="minorHAnsi" w:hAnsiTheme="minorHAnsi" w:cstheme="minorHAnsi"/>
          <w:szCs w:val="24"/>
        </w:rPr>
      </w:pPr>
      <w:r w:rsidRPr="00AA1DF1">
        <w:rPr>
          <w:i/>
          <w:iCs/>
        </w:rPr>
        <w:t>e)</w:t>
      </w:r>
      <w:r w:rsidRPr="00AA1DF1">
        <w:rPr>
          <w:szCs w:val="24"/>
        </w:rPr>
        <w:tab/>
        <w:t>que l'utilisation des télécommunications/TIC pour l'échange d'informations en cas de crise constitue un instrument efficace pour la prise de décisions pour les services de secours et d'intervention et les exploitations et pour la communication avec les personnes et entre elles; que les TIC sont essentielles aux activités liées à la résilience face aux changements climatiques, telles que la surveillance du climat et la protection des écosystèmes naturels, la collecte de données, le transfert rapide d'informations et la gestion des risques liés à ces changements;</w:t>
      </w:r>
    </w:p>
    <w:p w14:paraId="7F181C79" w14:textId="77777777" w:rsidR="00B119C6" w:rsidRPr="00AA1DF1" w:rsidRDefault="00B119C6" w:rsidP="0023018E">
      <w:pPr>
        <w:jc w:val="both"/>
        <w:rPr>
          <w:rFonts w:asciiTheme="minorHAnsi" w:hAnsiTheme="minorHAnsi" w:cstheme="minorHAnsi"/>
          <w:szCs w:val="24"/>
        </w:rPr>
      </w:pPr>
      <w:r w:rsidRPr="00AA1DF1">
        <w:rPr>
          <w:i/>
          <w:iCs/>
        </w:rPr>
        <w:t>f)</w:t>
      </w:r>
      <w:r w:rsidRPr="00AA1DF1">
        <w:rPr>
          <w:szCs w:val="24"/>
        </w:rPr>
        <w:tab/>
        <w:t>que les systèmes de télécommunication/TIC doivent rester résilients et fiables face à toute une série de perturbations externes, telles que les catastrophes ou les risques naturels, les coupures d'électricité et les cyberincidents;</w:t>
      </w:r>
    </w:p>
    <w:p w14:paraId="5B094252" w14:textId="77777777" w:rsidR="00B119C6" w:rsidRPr="00AA1DF1" w:rsidRDefault="00B119C6" w:rsidP="0023018E">
      <w:pPr>
        <w:jc w:val="both"/>
        <w:rPr>
          <w:rFonts w:asciiTheme="minorHAnsi" w:hAnsiTheme="minorHAnsi" w:cstheme="minorHAnsi"/>
          <w:szCs w:val="24"/>
        </w:rPr>
      </w:pPr>
      <w:r w:rsidRPr="00AA1DF1">
        <w:rPr>
          <w:i/>
          <w:iCs/>
        </w:rPr>
        <w:t>g)</w:t>
      </w:r>
      <w:r w:rsidRPr="00AA1DF1">
        <w:rPr>
          <w:szCs w:val="24"/>
        </w:rPr>
        <w:tab/>
        <w:t>qu'il est essentiel de renforcer la cybersécurité des systèmes de télécommunication/TIC pour instaurer la confiance dans les économies numériques, prendre en charge les transactions financières et le commerce électronique et protéger les informations d'identification personnelle;</w:t>
      </w:r>
    </w:p>
    <w:p w14:paraId="0D422114" w14:textId="77777777" w:rsidR="00B119C6" w:rsidRPr="00AA1DF1" w:rsidRDefault="00B119C6" w:rsidP="0023018E">
      <w:pPr>
        <w:jc w:val="both"/>
        <w:rPr>
          <w:rFonts w:asciiTheme="minorHAnsi" w:hAnsiTheme="minorHAnsi" w:cstheme="minorHAnsi"/>
          <w:szCs w:val="24"/>
        </w:rPr>
      </w:pPr>
      <w:r w:rsidRPr="00AA1DF1">
        <w:rPr>
          <w:i/>
          <w:iCs/>
        </w:rPr>
        <w:t>h)</w:t>
      </w:r>
      <w:r w:rsidRPr="00AA1DF1">
        <w:rPr>
          <w:szCs w:val="24"/>
        </w:rPr>
        <w:tab/>
        <w:t>que la résilience devrait être intégrée à toutes les étapes de la conception et du déploiement des télécommunications/TIC pour préserver leur durabilité tout au long de leur cycle de vie, pour leur permettre de s'adapter à des environnements changeants et pour éviter d'aggraver les menaces et les vulnérabilités;</w:t>
      </w:r>
    </w:p>
    <w:p w14:paraId="3CFBB536" w14:textId="77777777" w:rsidR="00B119C6" w:rsidRPr="00AA1DF1" w:rsidRDefault="00B119C6" w:rsidP="0023018E">
      <w:pPr>
        <w:jc w:val="both"/>
        <w:rPr>
          <w:rFonts w:asciiTheme="minorHAnsi" w:hAnsiTheme="minorHAnsi" w:cstheme="minorHAnsi"/>
          <w:szCs w:val="24"/>
        </w:rPr>
      </w:pPr>
      <w:r w:rsidRPr="00AA1DF1">
        <w:rPr>
          <w:i/>
          <w:iCs/>
        </w:rPr>
        <w:t>i)</w:t>
      </w:r>
      <w:r w:rsidRPr="00AA1DF1">
        <w:rPr>
          <w:szCs w:val="24"/>
        </w:rPr>
        <w:tab/>
        <w:t>qu'il convient de sensibiliser davantage le public aux mesures de sécurité élémentaires visant à renforcer la résilience, notamment en matière de cyberhygiène, et de veiller à ce que tous les messages soient accessibles à tous les utilisateurs;</w:t>
      </w:r>
    </w:p>
    <w:p w14:paraId="1F63B442" w14:textId="77777777" w:rsidR="00B119C6" w:rsidRPr="00AA1DF1" w:rsidRDefault="00B119C6" w:rsidP="0023018E">
      <w:pPr>
        <w:jc w:val="both"/>
        <w:rPr>
          <w:rFonts w:asciiTheme="minorHAnsi" w:hAnsiTheme="minorHAnsi" w:cstheme="minorHAnsi"/>
          <w:szCs w:val="24"/>
        </w:rPr>
      </w:pPr>
      <w:r w:rsidRPr="00AA1DF1">
        <w:rPr>
          <w:i/>
          <w:iCs/>
        </w:rPr>
        <w:t>j)</w:t>
      </w:r>
      <w:r w:rsidRPr="00AA1DF1">
        <w:rPr>
          <w:szCs w:val="24"/>
        </w:rPr>
        <w:tab/>
        <w:t>qu'il est crucial de favoriser les partenariats entre les gouvernements, le secteur privé, les autorités de régulation, la société civile, les milieux techniques, les établissements universitaires et les organisations internationales pour garantir le développement d'écosystèmes de télécommunication/TIC résilients, capables de s'adapter à l'évolution des menaces et des possibilités dans l'économie numérique;</w:t>
      </w:r>
    </w:p>
    <w:p w14:paraId="4F070112" w14:textId="77777777" w:rsidR="00B119C6" w:rsidRPr="00AA1DF1" w:rsidRDefault="00B119C6" w:rsidP="0023018E">
      <w:pPr>
        <w:jc w:val="both"/>
        <w:rPr>
          <w:rFonts w:asciiTheme="minorHAnsi" w:hAnsiTheme="minorHAnsi" w:cstheme="minorHAnsi"/>
          <w:szCs w:val="24"/>
        </w:rPr>
      </w:pPr>
      <w:r w:rsidRPr="00AA1DF1">
        <w:rPr>
          <w:i/>
          <w:iCs/>
        </w:rPr>
        <w:t>k)</w:t>
      </w:r>
      <w:r w:rsidRPr="00AA1DF1">
        <w:rPr>
          <w:szCs w:val="24"/>
        </w:rPr>
        <w:tab/>
        <w:t>que la collaboration internationale et l'échange de bonnes pratiques peuvent renforcer les capacités nationales à mettre en place des systèmes de télécommunication/TIC robustes, permettant ainsi à tous les pays de tirer parti des possibilités offertes par l'économie numérique;</w:t>
      </w:r>
    </w:p>
    <w:p w14:paraId="5AC0F91D" w14:textId="77777777" w:rsidR="00B119C6" w:rsidRPr="00AA1DF1" w:rsidRDefault="00B119C6" w:rsidP="0023018E">
      <w:pPr>
        <w:jc w:val="both"/>
        <w:rPr>
          <w:rFonts w:asciiTheme="minorHAnsi" w:hAnsiTheme="minorHAnsi" w:cstheme="minorHAnsi"/>
          <w:szCs w:val="24"/>
        </w:rPr>
      </w:pPr>
      <w:r w:rsidRPr="00AA1DF1">
        <w:rPr>
          <w:i/>
          <w:iCs/>
        </w:rPr>
        <w:t>l)</w:t>
      </w:r>
      <w:r w:rsidRPr="00AA1DF1">
        <w:rPr>
          <w:szCs w:val="24"/>
        </w:rPr>
        <w:tab/>
        <w:t>l'importance de stratégies itératives à long terme et de plans de gestion des risques qui coordonnent la résilience d'un éventail de télécommunications/TIC, qui permettent d'anticiper plus facilement les problèmes et d'y remédier dans différents contextes et de faire face à des menaces et à des vulnérabilités en constante évolution;</w:t>
      </w:r>
    </w:p>
    <w:p w14:paraId="3821A4C1" w14:textId="77777777" w:rsidR="00B119C6" w:rsidRPr="00AA1DF1" w:rsidRDefault="00B119C6" w:rsidP="0023018E">
      <w:pPr>
        <w:jc w:val="both"/>
        <w:rPr>
          <w:rFonts w:asciiTheme="minorHAnsi" w:hAnsiTheme="minorHAnsi" w:cstheme="minorHAnsi"/>
          <w:szCs w:val="24"/>
        </w:rPr>
      </w:pPr>
      <w:r w:rsidRPr="00AA1DF1">
        <w:rPr>
          <w:i/>
          <w:iCs/>
        </w:rPr>
        <w:lastRenderedPageBreak/>
        <w:t>m)</w:t>
      </w:r>
      <w:r w:rsidRPr="00AA1DF1">
        <w:rPr>
          <w:szCs w:val="24"/>
        </w:rPr>
        <w:tab/>
        <w:t>que la promotion et l'utilisation de technologies innovantes peuvent jouer un rôle fondamental dans l'édification d'économies des télécommunications/TIC résilientes, capables de s'adapter aux avancées technologiques et à l'évolution du marché;</w:t>
      </w:r>
    </w:p>
    <w:p w14:paraId="7DBA4412" w14:textId="77777777" w:rsidR="00B119C6" w:rsidRPr="00AA1DF1" w:rsidRDefault="00B119C6" w:rsidP="0023018E">
      <w:pPr>
        <w:jc w:val="both"/>
        <w:rPr>
          <w:rFonts w:asciiTheme="minorHAnsi" w:hAnsiTheme="minorHAnsi" w:cstheme="minorHAnsi"/>
          <w:szCs w:val="24"/>
        </w:rPr>
      </w:pPr>
      <w:r w:rsidRPr="00AA1DF1">
        <w:rPr>
          <w:i/>
          <w:iCs/>
        </w:rPr>
        <w:t>n)</w:t>
      </w:r>
      <w:r w:rsidRPr="00AA1DF1">
        <w:rPr>
          <w:szCs w:val="24"/>
        </w:rPr>
        <w:tab/>
        <w:t>l'importance de l'infrastructure des câbles sous-marins et de leur résilience, et les résultats des Sommets internationaux sur la résilience de ces câbles qui se sont tenus à Abuja en 2025 et à Porto en 2026,</w:t>
      </w:r>
    </w:p>
    <w:p w14:paraId="6DD25D13" w14:textId="77777777" w:rsidR="00B119C6" w:rsidRPr="00AA1DF1" w:rsidRDefault="00B119C6" w:rsidP="00434918">
      <w:pPr>
        <w:pStyle w:val="Call"/>
      </w:pPr>
      <w:r w:rsidRPr="00AA1DF1">
        <w:t>reconnaissant</w:t>
      </w:r>
    </w:p>
    <w:p w14:paraId="3A498987" w14:textId="77777777" w:rsidR="00B119C6" w:rsidRPr="00AA1DF1" w:rsidRDefault="00B119C6" w:rsidP="0023018E">
      <w:pPr>
        <w:jc w:val="both"/>
        <w:rPr>
          <w:rFonts w:asciiTheme="minorHAnsi" w:hAnsiTheme="minorHAnsi" w:cstheme="minorHAnsi"/>
          <w:szCs w:val="24"/>
        </w:rPr>
      </w:pPr>
      <w:r w:rsidRPr="00AA1DF1">
        <w:rPr>
          <w:i/>
          <w:iCs/>
        </w:rPr>
        <w:t>a)</w:t>
      </w:r>
      <w:r w:rsidRPr="00AA1DF1">
        <w:rPr>
          <w:szCs w:val="24"/>
        </w:rPr>
        <w:tab/>
        <w:t>que les systèmes de télécommunication/TIC résilients constituent un pilier essentiel du développement durable et de la réduction de la fracture numérique;</w:t>
      </w:r>
    </w:p>
    <w:p w14:paraId="322DE1FA" w14:textId="77777777" w:rsidR="00B119C6" w:rsidRPr="00AA1DF1" w:rsidRDefault="00B119C6" w:rsidP="0023018E">
      <w:pPr>
        <w:jc w:val="both"/>
        <w:rPr>
          <w:rFonts w:asciiTheme="minorHAnsi" w:hAnsiTheme="minorHAnsi" w:cstheme="minorHAnsi"/>
          <w:szCs w:val="24"/>
        </w:rPr>
      </w:pPr>
      <w:r w:rsidRPr="00AA1DF1">
        <w:rPr>
          <w:i/>
          <w:iCs/>
        </w:rPr>
        <w:t>b)</w:t>
      </w:r>
      <w:r w:rsidRPr="00AA1DF1">
        <w:rPr>
          <w:szCs w:val="24"/>
        </w:rPr>
        <w:tab/>
        <w:t>que l'adoption de technologies évoluées nécessiterait d'importants investissements en capital qui pourraient être hors de portée des pays en développement, ce qui les obligerait à continuer de dépendre d'infrastructures TIC obsolètes;</w:t>
      </w:r>
    </w:p>
    <w:p w14:paraId="2542F6CF" w14:textId="77777777" w:rsidR="00B119C6" w:rsidRPr="00AA1DF1" w:rsidRDefault="00B119C6" w:rsidP="0023018E">
      <w:pPr>
        <w:jc w:val="both"/>
        <w:rPr>
          <w:rFonts w:asciiTheme="minorHAnsi" w:hAnsiTheme="minorHAnsi" w:cstheme="minorHAnsi"/>
          <w:szCs w:val="24"/>
        </w:rPr>
      </w:pPr>
      <w:r w:rsidRPr="00AA1DF1">
        <w:rPr>
          <w:i/>
          <w:iCs/>
        </w:rPr>
        <w:t>c)</w:t>
      </w:r>
      <w:r w:rsidRPr="00AA1DF1">
        <w:rPr>
          <w:szCs w:val="24"/>
        </w:rPr>
        <w:tab/>
        <w:t>que l'absence ou l'instabilité du réseau électrique dans de nombreux pays en développement entrave considérablement l'adoption, le déploiement, l'exploitation et la maintenance d'infrastructures TIC modernes;</w:t>
      </w:r>
    </w:p>
    <w:p w14:paraId="15032584" w14:textId="77777777" w:rsidR="00B119C6" w:rsidRPr="00AA1DF1" w:rsidRDefault="00B119C6" w:rsidP="0023018E">
      <w:pPr>
        <w:jc w:val="both"/>
        <w:rPr>
          <w:rFonts w:asciiTheme="minorHAnsi" w:hAnsiTheme="minorHAnsi" w:cstheme="minorHAnsi"/>
          <w:szCs w:val="24"/>
        </w:rPr>
      </w:pPr>
      <w:r w:rsidRPr="00AA1DF1">
        <w:rPr>
          <w:i/>
          <w:iCs/>
        </w:rPr>
        <w:t>d)</w:t>
      </w:r>
      <w:r w:rsidRPr="00AA1DF1">
        <w:rPr>
          <w:szCs w:val="24"/>
        </w:rPr>
        <w:tab/>
        <w:t>le rôle que jouent le secteur privé, la société civile, les milieux techniques, les établissements universitaires et les organisations régionales et internationales dans la fourniture d'équipements et de services de télécommunication/TIC, de compétences spécialisées et d'aide au renforcement des capacités afin de soutenir les initiatives en matière de résilience;</w:t>
      </w:r>
    </w:p>
    <w:p w14:paraId="34C2E2EA" w14:textId="77777777" w:rsidR="00B119C6" w:rsidRPr="00AA1DF1" w:rsidRDefault="00B119C6" w:rsidP="0023018E">
      <w:pPr>
        <w:jc w:val="both"/>
        <w:rPr>
          <w:rFonts w:asciiTheme="minorHAnsi" w:hAnsiTheme="minorHAnsi" w:cstheme="minorHAnsi"/>
          <w:szCs w:val="24"/>
        </w:rPr>
      </w:pPr>
      <w:r w:rsidRPr="00AA1DF1">
        <w:rPr>
          <w:i/>
          <w:iCs/>
        </w:rPr>
        <w:t>e)</w:t>
      </w:r>
      <w:r w:rsidRPr="00AA1DF1">
        <w:rPr>
          <w:szCs w:val="24"/>
        </w:rPr>
        <w:tab/>
        <w:t>les travaux de l'UIT dans le cadre d'activités essentielles en matière de résilience, telles que l'Initiative "Alertes précoces pour tous", et les contributions des commissions d'études des trois Secteurs de l'UIT à l'élaboration de recommandations techniques et de bonnes pratiques,</w:t>
      </w:r>
    </w:p>
    <w:p w14:paraId="3387FA0F" w14:textId="77777777" w:rsidR="00B119C6" w:rsidRPr="00AA1DF1" w:rsidRDefault="00B119C6" w:rsidP="00434918">
      <w:pPr>
        <w:pStyle w:val="Call"/>
      </w:pPr>
      <w:r w:rsidRPr="00AA1DF1">
        <w:t>est d'avis</w:t>
      </w:r>
    </w:p>
    <w:p w14:paraId="0290DD22" w14:textId="77777777" w:rsidR="00B119C6" w:rsidRPr="00AA1DF1" w:rsidRDefault="00B119C6" w:rsidP="0023018E">
      <w:pPr>
        <w:jc w:val="both"/>
        <w:rPr>
          <w:rFonts w:asciiTheme="minorHAnsi" w:hAnsiTheme="minorHAnsi" w:cstheme="minorHAnsi"/>
          <w:szCs w:val="24"/>
        </w:rPr>
      </w:pPr>
      <w:r w:rsidRPr="00AA1DF1">
        <w:rPr>
          <w:szCs w:val="24"/>
        </w:rPr>
        <w:t>1</w:t>
      </w:r>
      <w:r w:rsidRPr="00AA1DF1">
        <w:rPr>
          <w:szCs w:val="24"/>
        </w:rPr>
        <w:tab/>
        <w:t>que les politiques et initiatives en matière de résilience devraient être globales, comporter de multiples facettes et englober la cybersécurité, des systèmes d'alerte précoce et d'intervention rapide, la modernisation et la maintenance régulières des infrastructures de télécommunication/TIC, la surveillance de l'environnement, des initiatives de réduction des risques de catastrophe et la collaboration entre les secteurs public et privé;</w:t>
      </w:r>
    </w:p>
    <w:p w14:paraId="0A800000" w14:textId="77777777" w:rsidR="00B119C6" w:rsidRPr="00AA1DF1" w:rsidRDefault="00B119C6" w:rsidP="0023018E">
      <w:pPr>
        <w:jc w:val="both"/>
        <w:rPr>
          <w:szCs w:val="24"/>
        </w:rPr>
      </w:pPr>
      <w:r w:rsidRPr="00AA1DF1">
        <w:rPr>
          <w:szCs w:val="24"/>
        </w:rPr>
        <w:t>2</w:t>
      </w:r>
      <w:r w:rsidRPr="00AA1DF1">
        <w:rPr>
          <w:szCs w:val="24"/>
        </w:rPr>
        <w:tab/>
        <w:t>que le renforcement de la résilience exige une action coordonnée entre les gouvernements, les autorités de régulation, le secteur privé, la société civile, les milieux techniques et les établissements universitaires, les autorités nationales jouant un rôle déterminant dans la hiérarchisation de la mise au point de systèmes de télécommunication/TIC résilients, sûrs et adaptables pour appuyer la croissance numérique à long terme et la continuité des services essentiels;</w:t>
      </w:r>
    </w:p>
    <w:p w14:paraId="6B8CBEA4" w14:textId="77777777" w:rsidR="00B119C6" w:rsidRPr="00AA1DF1" w:rsidRDefault="00B119C6" w:rsidP="0023018E">
      <w:pPr>
        <w:jc w:val="both"/>
        <w:rPr>
          <w:szCs w:val="24"/>
        </w:rPr>
      </w:pPr>
      <w:r w:rsidRPr="00AA1DF1">
        <w:rPr>
          <w:szCs w:val="24"/>
        </w:rPr>
        <w:t>3</w:t>
      </w:r>
      <w:r w:rsidRPr="00AA1DF1">
        <w:rPr>
          <w:szCs w:val="24"/>
        </w:rPr>
        <w:tab/>
        <w:t>qu'il est essentiel de renforcer la résilience à toutes les étapes de la conception, du développement et du déploiement des télécommunications/TIC;</w:t>
      </w:r>
    </w:p>
    <w:p w14:paraId="117A84B8" w14:textId="77777777" w:rsidR="00B119C6" w:rsidRPr="00AA1DF1" w:rsidRDefault="00B119C6" w:rsidP="0023018E">
      <w:pPr>
        <w:jc w:val="both"/>
        <w:rPr>
          <w:szCs w:val="24"/>
        </w:rPr>
      </w:pPr>
      <w:r w:rsidRPr="00AA1DF1">
        <w:rPr>
          <w:szCs w:val="24"/>
        </w:rPr>
        <w:t>4</w:t>
      </w:r>
      <w:r w:rsidRPr="00AA1DF1">
        <w:rPr>
          <w:szCs w:val="24"/>
        </w:rPr>
        <w:tab/>
        <w:t>qu'une infrastructure de télécommunication/TIC résiliente constitue un catalyseur essentiel de la croissance économique, de l'inclusion numérique et de l'innovation et doit pouvoir s'adapter aux nouveaux défis;</w:t>
      </w:r>
    </w:p>
    <w:p w14:paraId="244247CF" w14:textId="77777777" w:rsidR="00B119C6" w:rsidRPr="00AA1DF1" w:rsidRDefault="00B119C6" w:rsidP="0023018E">
      <w:pPr>
        <w:jc w:val="both"/>
        <w:rPr>
          <w:szCs w:val="24"/>
        </w:rPr>
      </w:pPr>
      <w:r w:rsidRPr="00AA1DF1">
        <w:rPr>
          <w:szCs w:val="24"/>
        </w:rPr>
        <w:t>5</w:t>
      </w:r>
      <w:r w:rsidRPr="00AA1DF1">
        <w:rPr>
          <w:szCs w:val="24"/>
        </w:rPr>
        <w:tab/>
        <w:t>que la réduction de la fracture numérique et la garantie d'un accès aux télécommunications/TIC financièrement abordable sont des conditions indispensables au renforcement de la résilience;</w:t>
      </w:r>
    </w:p>
    <w:p w14:paraId="1DC9962F" w14:textId="77777777" w:rsidR="00B119C6" w:rsidRPr="00AA1DF1" w:rsidRDefault="00B119C6" w:rsidP="0023018E">
      <w:pPr>
        <w:jc w:val="both"/>
        <w:rPr>
          <w:szCs w:val="24"/>
        </w:rPr>
      </w:pPr>
      <w:r w:rsidRPr="00AA1DF1">
        <w:rPr>
          <w:szCs w:val="24"/>
        </w:rPr>
        <w:lastRenderedPageBreak/>
        <w:t>6</w:t>
      </w:r>
      <w:r w:rsidRPr="00AA1DF1">
        <w:rPr>
          <w:szCs w:val="24"/>
        </w:rPr>
        <w:tab/>
        <w:t>que la coopération et la collaboration, ainsi que la mise en place de bonnes pratiques, d'environnements propices à l'investissement et de mécanismes de financement novateurs jouent un rôle important dans la mise en œuvre de systèmes de télécommunication/TIC résilients, capables de relever les défis à l'échelle mondiale et de favoriser la stabilité économique, en particulier lors de catastrophes naturelles et dans des situations d'urgence;</w:t>
      </w:r>
    </w:p>
    <w:p w14:paraId="59935593" w14:textId="77777777" w:rsidR="00B119C6" w:rsidRPr="00AA1DF1" w:rsidRDefault="00B119C6" w:rsidP="0023018E">
      <w:pPr>
        <w:jc w:val="both"/>
        <w:rPr>
          <w:szCs w:val="24"/>
        </w:rPr>
      </w:pPr>
      <w:r w:rsidRPr="00AA1DF1">
        <w:rPr>
          <w:szCs w:val="24"/>
        </w:rPr>
        <w:t>7</w:t>
      </w:r>
      <w:r w:rsidRPr="00AA1DF1">
        <w:rPr>
          <w:szCs w:val="24"/>
        </w:rPr>
        <w:tab/>
        <w:t>qu'il convient d'adopter une approche multicanal de la sensibilisation du public pour faire en sorte que les messages pertinents sur la résilience, tels que les communications d'urgence et les conseils en matière de cyberhygiène, touchent un large public et permettent à chacun d'agir plus tôt et de se protéger;</w:t>
      </w:r>
    </w:p>
    <w:p w14:paraId="0446D3B4" w14:textId="77777777" w:rsidR="00B119C6" w:rsidRPr="00AA1DF1" w:rsidRDefault="00B119C6" w:rsidP="0023018E">
      <w:pPr>
        <w:jc w:val="both"/>
        <w:rPr>
          <w:szCs w:val="24"/>
        </w:rPr>
      </w:pPr>
      <w:r w:rsidRPr="00AA1DF1">
        <w:rPr>
          <w:szCs w:val="24"/>
        </w:rPr>
        <w:t>8</w:t>
      </w:r>
      <w:r w:rsidRPr="00AA1DF1">
        <w:rPr>
          <w:szCs w:val="24"/>
        </w:rPr>
        <w:tab/>
        <w:t>que la protection de l'environnement représente l'un des défis majeurs de notre époque et qu'il est possible de renforcer la résilience face aux catastrophes naturelles grâce à la mise en place de systèmes d'alerte précoce et de plans nationaux de télécommunications d'urgence;</w:t>
      </w:r>
    </w:p>
    <w:p w14:paraId="2C345810" w14:textId="77777777" w:rsidR="00B119C6" w:rsidRPr="00AA1DF1" w:rsidRDefault="00B119C6" w:rsidP="0023018E">
      <w:pPr>
        <w:jc w:val="both"/>
        <w:rPr>
          <w:szCs w:val="24"/>
        </w:rPr>
      </w:pPr>
      <w:r w:rsidRPr="00AA1DF1">
        <w:rPr>
          <w:szCs w:val="24"/>
        </w:rPr>
        <w:t>9</w:t>
      </w:r>
      <w:r w:rsidRPr="00AA1DF1">
        <w:rPr>
          <w:szCs w:val="24"/>
        </w:rPr>
        <w:tab/>
        <w:t>qu'il est essentiel de renforcer la cyberrésilience de l'ensemble de la société pour faire face à l'augmentation des cybermenaces;</w:t>
      </w:r>
    </w:p>
    <w:p w14:paraId="6F233613" w14:textId="77777777" w:rsidR="00B119C6" w:rsidRPr="00AA1DF1" w:rsidRDefault="00B119C6" w:rsidP="0023018E">
      <w:pPr>
        <w:jc w:val="both"/>
        <w:rPr>
          <w:szCs w:val="24"/>
        </w:rPr>
      </w:pPr>
      <w:r w:rsidRPr="00AA1DF1">
        <w:rPr>
          <w:szCs w:val="24"/>
        </w:rPr>
        <w:t>10</w:t>
      </w:r>
      <w:r w:rsidRPr="00AA1DF1">
        <w:rPr>
          <w:szCs w:val="24"/>
        </w:rPr>
        <w:tab/>
        <w:t>qu'il est nécessaire de promouvoir l'innovation et le déploiement de nouvelles technologies pour veiller à ce que les économies des télécommunications/TIC restent compétitives, sûres et résilientes;</w:t>
      </w:r>
    </w:p>
    <w:p w14:paraId="34DE760F" w14:textId="77777777" w:rsidR="00B119C6" w:rsidRPr="00AA1DF1" w:rsidRDefault="00B119C6" w:rsidP="0023018E">
      <w:pPr>
        <w:jc w:val="both"/>
        <w:rPr>
          <w:szCs w:val="24"/>
        </w:rPr>
      </w:pPr>
      <w:r w:rsidRPr="00AA1DF1">
        <w:rPr>
          <w:szCs w:val="24"/>
        </w:rPr>
        <w:t>11</w:t>
      </w:r>
      <w:r w:rsidRPr="00AA1DF1">
        <w:rPr>
          <w:szCs w:val="24"/>
        </w:rPr>
        <w:tab/>
        <w:t>que les innovations en matière de résilience énergétique peuvent contribuer à la résilience des infrastructures, en veillant à ce que les infrastructures de télécommunication/TIC puissent accéder à d'autres sources d'énergie;</w:t>
      </w:r>
    </w:p>
    <w:p w14:paraId="5563DA5D" w14:textId="77777777" w:rsidR="00B119C6" w:rsidRPr="00AA1DF1" w:rsidRDefault="00B119C6" w:rsidP="0023018E">
      <w:pPr>
        <w:jc w:val="both"/>
        <w:rPr>
          <w:szCs w:val="24"/>
        </w:rPr>
      </w:pPr>
      <w:r w:rsidRPr="00AA1DF1">
        <w:rPr>
          <w:szCs w:val="24"/>
        </w:rPr>
        <w:t>12</w:t>
      </w:r>
      <w:r w:rsidRPr="00AA1DF1">
        <w:rPr>
          <w:szCs w:val="24"/>
        </w:rPr>
        <w:tab/>
        <w:t>que l'UIT devrait continuer d'organiser des programmes de formation, des ateliers et des activités de renforcement des capacités en vue de promouvoir la résilience des télécommunications/TIC,</w:t>
      </w:r>
    </w:p>
    <w:p w14:paraId="72BD1579" w14:textId="77777777" w:rsidR="00B119C6" w:rsidRPr="00AA1DF1" w:rsidRDefault="00B119C6" w:rsidP="00434918">
      <w:pPr>
        <w:pStyle w:val="Call"/>
      </w:pPr>
      <w:r w:rsidRPr="00AA1DF1">
        <w:t>invite les États Membres, les Membres de Secteur et les autres parties prenantes à collaborer afin</w:t>
      </w:r>
    </w:p>
    <w:p w14:paraId="5AEDAE2E" w14:textId="77777777" w:rsidR="00B119C6" w:rsidRPr="00AA1DF1" w:rsidRDefault="00B119C6" w:rsidP="0023018E">
      <w:pPr>
        <w:jc w:val="both"/>
        <w:rPr>
          <w:szCs w:val="24"/>
        </w:rPr>
      </w:pPr>
      <w:r w:rsidRPr="00AA1DF1">
        <w:rPr>
          <w:szCs w:val="24"/>
        </w:rPr>
        <w:t>1</w:t>
      </w:r>
      <w:r w:rsidRPr="00AA1DF1">
        <w:rPr>
          <w:szCs w:val="24"/>
        </w:rPr>
        <w:tab/>
        <w:t>d'accorder la priorité à l'échange d'informations sur l'élaboration et la mise en œuvre de politiques propres à promouvoir des infrastructures de télécommunication/TIC résilientes, sûres et robustes, en veillant à leur conformité avec les normes et les bonnes pratiques internationales;</w:t>
      </w:r>
    </w:p>
    <w:p w14:paraId="6B3FF1DA" w14:textId="77777777" w:rsidR="00B119C6" w:rsidRPr="00AA1DF1" w:rsidRDefault="00B119C6" w:rsidP="0023018E">
      <w:pPr>
        <w:jc w:val="both"/>
        <w:rPr>
          <w:szCs w:val="24"/>
        </w:rPr>
      </w:pPr>
      <w:r w:rsidRPr="00AA1DF1">
        <w:rPr>
          <w:szCs w:val="24"/>
        </w:rPr>
        <w:t>2</w:t>
      </w:r>
      <w:r w:rsidRPr="00AA1DF1">
        <w:rPr>
          <w:szCs w:val="24"/>
        </w:rPr>
        <w:tab/>
        <w:t>de continuer de faciliter et d'intensifier les efforts visant à renforcer la résilience des infrastructures de télécommunication/TIC, y compris numériques, en veillant à ce que ces systèmes soient sécurisés, robustes et adaptables aux défis futurs et puissent garantir la continuité des services en cas de panne;</w:t>
      </w:r>
    </w:p>
    <w:p w14:paraId="0F2E1B8E" w14:textId="77777777" w:rsidR="00B119C6" w:rsidRPr="00AA1DF1" w:rsidRDefault="00B119C6" w:rsidP="0023018E">
      <w:pPr>
        <w:jc w:val="both"/>
        <w:rPr>
          <w:szCs w:val="24"/>
        </w:rPr>
      </w:pPr>
      <w:r w:rsidRPr="00AA1DF1">
        <w:rPr>
          <w:szCs w:val="24"/>
        </w:rPr>
        <w:t>3</w:t>
      </w:r>
      <w:r w:rsidRPr="00AA1DF1">
        <w:rPr>
          <w:szCs w:val="24"/>
        </w:rPr>
        <w:tab/>
        <w:t>d'étudier les diverses possibilités et de résoudre les problèmes rencontrés dans la mise en place de systèmes de télécommunication/TIC résilients, en garantissant la continuité des services en cas de panne;</w:t>
      </w:r>
    </w:p>
    <w:p w14:paraId="76E3C4AA" w14:textId="77777777" w:rsidR="00B119C6" w:rsidRPr="00AA1DF1" w:rsidRDefault="00B119C6" w:rsidP="0023018E">
      <w:pPr>
        <w:jc w:val="both"/>
        <w:rPr>
          <w:szCs w:val="24"/>
        </w:rPr>
      </w:pPr>
      <w:r w:rsidRPr="00AA1DF1">
        <w:rPr>
          <w:szCs w:val="24"/>
        </w:rPr>
        <w:t>4</w:t>
      </w:r>
      <w:r w:rsidRPr="00AA1DF1">
        <w:rPr>
          <w:szCs w:val="24"/>
        </w:rPr>
        <w:tab/>
        <w:t>de travailler avec le secteur privé, la société civile, les milieux techniques et les établissements universitaires pour promouvoir des télécommunications/TIC résilientes, en proposant des programmes d'appui technique et de renforcement des capacités;</w:t>
      </w:r>
    </w:p>
    <w:p w14:paraId="1AFCA2CC" w14:textId="77777777" w:rsidR="00B119C6" w:rsidRPr="00AA1DF1" w:rsidRDefault="00B119C6" w:rsidP="0023018E">
      <w:pPr>
        <w:jc w:val="both"/>
        <w:rPr>
          <w:szCs w:val="24"/>
        </w:rPr>
      </w:pPr>
      <w:r w:rsidRPr="00AA1DF1">
        <w:rPr>
          <w:szCs w:val="24"/>
        </w:rPr>
        <w:t>5</w:t>
      </w:r>
      <w:r w:rsidRPr="00AA1DF1">
        <w:rPr>
          <w:szCs w:val="24"/>
        </w:rPr>
        <w:tab/>
        <w:t>de renforcer les partenariats public-privé, dans le but de consolider la résilience de l'écosystème des télécommunications/TIC, de relever les défis émergents et de saisir les opportunités qui se présenteront;</w:t>
      </w:r>
    </w:p>
    <w:p w14:paraId="68FE3B75" w14:textId="77777777" w:rsidR="00B119C6" w:rsidRPr="00AA1DF1" w:rsidRDefault="00B119C6" w:rsidP="0023018E">
      <w:pPr>
        <w:jc w:val="both"/>
        <w:rPr>
          <w:szCs w:val="24"/>
        </w:rPr>
      </w:pPr>
      <w:r w:rsidRPr="00AA1DF1">
        <w:rPr>
          <w:szCs w:val="24"/>
        </w:rPr>
        <w:lastRenderedPageBreak/>
        <w:t>6</w:t>
      </w:r>
      <w:r w:rsidRPr="00AA1DF1">
        <w:rPr>
          <w:szCs w:val="24"/>
        </w:rPr>
        <w:tab/>
        <w:t>d'intégrer le principe de l'égalité hommes-femmes dans les stratégies nationales relatives à la résilience et de veiller à ce que la prise de décision soit inclusive;</w:t>
      </w:r>
    </w:p>
    <w:p w14:paraId="1FE8F6FA" w14:textId="3AA4EDA6" w:rsidR="00B119C6" w:rsidRPr="00AA1DF1" w:rsidRDefault="00B119C6" w:rsidP="0023018E">
      <w:pPr>
        <w:jc w:val="both"/>
        <w:rPr>
          <w:szCs w:val="24"/>
        </w:rPr>
      </w:pPr>
      <w:r w:rsidRPr="00AA1DF1">
        <w:rPr>
          <w:szCs w:val="24"/>
        </w:rPr>
        <w:t>7</w:t>
      </w:r>
      <w:r w:rsidRPr="00AA1DF1">
        <w:rPr>
          <w:szCs w:val="24"/>
        </w:rPr>
        <w:tab/>
        <w:t>de continuer de tout mettre en œuvre pour intégrer les interventions en cas de cyberincident, la réduction des risques de catastrophe, l'atténuation des effets des catastrophes, les opérations de secours et la résilience en cas de catastrophe dans les plans de développement des télécommunications/TIC, en tenant compte des personnes en situation de handicap et des personnes ayant des besoins particuliers, ainsi que de l'importance de la collaboration avec toutes les parties prenantes à toutes les étapes de la catastrophe;</w:t>
      </w:r>
    </w:p>
    <w:p w14:paraId="47579509" w14:textId="77777777" w:rsidR="00B119C6" w:rsidRPr="00AA1DF1" w:rsidRDefault="00B119C6" w:rsidP="0023018E">
      <w:pPr>
        <w:jc w:val="both"/>
        <w:rPr>
          <w:szCs w:val="24"/>
        </w:rPr>
      </w:pPr>
      <w:r w:rsidRPr="00AA1DF1">
        <w:rPr>
          <w:szCs w:val="24"/>
        </w:rPr>
        <w:t>8</w:t>
      </w:r>
      <w:r w:rsidRPr="00AA1DF1">
        <w:rPr>
          <w:szCs w:val="24"/>
        </w:rPr>
        <w:tab/>
        <w:t>d'adopter des recommandations pertinentes de l'UIT susceptibles de contribuer au renforcement de la résilience des télécommunications/TIC et à l'efficacité des interventions en cas de crise;</w:t>
      </w:r>
    </w:p>
    <w:p w14:paraId="05FD474D" w14:textId="77777777" w:rsidR="00B119C6" w:rsidRPr="00AA1DF1" w:rsidRDefault="00B119C6" w:rsidP="0023018E">
      <w:pPr>
        <w:jc w:val="both"/>
        <w:rPr>
          <w:szCs w:val="24"/>
        </w:rPr>
      </w:pPr>
      <w:r w:rsidRPr="00AA1DF1">
        <w:rPr>
          <w:szCs w:val="24"/>
        </w:rPr>
        <w:t>9</w:t>
      </w:r>
      <w:r w:rsidRPr="00AA1DF1">
        <w:rPr>
          <w:szCs w:val="24"/>
        </w:rPr>
        <w:tab/>
        <w:t>de participer activement aux réunions internationales consacrées à la résilience des télécommunications/TIC, en échangeant des connaissances et des données d'expérience;</w:t>
      </w:r>
    </w:p>
    <w:p w14:paraId="60A4FDF5" w14:textId="77777777" w:rsidR="00B119C6" w:rsidRPr="00AA1DF1" w:rsidRDefault="00B119C6" w:rsidP="0023018E">
      <w:pPr>
        <w:jc w:val="both"/>
        <w:rPr>
          <w:szCs w:val="24"/>
        </w:rPr>
      </w:pPr>
      <w:r w:rsidRPr="00AA1DF1">
        <w:rPr>
          <w:szCs w:val="24"/>
        </w:rPr>
        <w:t>10</w:t>
      </w:r>
      <w:r w:rsidRPr="00AA1DF1">
        <w:rPr>
          <w:szCs w:val="24"/>
        </w:rPr>
        <w:tab/>
        <w:t>d'appuyer les activités internationales visant à promouvoir le renforcement des capacités en matière de résilience, en particulier dans les PMA, les PDSL et les PEID;</w:t>
      </w:r>
    </w:p>
    <w:p w14:paraId="34AF878E" w14:textId="77777777" w:rsidR="00B119C6" w:rsidRPr="00AA1DF1" w:rsidRDefault="00B119C6" w:rsidP="0023018E">
      <w:pPr>
        <w:jc w:val="both"/>
        <w:rPr>
          <w:szCs w:val="24"/>
        </w:rPr>
      </w:pPr>
      <w:r w:rsidRPr="00AA1DF1">
        <w:rPr>
          <w:szCs w:val="24"/>
        </w:rPr>
        <w:t>11</w:t>
      </w:r>
      <w:r w:rsidRPr="00AA1DF1">
        <w:rPr>
          <w:szCs w:val="24"/>
        </w:rPr>
        <w:tab/>
        <w:t>d'encourager et de permettre les investissements dans des infrastructures de télécommunication/TIC résilientes, en particulier dans les zones non desservies, mal desservies et difficiles d'accès;</w:t>
      </w:r>
    </w:p>
    <w:p w14:paraId="4CF02D79" w14:textId="77777777" w:rsidR="00B119C6" w:rsidRPr="00AA1DF1" w:rsidRDefault="00B119C6" w:rsidP="0023018E">
      <w:pPr>
        <w:jc w:val="both"/>
        <w:rPr>
          <w:szCs w:val="24"/>
        </w:rPr>
      </w:pPr>
      <w:r w:rsidRPr="00AA1DF1">
        <w:rPr>
          <w:szCs w:val="24"/>
        </w:rPr>
        <w:t>12</w:t>
      </w:r>
      <w:r w:rsidRPr="00AA1DF1">
        <w:rPr>
          <w:szCs w:val="24"/>
        </w:rPr>
        <w:tab/>
        <w:t>d'adopter des stratégies de résilience des télécommunications/TIC, y compris des plans de gestion des risques de catastrophe et des plans d'intervention en cas de panne;</w:t>
      </w:r>
    </w:p>
    <w:p w14:paraId="350D6176" w14:textId="77777777" w:rsidR="00B119C6" w:rsidRPr="00AA1DF1" w:rsidRDefault="00B119C6" w:rsidP="0023018E">
      <w:pPr>
        <w:jc w:val="both"/>
        <w:rPr>
          <w:szCs w:val="24"/>
        </w:rPr>
      </w:pPr>
      <w:r w:rsidRPr="00AA1DF1">
        <w:rPr>
          <w:szCs w:val="24"/>
        </w:rPr>
        <w:t>13</w:t>
      </w:r>
      <w:r w:rsidRPr="00AA1DF1">
        <w:rPr>
          <w:szCs w:val="24"/>
        </w:rPr>
        <w:tab/>
        <w:t>de promouvoir des politiques propres à renforcer la sécurité et la résilience des chaînes d'approvisionnement dans le domaine des télécommunications/TIC, en veillant à ce que les équipements soient sûrs et résilients;</w:t>
      </w:r>
    </w:p>
    <w:p w14:paraId="5D60B1EC" w14:textId="77777777" w:rsidR="00B119C6" w:rsidRPr="00AA1DF1" w:rsidRDefault="00B119C6" w:rsidP="0023018E">
      <w:pPr>
        <w:jc w:val="both"/>
        <w:rPr>
          <w:szCs w:val="24"/>
        </w:rPr>
      </w:pPr>
      <w:r w:rsidRPr="00AA1DF1">
        <w:rPr>
          <w:szCs w:val="24"/>
        </w:rPr>
        <w:t>14</w:t>
      </w:r>
      <w:r w:rsidRPr="00AA1DF1">
        <w:rPr>
          <w:szCs w:val="24"/>
        </w:rPr>
        <w:tab/>
        <w:t>de soutenir le rôle des technologies et des services de télécommunication/TIC nouveaux et émergents dans l'amélioration des systèmes d'alerte avancée, de la détection des menaces et des stratégies d'intervention adaptatives visant à assurer la résilience des télécommunications/TIC;</w:t>
      </w:r>
    </w:p>
    <w:p w14:paraId="6196A491" w14:textId="77777777" w:rsidR="00B119C6" w:rsidRPr="00AA1DF1" w:rsidRDefault="00B119C6" w:rsidP="0023018E">
      <w:pPr>
        <w:jc w:val="both"/>
        <w:rPr>
          <w:szCs w:val="24"/>
        </w:rPr>
      </w:pPr>
      <w:r w:rsidRPr="00AA1DF1">
        <w:rPr>
          <w:szCs w:val="24"/>
        </w:rPr>
        <w:t>15</w:t>
      </w:r>
      <w:r w:rsidRPr="00AA1DF1">
        <w:rPr>
          <w:szCs w:val="24"/>
        </w:rPr>
        <w:tab/>
        <w:t>d'envisager de tenir compte des résultats des Sommets qui se sont tenus à Abuja et à Porto lors de l'adoption et de la mise en œuvre de politiques visant à améliorer la résilience des câbles sous-marins,</w:t>
      </w:r>
    </w:p>
    <w:p w14:paraId="6B3435DA" w14:textId="77777777" w:rsidR="00B119C6" w:rsidRPr="00AA1DF1" w:rsidRDefault="00B119C6" w:rsidP="00434918">
      <w:pPr>
        <w:pStyle w:val="Call"/>
      </w:pPr>
      <w:r w:rsidRPr="00AA1DF1">
        <w:t>invite la Secrétaire générale</w:t>
      </w:r>
    </w:p>
    <w:p w14:paraId="4D02CA9B" w14:textId="77777777" w:rsidR="00B119C6" w:rsidRPr="00AA1DF1" w:rsidRDefault="00B119C6" w:rsidP="0023018E">
      <w:pPr>
        <w:jc w:val="both"/>
        <w:rPr>
          <w:szCs w:val="24"/>
        </w:rPr>
      </w:pPr>
      <w:r w:rsidRPr="00AA1DF1">
        <w:rPr>
          <w:szCs w:val="24"/>
        </w:rPr>
        <w:t>1</w:t>
      </w:r>
      <w:r w:rsidRPr="00AA1DF1">
        <w:rPr>
          <w:szCs w:val="24"/>
        </w:rPr>
        <w:tab/>
        <w:t>à continuer de faciliter et de renforcer les efforts internationaux visant à consolider et à promouvoir la résilience des télécommunications/TIC;</w:t>
      </w:r>
    </w:p>
    <w:p w14:paraId="0DB4EA46" w14:textId="7D72188F" w:rsidR="00B119C6" w:rsidRDefault="00B119C6" w:rsidP="0023018E">
      <w:pPr>
        <w:jc w:val="both"/>
        <w:rPr>
          <w:szCs w:val="24"/>
        </w:rPr>
      </w:pPr>
      <w:r w:rsidRPr="00AA1DF1">
        <w:rPr>
          <w:szCs w:val="24"/>
        </w:rPr>
        <w:t>2</w:t>
      </w:r>
      <w:r w:rsidRPr="00AA1DF1">
        <w:rPr>
          <w:szCs w:val="24"/>
        </w:rPr>
        <w:tab/>
        <w:t>à veiller à ce que l'UIT continue d'aider les États Membres à élaborer et à renforcer les cadres politiques et réglementaires visant à assurer la résilience des TIC et des télécommunications.</w:t>
      </w:r>
    </w:p>
    <w:p w14:paraId="4F128EBD" w14:textId="77777777" w:rsidR="0023018E" w:rsidRPr="00AA1DF1" w:rsidRDefault="0023018E" w:rsidP="0023018E">
      <w:pPr>
        <w:jc w:val="both"/>
        <w:rPr>
          <w:rFonts w:asciiTheme="minorHAnsi" w:hAnsiTheme="minorHAnsi" w:cstheme="minorHAnsi"/>
          <w:sz w:val="22"/>
          <w:szCs w:val="22"/>
        </w:rPr>
      </w:pPr>
    </w:p>
    <w:p w14:paraId="6C4F1F56" w14:textId="48B255E8" w:rsidR="00495100" w:rsidRPr="00AA1DF1" w:rsidRDefault="00B119C6" w:rsidP="00240E0D">
      <w:pPr>
        <w:widowControl w:val="0"/>
        <w:spacing w:before="0"/>
        <w:jc w:val="center"/>
      </w:pPr>
      <w:r w:rsidRPr="00AA1DF1">
        <w:t>______________</w:t>
      </w:r>
      <w:bookmarkEnd w:id="1"/>
    </w:p>
    <w:sectPr w:rsidR="00495100" w:rsidRPr="00AA1DF1" w:rsidSect="003A0B7D">
      <w:headerReference w:type="default" r:id="rId10"/>
      <w:footerReference w:type="first" r:id="rId11"/>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4D">
      <wne:macro wne:macroName="TEMPLATEPROJECT.MACROS.POOLSETREASONS"/>
    </wne:keymap>
    <wne:keymap wne:kcmPrimary="0350">
      <wne:macro wne:macroName="TEMPLATEPROJECT.MACROS.POOLPVSTYLES"/>
    </wne:keymap>
    <wne:keymap wne:kcmPrimary="0353">
      <wne:acd wne:acdName="acd1"/>
    </wne:keymap>
  </wne:keymaps>
  <wne:toolbars>
    <wne:acdManifest>
      <wne:acdEntry wne:acdName="acd0"/>
      <wne:acdEntry wne:acdName="acd1"/>
    </wne:acdManifest>
    <wne:toolbarData r:id="rId1"/>
  </wne:toolbars>
  <wne:acds>
    <wne:acd wne:acdName="acd0" wne:fciIndexBasedOn="0065"/>
    <wne:acd wne:argValue="AgBOAG8AcgBtAGEAbAAgAHAAdg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26B86" w14:textId="77777777" w:rsidR="001833D6" w:rsidRDefault="001833D6">
      <w:r>
        <w:separator/>
      </w:r>
    </w:p>
  </w:endnote>
  <w:endnote w:type="continuationSeparator" w:id="0">
    <w:p w14:paraId="1B344DAF" w14:textId="77777777" w:rsidR="001833D6" w:rsidRDefault="0018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7C66" w14:textId="5A968863" w:rsidR="000C467B" w:rsidRPr="00490624" w:rsidRDefault="00490624" w:rsidP="00490624">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Pr>
          <w:rStyle w:val="Hyperlink"/>
          <w:color w:val="00A3E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6ED88" w14:textId="77777777" w:rsidR="001833D6" w:rsidRDefault="001833D6">
      <w:r>
        <w:t>____________________</w:t>
      </w:r>
    </w:p>
  </w:footnote>
  <w:footnote w:type="continuationSeparator" w:id="0">
    <w:p w14:paraId="39C2663A" w14:textId="77777777" w:rsidR="001833D6" w:rsidRDefault="00183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C6D5" w14:textId="77777777" w:rsidR="00490624" w:rsidRDefault="00490624" w:rsidP="00490624">
    <w:pPr>
      <w:pStyle w:val="Head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7211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AC56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9018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643C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7468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632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2E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2667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4830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2C15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19185468">
    <w:abstractNumId w:val="9"/>
  </w:num>
  <w:num w:numId="2" w16cid:durableId="561982136">
    <w:abstractNumId w:val="7"/>
  </w:num>
  <w:num w:numId="3" w16cid:durableId="176162411">
    <w:abstractNumId w:val="6"/>
  </w:num>
  <w:num w:numId="4" w16cid:durableId="882715593">
    <w:abstractNumId w:val="5"/>
  </w:num>
  <w:num w:numId="5" w16cid:durableId="2112818297">
    <w:abstractNumId w:val="4"/>
  </w:num>
  <w:num w:numId="6" w16cid:durableId="702250250">
    <w:abstractNumId w:val="8"/>
  </w:num>
  <w:num w:numId="7" w16cid:durableId="821114846">
    <w:abstractNumId w:val="3"/>
  </w:num>
  <w:num w:numId="8" w16cid:durableId="1197349219">
    <w:abstractNumId w:val="2"/>
  </w:num>
  <w:num w:numId="9" w16cid:durableId="1541825188">
    <w:abstractNumId w:val="1"/>
  </w:num>
  <w:num w:numId="10" w16cid:durableId="749541679">
    <w:abstractNumId w:val="0"/>
  </w:num>
  <w:num w:numId="11" w16cid:durableId="511993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D5E"/>
    <w:rsid w:val="000054D8"/>
    <w:rsid w:val="00055C50"/>
    <w:rsid w:val="00060D74"/>
    <w:rsid w:val="00072D5C"/>
    <w:rsid w:val="0008398C"/>
    <w:rsid w:val="00084308"/>
    <w:rsid w:val="000B14B6"/>
    <w:rsid w:val="000C467B"/>
    <w:rsid w:val="000D15FB"/>
    <w:rsid w:val="000F58F7"/>
    <w:rsid w:val="001051E4"/>
    <w:rsid w:val="001354EA"/>
    <w:rsid w:val="00136FCE"/>
    <w:rsid w:val="00153BA4"/>
    <w:rsid w:val="001833D6"/>
    <w:rsid w:val="001941AD"/>
    <w:rsid w:val="0019732C"/>
    <w:rsid w:val="00197422"/>
    <w:rsid w:val="001A0682"/>
    <w:rsid w:val="001B4D8D"/>
    <w:rsid w:val="001C3790"/>
    <w:rsid w:val="001D31B2"/>
    <w:rsid w:val="001D4F2C"/>
    <w:rsid w:val="001E1B9B"/>
    <w:rsid w:val="001E2226"/>
    <w:rsid w:val="001F0B24"/>
    <w:rsid w:val="001F6233"/>
    <w:rsid w:val="0023018E"/>
    <w:rsid w:val="00230D1A"/>
    <w:rsid w:val="002355CD"/>
    <w:rsid w:val="00240E0D"/>
    <w:rsid w:val="0025067F"/>
    <w:rsid w:val="00252A40"/>
    <w:rsid w:val="00270B2F"/>
    <w:rsid w:val="002712F9"/>
    <w:rsid w:val="002A06C7"/>
    <w:rsid w:val="002A0E1B"/>
    <w:rsid w:val="002A7A1D"/>
    <w:rsid w:val="002C1059"/>
    <w:rsid w:val="002C2F9C"/>
    <w:rsid w:val="002D5B95"/>
    <w:rsid w:val="002E1AF7"/>
    <w:rsid w:val="002F40AF"/>
    <w:rsid w:val="00304DFD"/>
    <w:rsid w:val="00322DEA"/>
    <w:rsid w:val="00355FBD"/>
    <w:rsid w:val="00371863"/>
    <w:rsid w:val="00381461"/>
    <w:rsid w:val="00391C12"/>
    <w:rsid w:val="003A0B7D"/>
    <w:rsid w:val="003A45C2"/>
    <w:rsid w:val="003B1823"/>
    <w:rsid w:val="003B7A11"/>
    <w:rsid w:val="003C4BE2"/>
    <w:rsid w:val="003D147D"/>
    <w:rsid w:val="003D637A"/>
    <w:rsid w:val="00413CB9"/>
    <w:rsid w:val="00430015"/>
    <w:rsid w:val="00434918"/>
    <w:rsid w:val="004678D0"/>
    <w:rsid w:val="00482954"/>
    <w:rsid w:val="00490624"/>
    <w:rsid w:val="00495100"/>
    <w:rsid w:val="004951C0"/>
    <w:rsid w:val="004C7646"/>
    <w:rsid w:val="004D15DE"/>
    <w:rsid w:val="004E74AB"/>
    <w:rsid w:val="005056AF"/>
    <w:rsid w:val="0051199F"/>
    <w:rsid w:val="0051405B"/>
    <w:rsid w:val="00524001"/>
    <w:rsid w:val="00563698"/>
    <w:rsid w:val="00564B63"/>
    <w:rsid w:val="00575DC7"/>
    <w:rsid w:val="005836C2"/>
    <w:rsid w:val="005A05BD"/>
    <w:rsid w:val="005A4EFD"/>
    <w:rsid w:val="005A5ABE"/>
    <w:rsid w:val="005C2ECC"/>
    <w:rsid w:val="005C6744"/>
    <w:rsid w:val="005E419E"/>
    <w:rsid w:val="005F63BD"/>
    <w:rsid w:val="00611CF1"/>
    <w:rsid w:val="006201D9"/>
    <w:rsid w:val="006277DB"/>
    <w:rsid w:val="00635B7B"/>
    <w:rsid w:val="00655B98"/>
    <w:rsid w:val="006710E6"/>
    <w:rsid w:val="00686973"/>
    <w:rsid w:val="00696B2D"/>
    <w:rsid w:val="006A2656"/>
    <w:rsid w:val="006A3475"/>
    <w:rsid w:val="006A6342"/>
    <w:rsid w:val="006B6C9C"/>
    <w:rsid w:val="006C7AE3"/>
    <w:rsid w:val="006D55E8"/>
    <w:rsid w:val="006E1921"/>
    <w:rsid w:val="006F36F9"/>
    <w:rsid w:val="0070576B"/>
    <w:rsid w:val="00713335"/>
    <w:rsid w:val="00717FAC"/>
    <w:rsid w:val="00727C2F"/>
    <w:rsid w:val="00735F13"/>
    <w:rsid w:val="007575CC"/>
    <w:rsid w:val="007717F2"/>
    <w:rsid w:val="00772E3B"/>
    <w:rsid w:val="0078134C"/>
    <w:rsid w:val="007A3E96"/>
    <w:rsid w:val="007A47E9"/>
    <w:rsid w:val="007A5830"/>
    <w:rsid w:val="007D21FB"/>
    <w:rsid w:val="00801154"/>
    <w:rsid w:val="00801256"/>
    <w:rsid w:val="008264FC"/>
    <w:rsid w:val="008407A7"/>
    <w:rsid w:val="008703CB"/>
    <w:rsid w:val="008B61AF"/>
    <w:rsid w:val="008C33C2"/>
    <w:rsid w:val="008C6137"/>
    <w:rsid w:val="008E2DB4"/>
    <w:rsid w:val="00901DD5"/>
    <w:rsid w:val="00901E77"/>
    <w:rsid w:val="0090735B"/>
    <w:rsid w:val="00912D57"/>
    <w:rsid w:val="00912D5E"/>
    <w:rsid w:val="00934340"/>
    <w:rsid w:val="00955620"/>
    <w:rsid w:val="00956DC7"/>
    <w:rsid w:val="00966CD3"/>
    <w:rsid w:val="00987A20"/>
    <w:rsid w:val="0099381A"/>
    <w:rsid w:val="009A0E15"/>
    <w:rsid w:val="009C3BA8"/>
    <w:rsid w:val="009D4037"/>
    <w:rsid w:val="009F0592"/>
    <w:rsid w:val="00A20E72"/>
    <w:rsid w:val="00A246DC"/>
    <w:rsid w:val="00A468DE"/>
    <w:rsid w:val="00A47BAF"/>
    <w:rsid w:val="00A542D3"/>
    <w:rsid w:val="00A5784F"/>
    <w:rsid w:val="00A615EC"/>
    <w:rsid w:val="00A8436E"/>
    <w:rsid w:val="00A95B66"/>
    <w:rsid w:val="00AA1DF1"/>
    <w:rsid w:val="00AB190D"/>
    <w:rsid w:val="00AC20C8"/>
    <w:rsid w:val="00AE0667"/>
    <w:rsid w:val="00B119C6"/>
    <w:rsid w:val="00B23CD4"/>
    <w:rsid w:val="00B41E0A"/>
    <w:rsid w:val="00B56DE0"/>
    <w:rsid w:val="00B71F12"/>
    <w:rsid w:val="00B76FEC"/>
    <w:rsid w:val="00B96B1E"/>
    <w:rsid w:val="00BB2A6F"/>
    <w:rsid w:val="00BD1614"/>
    <w:rsid w:val="00BD382C"/>
    <w:rsid w:val="00BD5C12"/>
    <w:rsid w:val="00BD5DA6"/>
    <w:rsid w:val="00BF7D25"/>
    <w:rsid w:val="00C00850"/>
    <w:rsid w:val="00C010C0"/>
    <w:rsid w:val="00C0405F"/>
    <w:rsid w:val="00C209C0"/>
    <w:rsid w:val="00C40CB5"/>
    <w:rsid w:val="00C54CE6"/>
    <w:rsid w:val="00C550C5"/>
    <w:rsid w:val="00C575E2"/>
    <w:rsid w:val="00C7368B"/>
    <w:rsid w:val="00C92746"/>
    <w:rsid w:val="00CC4DC5"/>
    <w:rsid w:val="00CE1A7C"/>
    <w:rsid w:val="00CE496F"/>
    <w:rsid w:val="00D0464B"/>
    <w:rsid w:val="00D12C74"/>
    <w:rsid w:val="00D17A8C"/>
    <w:rsid w:val="00D2263F"/>
    <w:rsid w:val="00D56483"/>
    <w:rsid w:val="00D5658F"/>
    <w:rsid w:val="00D56AD6"/>
    <w:rsid w:val="00D57B4D"/>
    <w:rsid w:val="00D70019"/>
    <w:rsid w:val="00D714FC"/>
    <w:rsid w:val="00D74B58"/>
    <w:rsid w:val="00D82ABE"/>
    <w:rsid w:val="00DA4ABA"/>
    <w:rsid w:val="00DA685B"/>
    <w:rsid w:val="00DA742B"/>
    <w:rsid w:val="00DF25C1"/>
    <w:rsid w:val="00DF48F7"/>
    <w:rsid w:val="00DF4964"/>
    <w:rsid w:val="00DF4D73"/>
    <w:rsid w:val="00DF79B0"/>
    <w:rsid w:val="00E1047D"/>
    <w:rsid w:val="00E4050B"/>
    <w:rsid w:val="00E443FA"/>
    <w:rsid w:val="00E54FCE"/>
    <w:rsid w:val="00E60DA1"/>
    <w:rsid w:val="00E921A2"/>
    <w:rsid w:val="00E93D35"/>
    <w:rsid w:val="00EA45DB"/>
    <w:rsid w:val="00EC1877"/>
    <w:rsid w:val="00ED2CD9"/>
    <w:rsid w:val="00EE6F24"/>
    <w:rsid w:val="00F07DA7"/>
    <w:rsid w:val="00F10D82"/>
    <w:rsid w:val="00F23453"/>
    <w:rsid w:val="00F3254F"/>
    <w:rsid w:val="00F43C55"/>
    <w:rsid w:val="00F564C1"/>
    <w:rsid w:val="00F62996"/>
    <w:rsid w:val="00F63FB7"/>
    <w:rsid w:val="00F733CF"/>
    <w:rsid w:val="00F77FA2"/>
    <w:rsid w:val="00F8357A"/>
    <w:rsid w:val="00F912F0"/>
    <w:rsid w:val="00F94D05"/>
    <w:rsid w:val="00FA1B77"/>
    <w:rsid w:val="00FB4B65"/>
    <w:rsid w:val="00FB74B8"/>
    <w:rsid w:val="00FC49E0"/>
    <w:rsid w:val="00FF0484"/>
    <w:rsid w:val="00FF4E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7E724"/>
  <w15:docId w15:val="{F7996034-3CD0-499A-8D2F-018CE164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0E6"/>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5A4EFD"/>
    <w:pPr>
      <w:keepNext/>
      <w:keepLines/>
      <w:spacing w:before="480"/>
      <w:ind w:left="567" w:hanging="567"/>
      <w:outlineLvl w:val="0"/>
    </w:pPr>
    <w:rPr>
      <w:b/>
      <w:sz w:val="28"/>
    </w:rPr>
  </w:style>
  <w:style w:type="paragraph" w:styleId="Heading2">
    <w:name w:val="heading 2"/>
    <w:basedOn w:val="Heading1"/>
    <w:next w:val="Normal"/>
    <w:qFormat/>
    <w:rsid w:val="00686973"/>
    <w:pPr>
      <w:spacing w:before="320"/>
      <w:outlineLvl w:val="1"/>
    </w:pPr>
    <w:rPr>
      <w:sz w:val="24"/>
    </w:rPr>
  </w:style>
  <w:style w:type="paragraph" w:styleId="Heading3">
    <w:name w:val="heading 3"/>
    <w:basedOn w:val="Heading1"/>
    <w:next w:val="Normal"/>
    <w:qFormat/>
    <w:rsid w:val="00686973"/>
    <w:pPr>
      <w:spacing w:before="200"/>
      <w:outlineLvl w:val="2"/>
    </w:pPr>
    <w:rPr>
      <w:sz w:val="24"/>
    </w:rPr>
  </w:style>
  <w:style w:type="paragraph" w:styleId="Heading4">
    <w:name w:val="heading 4"/>
    <w:basedOn w:val="Heading3"/>
    <w:next w:val="Normal"/>
    <w:qFormat/>
    <w:rsid w:val="003A0B7D"/>
    <w:pPr>
      <w:ind w:left="1134" w:hanging="1134"/>
      <w:outlineLvl w:val="3"/>
    </w:pPr>
  </w:style>
  <w:style w:type="paragraph" w:styleId="Heading5">
    <w:name w:val="heading 5"/>
    <w:basedOn w:val="Heading4"/>
    <w:next w:val="Normal"/>
    <w:qFormat/>
    <w:rsid w:val="003A0B7D"/>
    <w:pPr>
      <w:outlineLvl w:val="4"/>
    </w:pPr>
  </w:style>
  <w:style w:type="paragraph" w:styleId="Heading6">
    <w:name w:val="heading 6"/>
    <w:basedOn w:val="Heading4"/>
    <w:next w:val="Normal"/>
    <w:qFormat/>
    <w:rsid w:val="003A0B7D"/>
    <w:pPr>
      <w:outlineLvl w:val="5"/>
    </w:pPr>
  </w:style>
  <w:style w:type="paragraph" w:styleId="Heading7">
    <w:name w:val="heading 7"/>
    <w:basedOn w:val="Heading4"/>
    <w:next w:val="Normal"/>
    <w:qFormat/>
    <w:rsid w:val="003A0B7D"/>
    <w:pPr>
      <w:ind w:left="1701" w:hanging="1701"/>
      <w:outlineLvl w:val="6"/>
    </w:pPr>
  </w:style>
  <w:style w:type="paragraph" w:styleId="Heading8">
    <w:name w:val="heading 8"/>
    <w:basedOn w:val="Heading4"/>
    <w:next w:val="Normal"/>
    <w:qFormat/>
    <w:rsid w:val="003A0B7D"/>
    <w:pPr>
      <w:ind w:left="1701" w:hanging="1701"/>
      <w:outlineLvl w:val="7"/>
    </w:pPr>
  </w:style>
  <w:style w:type="paragraph" w:styleId="Heading9">
    <w:name w:val="heading 9"/>
    <w:basedOn w:val="Heading4"/>
    <w:next w:val="Normal"/>
    <w:qFormat/>
    <w:rsid w:val="003A0B7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3A0B7D"/>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3A0B7D"/>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Date">
    <w:name w:val="Date"/>
    <w:basedOn w:val="Normal"/>
    <w:rsid w:val="003A0B7D"/>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styleId="Footer">
    <w:name w:val="footer"/>
    <w:basedOn w:val="Normal"/>
    <w:rsid w:val="003A0B7D"/>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3A0B7D"/>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5A4EFD"/>
    <w:rPr>
      <w:rFonts w:ascii="Calibri" w:hAnsi="Calibri"/>
      <w:position w:val="6"/>
      <w:sz w:val="16"/>
    </w:rPr>
  </w:style>
  <w:style w:type="paragraph" w:styleId="FootnoteText">
    <w:name w:val="footnote text"/>
    <w:basedOn w:val="Normal"/>
    <w:rsid w:val="003A0B7D"/>
    <w:pPr>
      <w:keepLines/>
      <w:tabs>
        <w:tab w:val="left" w:pos="256"/>
      </w:tabs>
      <w:ind w:left="256" w:hanging="256"/>
    </w:pPr>
  </w:style>
  <w:style w:type="paragraph" w:styleId="NormalIndent">
    <w:name w:val="Normal Indent"/>
    <w:basedOn w:val="Normal"/>
    <w:rsid w:val="003A0B7D"/>
    <w:pPr>
      <w:ind w:left="567"/>
    </w:pPr>
  </w:style>
  <w:style w:type="paragraph" w:customStyle="1" w:styleId="Tablelegend">
    <w:name w:val="Table_legend"/>
    <w:basedOn w:val="Tabletext"/>
    <w:rsid w:val="003A0B7D"/>
    <w:pPr>
      <w:spacing w:before="120"/>
    </w:pPr>
  </w:style>
  <w:style w:type="paragraph" w:customStyle="1" w:styleId="Tabletext">
    <w:name w:val="Table_text"/>
    <w:basedOn w:val="Normal"/>
    <w:rsid w:val="003A0B7D"/>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3A0B7D"/>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3A0B7D"/>
    <w:pPr>
      <w:keepNext/>
      <w:spacing w:before="560" w:after="120"/>
      <w:jc w:val="center"/>
    </w:pPr>
    <w:rPr>
      <w:caps/>
    </w:rPr>
  </w:style>
  <w:style w:type="paragraph" w:customStyle="1" w:styleId="enumlev1">
    <w:name w:val="enumlev1"/>
    <w:basedOn w:val="Normal"/>
    <w:rsid w:val="003A0B7D"/>
    <w:pPr>
      <w:spacing w:before="86"/>
      <w:ind w:left="567" w:hanging="567"/>
    </w:pPr>
  </w:style>
  <w:style w:type="paragraph" w:customStyle="1" w:styleId="enumlev2">
    <w:name w:val="enumlev2"/>
    <w:basedOn w:val="enumlev1"/>
    <w:rsid w:val="003A0B7D"/>
    <w:pPr>
      <w:ind w:left="1134"/>
    </w:pPr>
  </w:style>
  <w:style w:type="paragraph" w:customStyle="1" w:styleId="enumlev3">
    <w:name w:val="enumlev3"/>
    <w:basedOn w:val="enumlev2"/>
    <w:rsid w:val="003A0B7D"/>
    <w:pPr>
      <w:ind w:left="1701"/>
    </w:pPr>
  </w:style>
  <w:style w:type="paragraph" w:customStyle="1" w:styleId="Tablehead">
    <w:name w:val="Table_head"/>
    <w:basedOn w:val="Tabletext"/>
    <w:rsid w:val="003A0B7D"/>
    <w:pPr>
      <w:spacing w:before="120" w:after="120"/>
      <w:jc w:val="center"/>
    </w:pPr>
    <w:rPr>
      <w:b/>
    </w:rPr>
  </w:style>
  <w:style w:type="paragraph" w:customStyle="1" w:styleId="Normalaftertitle">
    <w:name w:val="Normal after title"/>
    <w:basedOn w:val="Normal"/>
    <w:next w:val="Normal"/>
    <w:rsid w:val="003A0B7D"/>
    <w:pPr>
      <w:spacing w:before="240"/>
    </w:pPr>
  </w:style>
  <w:style w:type="paragraph" w:customStyle="1" w:styleId="AnnexNo">
    <w:name w:val="Annex_No"/>
    <w:basedOn w:val="Normal"/>
    <w:next w:val="Annexref"/>
    <w:rsid w:val="00686973"/>
    <w:pPr>
      <w:spacing w:before="720"/>
      <w:jc w:val="center"/>
    </w:pPr>
    <w:rPr>
      <w:caps/>
      <w:sz w:val="28"/>
    </w:rPr>
  </w:style>
  <w:style w:type="paragraph" w:customStyle="1" w:styleId="Annexref">
    <w:name w:val="Annex_ref"/>
    <w:basedOn w:val="Normal"/>
    <w:next w:val="Annextitle"/>
    <w:rsid w:val="00686973"/>
    <w:pPr>
      <w:jc w:val="center"/>
    </w:pPr>
    <w:rPr>
      <w:sz w:val="28"/>
    </w:rPr>
  </w:style>
  <w:style w:type="paragraph" w:customStyle="1" w:styleId="Annextitle">
    <w:name w:val="Annex_title"/>
    <w:basedOn w:val="Normal"/>
    <w:next w:val="Normal"/>
    <w:rsid w:val="00686973"/>
    <w:pPr>
      <w:spacing w:before="240" w:after="240"/>
      <w:jc w:val="center"/>
    </w:pPr>
    <w:rPr>
      <w:b/>
      <w:sz w:val="28"/>
    </w:rPr>
  </w:style>
  <w:style w:type="paragraph" w:customStyle="1" w:styleId="AppendixNo">
    <w:name w:val="Appendix_No"/>
    <w:basedOn w:val="AnnexNo"/>
    <w:next w:val="Appendixref"/>
    <w:rsid w:val="00686973"/>
  </w:style>
  <w:style w:type="paragraph" w:customStyle="1" w:styleId="Appendixref">
    <w:name w:val="Appendix_ref"/>
    <w:basedOn w:val="Annexref"/>
    <w:next w:val="Appendixtitle"/>
    <w:rsid w:val="003A0B7D"/>
  </w:style>
  <w:style w:type="paragraph" w:customStyle="1" w:styleId="Appendixtitle">
    <w:name w:val="Appendix_title"/>
    <w:basedOn w:val="Annextitle"/>
    <w:next w:val="Normal"/>
    <w:rsid w:val="003A0B7D"/>
  </w:style>
  <w:style w:type="paragraph" w:customStyle="1" w:styleId="Reftitle">
    <w:name w:val="Ref_title"/>
    <w:basedOn w:val="Normal"/>
    <w:next w:val="Reftext"/>
    <w:rsid w:val="00686973"/>
    <w:pPr>
      <w:spacing w:before="480"/>
      <w:jc w:val="center"/>
    </w:pPr>
    <w:rPr>
      <w:caps/>
      <w:sz w:val="28"/>
    </w:rPr>
  </w:style>
  <w:style w:type="paragraph" w:customStyle="1" w:styleId="Reftext">
    <w:name w:val="Ref_text"/>
    <w:basedOn w:val="Normal"/>
    <w:rsid w:val="003A0B7D"/>
    <w:pPr>
      <w:ind w:left="567" w:hanging="567"/>
    </w:pPr>
  </w:style>
  <w:style w:type="paragraph" w:customStyle="1" w:styleId="Rectitle">
    <w:name w:val="Rec_title"/>
    <w:basedOn w:val="Normal"/>
    <w:next w:val="Heading1"/>
    <w:rsid w:val="005A4EFD"/>
    <w:pPr>
      <w:spacing w:before="240"/>
      <w:jc w:val="center"/>
    </w:pPr>
    <w:rPr>
      <w:b/>
      <w:sz w:val="28"/>
    </w:rPr>
  </w:style>
  <w:style w:type="paragraph" w:customStyle="1" w:styleId="Call">
    <w:name w:val="Call"/>
    <w:basedOn w:val="Normal"/>
    <w:next w:val="Normal"/>
    <w:rsid w:val="003A0B7D"/>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686973"/>
    <w:pPr>
      <w:spacing w:before="720"/>
      <w:jc w:val="center"/>
    </w:pPr>
    <w:rPr>
      <w:caps/>
      <w:sz w:val="28"/>
    </w:rPr>
  </w:style>
  <w:style w:type="paragraph" w:customStyle="1" w:styleId="toc0">
    <w:name w:val="toc 0"/>
    <w:basedOn w:val="Normal"/>
    <w:next w:val="TOC1"/>
    <w:rsid w:val="003A0B7D"/>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686973"/>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3A0B7D"/>
    <w:pPr>
      <w:tabs>
        <w:tab w:val="clear" w:pos="567"/>
        <w:tab w:val="left" w:pos="851"/>
      </w:tabs>
    </w:pPr>
  </w:style>
  <w:style w:type="paragraph" w:customStyle="1" w:styleId="MinusFootnote">
    <w:name w:val="MinusFootnote"/>
    <w:basedOn w:val="Normal"/>
    <w:rsid w:val="003A0B7D"/>
    <w:pPr>
      <w:ind w:left="-1701" w:hanging="284"/>
    </w:pPr>
  </w:style>
  <w:style w:type="paragraph" w:customStyle="1" w:styleId="Title3">
    <w:name w:val="Title 3"/>
    <w:basedOn w:val="Title2"/>
    <w:next w:val="Normalaftertitle"/>
    <w:rsid w:val="003A0B7D"/>
    <w:rPr>
      <w:caps w:val="0"/>
    </w:rPr>
  </w:style>
  <w:style w:type="paragraph" w:customStyle="1" w:styleId="Title2">
    <w:name w:val="Title 2"/>
    <w:basedOn w:val="Source"/>
    <w:next w:val="Title3"/>
    <w:rsid w:val="003A0B7D"/>
    <w:pPr>
      <w:spacing w:before="240"/>
    </w:pPr>
    <w:rPr>
      <w:b w:val="0"/>
      <w:caps/>
    </w:rPr>
  </w:style>
  <w:style w:type="paragraph" w:customStyle="1" w:styleId="Source">
    <w:name w:val="Source"/>
    <w:basedOn w:val="Normal"/>
    <w:next w:val="Title1"/>
    <w:rsid w:val="00F564C1"/>
    <w:pPr>
      <w:spacing w:before="840"/>
      <w:jc w:val="center"/>
    </w:pPr>
    <w:rPr>
      <w:b/>
      <w:sz w:val="28"/>
    </w:rPr>
  </w:style>
  <w:style w:type="paragraph" w:customStyle="1" w:styleId="Title1">
    <w:name w:val="Title 1"/>
    <w:basedOn w:val="Source"/>
    <w:next w:val="Title2"/>
    <w:rsid w:val="003A0B7D"/>
    <w:pPr>
      <w:spacing w:before="240"/>
    </w:pPr>
    <w:rPr>
      <w:b w:val="0"/>
      <w:caps/>
    </w:rPr>
  </w:style>
  <w:style w:type="paragraph" w:customStyle="1" w:styleId="ArtNo">
    <w:name w:val="Art_No"/>
    <w:basedOn w:val="Normal"/>
    <w:next w:val="Arttitle"/>
    <w:rsid w:val="00686973"/>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686973"/>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3A0B7D"/>
  </w:style>
  <w:style w:type="paragraph" w:customStyle="1" w:styleId="Chaptitle">
    <w:name w:val="Chap_title"/>
    <w:basedOn w:val="Arttitle"/>
    <w:next w:val="Normal"/>
    <w:rsid w:val="003A0B7D"/>
  </w:style>
  <w:style w:type="paragraph" w:customStyle="1" w:styleId="Reasons">
    <w:name w:val="Reasons"/>
    <w:basedOn w:val="Normal"/>
    <w:rsid w:val="003A0B7D"/>
  </w:style>
  <w:style w:type="paragraph" w:customStyle="1" w:styleId="ResNo">
    <w:name w:val="Res_No"/>
    <w:basedOn w:val="AnnexNo"/>
    <w:next w:val="Restitle"/>
    <w:rsid w:val="003A0B7D"/>
  </w:style>
  <w:style w:type="paragraph" w:customStyle="1" w:styleId="Restitle">
    <w:name w:val="Res_title"/>
    <w:basedOn w:val="Annextitle"/>
    <w:next w:val="Normal"/>
    <w:rsid w:val="005A4EFD"/>
  </w:style>
  <w:style w:type="paragraph" w:customStyle="1" w:styleId="AnnexNoS2">
    <w:name w:val="Annex_No_S2"/>
    <w:basedOn w:val="AnnexNo"/>
    <w:next w:val="AnnexrefS2"/>
    <w:rsid w:val="00686973"/>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3A0B7D"/>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3A0B7D"/>
    <w:rPr>
      <w:caps w:val="0"/>
    </w:rPr>
  </w:style>
  <w:style w:type="paragraph" w:customStyle="1" w:styleId="Section2">
    <w:name w:val="Section 2"/>
    <w:basedOn w:val="Section1"/>
    <w:next w:val="Normal"/>
    <w:rsid w:val="003A0B7D"/>
    <w:pPr>
      <w:spacing w:before="240"/>
    </w:pPr>
    <w:rPr>
      <w:b/>
      <w:i/>
    </w:rPr>
  </w:style>
  <w:style w:type="paragraph" w:customStyle="1" w:styleId="AppendixNoS2">
    <w:name w:val="Appendix_No_S2"/>
    <w:basedOn w:val="AppendixNo"/>
    <w:next w:val="Appendixref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686973"/>
    <w:pPr>
      <w:tabs>
        <w:tab w:val="left" w:pos="851"/>
      </w:tabs>
      <w:jc w:val="left"/>
    </w:pPr>
    <w:rPr>
      <w:b/>
      <w:sz w:val="24"/>
    </w:rPr>
  </w:style>
  <w:style w:type="paragraph" w:customStyle="1" w:styleId="ArttitleS2">
    <w:name w:val="Art_title_S2"/>
    <w:basedOn w:val="Arttitle"/>
    <w:next w:val="NormalS2"/>
    <w:rsid w:val="00686973"/>
    <w:pPr>
      <w:tabs>
        <w:tab w:val="left" w:pos="851"/>
      </w:tabs>
      <w:jc w:val="left"/>
    </w:pPr>
    <w:rPr>
      <w:sz w:val="24"/>
    </w:rPr>
  </w:style>
  <w:style w:type="paragraph" w:customStyle="1" w:styleId="ChapNoS2">
    <w:name w:val="Chap_No_S2"/>
    <w:basedOn w:val="ChapNo"/>
    <w:next w:val="ChaptitleS2"/>
    <w:rsid w:val="005A4EFD"/>
    <w:pPr>
      <w:tabs>
        <w:tab w:val="left" w:pos="851"/>
      </w:tabs>
      <w:jc w:val="left"/>
    </w:pPr>
    <w:rPr>
      <w:b/>
      <w:sz w:val="24"/>
    </w:rPr>
  </w:style>
  <w:style w:type="paragraph" w:customStyle="1" w:styleId="ChaptitleS2">
    <w:name w:val="Chap_title_S2"/>
    <w:basedOn w:val="Chaptitle"/>
    <w:next w:val="NormalS2"/>
    <w:rsid w:val="00686973"/>
    <w:pPr>
      <w:tabs>
        <w:tab w:val="left" w:pos="851"/>
      </w:tabs>
      <w:jc w:val="left"/>
    </w:pPr>
    <w:rPr>
      <w:sz w:val="24"/>
    </w:rPr>
  </w:style>
  <w:style w:type="paragraph" w:customStyle="1" w:styleId="enumlev1S2">
    <w:name w:val="enumlev1_S2"/>
    <w:basedOn w:val="enumlev1"/>
    <w:rsid w:val="003A0B7D"/>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3A0B7D"/>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3A0B7D"/>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3A0B7D"/>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686973"/>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3A0B7D"/>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3A0B7D"/>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3A0B7D"/>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3A0B7D"/>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3A0B7D"/>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3A0B7D"/>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3A0B7D"/>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3A0B7D"/>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3A0B7D"/>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3A0B7D"/>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3A0B7D"/>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686973"/>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3A0B7D"/>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686973"/>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686973"/>
    <w:pPr>
      <w:tabs>
        <w:tab w:val="left" w:pos="851"/>
      </w:tabs>
      <w:jc w:val="left"/>
    </w:pPr>
    <w:rPr>
      <w:caps/>
      <w:sz w:val="24"/>
    </w:rPr>
  </w:style>
  <w:style w:type="paragraph" w:customStyle="1" w:styleId="Section2S2">
    <w:name w:val="Section 2_S2"/>
    <w:basedOn w:val="Section2"/>
    <w:next w:val="NormalS2"/>
    <w:rsid w:val="005A4EFD"/>
    <w:pPr>
      <w:tabs>
        <w:tab w:val="left" w:pos="851"/>
      </w:tabs>
      <w:jc w:val="left"/>
    </w:pPr>
    <w:rPr>
      <w:sz w:val="24"/>
    </w:rPr>
  </w:style>
  <w:style w:type="paragraph" w:customStyle="1" w:styleId="TableNoS2">
    <w:name w:val="Table_No_S2"/>
    <w:basedOn w:val="TableNo"/>
    <w:next w:val="TabletitleS2"/>
    <w:rsid w:val="003A0B7D"/>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3A0B7D"/>
    <w:pPr>
      <w:keepNext w:val="0"/>
      <w:tabs>
        <w:tab w:val="clear" w:pos="2948"/>
        <w:tab w:val="clear" w:pos="4082"/>
        <w:tab w:val="left" w:pos="851"/>
      </w:tabs>
      <w:jc w:val="left"/>
    </w:pPr>
  </w:style>
  <w:style w:type="paragraph" w:customStyle="1" w:styleId="TabletextS2">
    <w:name w:val="Table_text_S2"/>
    <w:basedOn w:val="Tabletext"/>
    <w:rsid w:val="003A0B7D"/>
    <w:pPr>
      <w:tabs>
        <w:tab w:val="left" w:pos="851"/>
      </w:tabs>
    </w:pPr>
    <w:rPr>
      <w:b/>
    </w:rPr>
  </w:style>
  <w:style w:type="paragraph" w:customStyle="1" w:styleId="TablelegendS2">
    <w:name w:val="Table_legend_S2"/>
    <w:basedOn w:val="Tablelegend"/>
    <w:rsid w:val="003A0B7D"/>
    <w:pPr>
      <w:tabs>
        <w:tab w:val="left" w:pos="851"/>
      </w:tabs>
      <w:spacing w:after="0"/>
    </w:pPr>
    <w:rPr>
      <w:b/>
    </w:rPr>
  </w:style>
  <w:style w:type="paragraph" w:customStyle="1" w:styleId="FooterS2">
    <w:name w:val="Footer_S2"/>
    <w:basedOn w:val="Footer"/>
    <w:rsid w:val="003A0B7D"/>
    <w:pPr>
      <w:tabs>
        <w:tab w:val="clear" w:pos="5954"/>
        <w:tab w:val="clear" w:pos="9639"/>
        <w:tab w:val="left" w:pos="3686"/>
        <w:tab w:val="right" w:pos="7655"/>
      </w:tabs>
      <w:ind w:left="-1985"/>
    </w:pPr>
  </w:style>
  <w:style w:type="paragraph" w:customStyle="1" w:styleId="HeaderS2">
    <w:name w:val="Header_S2"/>
    <w:basedOn w:val="Normal"/>
    <w:rsid w:val="003A0B7D"/>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3A0B7D"/>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3A0B7D"/>
    <w:pPr>
      <w:tabs>
        <w:tab w:val="left" w:pos="851"/>
      </w:tabs>
      <w:jc w:val="left"/>
    </w:pPr>
  </w:style>
  <w:style w:type="paragraph" w:customStyle="1" w:styleId="NoteS2">
    <w:name w:val="Note_S2"/>
    <w:basedOn w:val="Note"/>
    <w:rsid w:val="003A0B7D"/>
    <w:pPr>
      <w:tabs>
        <w:tab w:val="clear" w:pos="1134"/>
        <w:tab w:val="clear" w:pos="1701"/>
        <w:tab w:val="clear" w:pos="2268"/>
        <w:tab w:val="clear" w:pos="2835"/>
      </w:tabs>
    </w:pPr>
    <w:rPr>
      <w:b/>
    </w:rPr>
  </w:style>
  <w:style w:type="paragraph" w:customStyle="1" w:styleId="Heading1c">
    <w:name w:val="Heading 1c"/>
    <w:basedOn w:val="Heading1"/>
    <w:next w:val="Normal"/>
    <w:rsid w:val="00CC4DC5"/>
    <w:pPr>
      <w:ind w:left="0" w:firstLine="0"/>
      <w:jc w:val="center"/>
      <w:outlineLvl w:val="9"/>
    </w:pPr>
  </w:style>
  <w:style w:type="paragraph" w:customStyle="1" w:styleId="Heading2i">
    <w:name w:val="Heading 2i"/>
    <w:basedOn w:val="Heading2"/>
    <w:next w:val="Normal"/>
    <w:rsid w:val="005A4EFD"/>
    <w:rPr>
      <w:b w:val="0"/>
      <w:i/>
    </w:rPr>
  </w:style>
  <w:style w:type="paragraph" w:customStyle="1" w:styleId="Heading1cS2">
    <w:name w:val="Heading 1c_S2"/>
    <w:basedOn w:val="Heading1c"/>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FirstFooter">
    <w:name w:val="FirstFooter"/>
    <w:basedOn w:val="Footer"/>
    <w:rsid w:val="003A0B7D"/>
    <w:rPr>
      <w:caps w:val="0"/>
    </w:rPr>
  </w:style>
  <w:style w:type="paragraph" w:customStyle="1" w:styleId="Headingb">
    <w:name w:val="Heading_b"/>
    <w:basedOn w:val="Heading3"/>
    <w:next w:val="Normal"/>
    <w:rsid w:val="003A0B7D"/>
    <w:pPr>
      <w:spacing w:before="160"/>
      <w:outlineLvl w:val="0"/>
    </w:pPr>
  </w:style>
  <w:style w:type="paragraph" w:styleId="TOC9">
    <w:name w:val="toc 9"/>
    <w:basedOn w:val="Normal"/>
    <w:next w:val="Normal"/>
    <w:rsid w:val="003A0B7D"/>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5A4EFD"/>
    <w:pPr>
      <w:spacing w:before="160"/>
      <w:outlineLvl w:val="0"/>
    </w:pPr>
    <w:rPr>
      <w:b w:val="0"/>
      <w:i/>
    </w:rPr>
  </w:style>
  <w:style w:type="paragraph" w:customStyle="1" w:styleId="HeadingbS2">
    <w:name w:val="Headingb_S2"/>
    <w:basedOn w:val="Headingb"/>
    <w:next w:val="NormalS2"/>
    <w:rsid w:val="003A0B7D"/>
    <w:pPr>
      <w:tabs>
        <w:tab w:val="clear" w:pos="567"/>
        <w:tab w:val="clear" w:pos="1134"/>
        <w:tab w:val="clear" w:pos="1701"/>
        <w:tab w:val="clear" w:pos="2268"/>
        <w:tab w:val="clear" w:pos="2835"/>
        <w:tab w:val="left" w:pos="851"/>
      </w:tabs>
    </w:pPr>
  </w:style>
  <w:style w:type="paragraph" w:customStyle="1" w:styleId="HeadingiS2">
    <w:name w:val="Headingi_S2"/>
    <w:basedOn w:val="Headingi"/>
    <w:next w:val="NormalS2"/>
    <w:rsid w:val="003A0B7D"/>
    <w:pPr>
      <w:tabs>
        <w:tab w:val="clear" w:pos="567"/>
        <w:tab w:val="clear" w:pos="1134"/>
        <w:tab w:val="clear" w:pos="1701"/>
        <w:tab w:val="clear" w:pos="2268"/>
        <w:tab w:val="clear" w:pos="2835"/>
        <w:tab w:val="left" w:pos="851"/>
      </w:tabs>
    </w:pPr>
    <w:rPr>
      <w:b/>
      <w:i w:val="0"/>
    </w:rPr>
  </w:style>
  <w:style w:type="paragraph" w:customStyle="1" w:styleId="Heading2iS2">
    <w:name w:val="Heading 2i_S2"/>
    <w:basedOn w:val="Heading2i"/>
    <w:next w:val="NormalS2"/>
    <w:rsid w:val="003A0B7D"/>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5A4EFD"/>
    <w:rPr>
      <w:rFonts w:ascii="Calibri" w:hAnsi="Calibri"/>
    </w:rPr>
  </w:style>
  <w:style w:type="character" w:styleId="Hyperlink">
    <w:name w:val="Hyperlink"/>
    <w:basedOn w:val="DefaultParagraphFont"/>
    <w:uiPriority w:val="99"/>
    <w:rsid w:val="00CC4DC5"/>
    <w:rPr>
      <w:rFonts w:ascii="Calibri" w:hAnsi="Calibri"/>
      <w:color w:val="0000FF"/>
      <w:u w:val="single"/>
    </w:rPr>
  </w:style>
  <w:style w:type="paragraph" w:customStyle="1" w:styleId="firstfooter0">
    <w:name w:val="firstfooter"/>
    <w:basedOn w:val="Normal"/>
    <w:rsid w:val="00966CD3"/>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3A0B7D"/>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3A0B7D"/>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686973"/>
    <w:pPr>
      <w:spacing w:before="320"/>
      <w:outlineLvl w:val="1"/>
    </w:pPr>
    <w:rPr>
      <w:sz w:val="24"/>
    </w:rPr>
  </w:style>
  <w:style w:type="paragraph" w:customStyle="1" w:styleId="Heading3pv">
    <w:name w:val="Heading 3pv"/>
    <w:basedOn w:val="Heading1pv"/>
    <w:next w:val="Normalpv"/>
    <w:rsid w:val="00686973"/>
    <w:pPr>
      <w:spacing w:before="200"/>
      <w:outlineLvl w:val="2"/>
    </w:pPr>
    <w:rPr>
      <w:sz w:val="24"/>
    </w:rPr>
  </w:style>
  <w:style w:type="paragraph" w:customStyle="1" w:styleId="NormalendS2">
    <w:name w:val="Normal_end_S2"/>
    <w:basedOn w:val="Normal"/>
    <w:qFormat/>
    <w:rsid w:val="006C7AE3"/>
  </w:style>
  <w:style w:type="paragraph" w:customStyle="1" w:styleId="Dectitle">
    <w:name w:val="Dec_title"/>
    <w:basedOn w:val="Restitle"/>
    <w:next w:val="Normalaftertitle"/>
    <w:qFormat/>
    <w:rsid w:val="00C92746"/>
  </w:style>
  <w:style w:type="paragraph" w:customStyle="1" w:styleId="DecNo">
    <w:name w:val="Dec_No"/>
    <w:basedOn w:val="ResNo"/>
    <w:next w:val="Dectitle"/>
    <w:qFormat/>
    <w:rsid w:val="00C92746"/>
  </w:style>
  <w:style w:type="paragraph" w:customStyle="1" w:styleId="DectitleS2">
    <w:name w:val="Dec_title_S2"/>
    <w:basedOn w:val="RestitleS2"/>
    <w:next w:val="Normal"/>
    <w:qFormat/>
    <w:rsid w:val="00C92746"/>
  </w:style>
  <w:style w:type="paragraph" w:customStyle="1" w:styleId="DecNoS2">
    <w:name w:val="Dec_No_S2"/>
    <w:basedOn w:val="ResNoS2"/>
    <w:next w:val="DectitleS2"/>
    <w:qFormat/>
    <w:rsid w:val="00C92746"/>
  </w:style>
  <w:style w:type="paragraph" w:customStyle="1" w:styleId="SectionNo">
    <w:name w:val="Section_No"/>
    <w:basedOn w:val="ArtNo"/>
    <w:next w:val="Normal"/>
    <w:qFormat/>
    <w:rsid w:val="0090735B"/>
    <w:rPr>
      <w:lang w:val="en-GB"/>
    </w:rPr>
  </w:style>
  <w:style w:type="paragraph" w:customStyle="1" w:styleId="SectionNoS2">
    <w:name w:val="Section_No_S2"/>
    <w:basedOn w:val="ArtNoS2"/>
    <w:next w:val="Normal"/>
    <w:qFormat/>
    <w:rsid w:val="0090735B"/>
    <w:rPr>
      <w:lang w:val="en-GB"/>
    </w:rPr>
  </w:style>
  <w:style w:type="paragraph" w:customStyle="1" w:styleId="Sectiontitle">
    <w:name w:val="Section_title"/>
    <w:basedOn w:val="Arttitle"/>
    <w:next w:val="Normalaftertitle"/>
    <w:qFormat/>
    <w:rsid w:val="0090735B"/>
    <w:rPr>
      <w:lang w:val="en-GB"/>
    </w:rPr>
  </w:style>
  <w:style w:type="paragraph" w:customStyle="1" w:styleId="SectiontitleS2">
    <w:name w:val="Section_title_S2"/>
    <w:basedOn w:val="ArttitleS2"/>
    <w:next w:val="Normal"/>
    <w:qFormat/>
    <w:rsid w:val="0090735B"/>
    <w:rPr>
      <w:lang w:val="en-GB"/>
    </w:rPr>
  </w:style>
  <w:style w:type="paragraph" w:customStyle="1" w:styleId="Proposal">
    <w:name w:val="Proposal"/>
    <w:basedOn w:val="Normal"/>
    <w:next w:val="Normal"/>
    <w:rsid w:val="008B61AF"/>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BD1614"/>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fr-CH"/>
    </w:rPr>
  </w:style>
  <w:style w:type="paragraph" w:customStyle="1" w:styleId="Committee">
    <w:name w:val="Committee"/>
    <w:basedOn w:val="Normal"/>
    <w:qFormat/>
    <w:rsid w:val="00BD1614"/>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zCs w:val="24"/>
      <w:lang w:val="en-US"/>
    </w:rPr>
  </w:style>
  <w:style w:type="character" w:customStyle="1" w:styleId="HeaderChar">
    <w:name w:val="Header Char"/>
    <w:basedOn w:val="DefaultParagraphFont"/>
    <w:link w:val="Header"/>
    <w:rsid w:val="00BD1614"/>
    <w:rPr>
      <w:rFonts w:ascii="Calibri" w:hAnsi="Calibri"/>
      <w:sz w:val="18"/>
      <w:lang w:val="fr-FR" w:eastAsia="en-US"/>
    </w:rPr>
  </w:style>
  <w:style w:type="paragraph" w:styleId="BalloonText">
    <w:name w:val="Balloon Text"/>
    <w:basedOn w:val="Normal"/>
    <w:link w:val="BalloonTextChar"/>
    <w:rsid w:val="00AE0667"/>
    <w:pPr>
      <w:spacing w:before="0"/>
    </w:pPr>
    <w:rPr>
      <w:rFonts w:ascii="Tahoma" w:hAnsi="Tahoma" w:cs="Tahoma"/>
      <w:sz w:val="16"/>
      <w:szCs w:val="16"/>
    </w:rPr>
  </w:style>
  <w:style w:type="character" w:customStyle="1" w:styleId="BalloonTextChar">
    <w:name w:val="Balloon Text Char"/>
    <w:basedOn w:val="DefaultParagraphFont"/>
    <w:link w:val="BalloonText"/>
    <w:rsid w:val="00AE0667"/>
    <w:rPr>
      <w:rFonts w:ascii="Tahoma" w:hAnsi="Tahoma" w:cs="Tahoma"/>
      <w:sz w:val="16"/>
      <w:szCs w:val="16"/>
      <w:lang w:val="fr-FR" w:eastAsia="en-US"/>
    </w:rPr>
  </w:style>
  <w:style w:type="paragraph" w:customStyle="1" w:styleId="OP">
    <w:name w:val="OP"/>
    <w:basedOn w:val="Normal"/>
    <w:next w:val="Normal"/>
    <w:qFormat/>
    <w:rsid w:val="00D5658F"/>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lang w:val="en-GB"/>
    </w:rPr>
  </w:style>
  <w:style w:type="paragraph" w:customStyle="1" w:styleId="OPtitle">
    <w:name w:val="OP_title"/>
    <w:basedOn w:val="Normal"/>
    <w:next w:val="Normalaftertitle"/>
    <w:qFormat/>
    <w:rsid w:val="00D5658F"/>
    <w:pPr>
      <w:jc w:val="center"/>
    </w:pPr>
    <w:rPr>
      <w:b/>
      <w:bCs/>
      <w:lang w:val="en-GB"/>
    </w:rPr>
  </w:style>
  <w:style w:type="paragraph" w:customStyle="1" w:styleId="VolumeTitle">
    <w:name w:val="VolumeTitle"/>
    <w:basedOn w:val="Normal"/>
    <w:next w:val="Normal"/>
    <w:rsid w:val="00270B2F"/>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character" w:customStyle="1" w:styleId="href">
    <w:name w:val="href"/>
    <w:basedOn w:val="DefaultParagraphFont"/>
    <w:rsid w:val="006710E6"/>
    <w:rPr>
      <w:color w:val="auto"/>
    </w:rPr>
  </w:style>
  <w:style w:type="character" w:styleId="UnresolvedMention">
    <w:name w:val="Unresolved Mention"/>
    <w:basedOn w:val="DefaultParagraphFont"/>
    <w:uiPriority w:val="99"/>
    <w:semiHidden/>
    <w:unhideWhenUsed/>
    <w:rsid w:val="007575CC"/>
    <w:rPr>
      <w:color w:val="605E5C"/>
      <w:shd w:val="clear" w:color="auto" w:fill="E1DFDD"/>
    </w:rPr>
  </w:style>
  <w:style w:type="character" w:styleId="FollowedHyperlink">
    <w:name w:val="FollowedHyperlink"/>
    <w:basedOn w:val="DefaultParagraphFont"/>
    <w:semiHidden/>
    <w:unhideWhenUsed/>
    <w:rsid w:val="00901E77"/>
    <w:rPr>
      <w:color w:val="800080" w:themeColor="followedHyperlink"/>
      <w:u w:val="single"/>
    </w:rPr>
  </w:style>
  <w:style w:type="character" w:styleId="PlaceholderText">
    <w:name w:val="Placeholder Text"/>
    <w:basedOn w:val="DefaultParagraphFont"/>
    <w:uiPriority w:val="99"/>
    <w:semiHidden/>
    <w:rsid w:val="00490624"/>
    <w:rPr>
      <w:color w:val="666666"/>
    </w:rPr>
  </w:style>
  <w:style w:type="paragraph" w:styleId="ListParagraph">
    <w:name w:val="List Paragraph"/>
    <w:basedOn w:val="Normal"/>
    <w:link w:val="ListParagraphChar"/>
    <w:uiPriority w:val="34"/>
    <w:qFormat/>
    <w:rsid w:val="00C550C5"/>
    <w:pPr>
      <w:tabs>
        <w:tab w:val="clear" w:pos="567"/>
        <w:tab w:val="left" w:pos="851"/>
      </w:tabs>
      <w:ind w:left="720"/>
      <w:contextualSpacing/>
    </w:pPr>
    <w:rPr>
      <w:lang w:val="en-GB"/>
    </w:rPr>
  </w:style>
  <w:style w:type="character" w:customStyle="1" w:styleId="ListParagraphChar">
    <w:name w:val="List Paragraph Char"/>
    <w:link w:val="ListParagraph"/>
    <w:uiPriority w:val="34"/>
    <w:locked/>
    <w:rsid w:val="00C550C5"/>
    <w:rPr>
      <w:rFonts w:ascii="Calibri" w:hAnsi="Calibri"/>
      <w:sz w:val="24"/>
      <w:lang w:val="en-GB" w:eastAsia="en-US"/>
    </w:rPr>
  </w:style>
  <w:style w:type="character" w:styleId="CommentReference">
    <w:name w:val="annotation reference"/>
    <w:basedOn w:val="DefaultParagraphFont"/>
    <w:semiHidden/>
    <w:unhideWhenUsed/>
    <w:rsid w:val="00717FAC"/>
    <w:rPr>
      <w:sz w:val="16"/>
      <w:szCs w:val="16"/>
    </w:rPr>
  </w:style>
  <w:style w:type="paragraph" w:styleId="CommentText">
    <w:name w:val="annotation text"/>
    <w:basedOn w:val="Normal"/>
    <w:link w:val="CommentTextChar"/>
    <w:semiHidden/>
    <w:unhideWhenUsed/>
    <w:rsid w:val="00717FAC"/>
    <w:rPr>
      <w:sz w:val="20"/>
    </w:rPr>
  </w:style>
  <w:style w:type="character" w:customStyle="1" w:styleId="CommentTextChar">
    <w:name w:val="Comment Text Char"/>
    <w:basedOn w:val="DefaultParagraphFont"/>
    <w:link w:val="CommentText"/>
    <w:semiHidden/>
    <w:rsid w:val="00717FAC"/>
    <w:rPr>
      <w:rFonts w:ascii="Calibri" w:hAnsi="Calibri"/>
      <w:lang w:val="fr-FR" w:eastAsia="en-US"/>
    </w:rPr>
  </w:style>
  <w:style w:type="paragraph" w:styleId="CommentSubject">
    <w:name w:val="annotation subject"/>
    <w:basedOn w:val="CommentText"/>
    <w:next w:val="CommentText"/>
    <w:link w:val="CommentSubjectChar"/>
    <w:semiHidden/>
    <w:unhideWhenUsed/>
    <w:rsid w:val="00717FAC"/>
    <w:rPr>
      <w:b/>
      <w:bCs/>
    </w:rPr>
  </w:style>
  <w:style w:type="character" w:customStyle="1" w:styleId="CommentSubjectChar">
    <w:name w:val="Comment Subject Char"/>
    <w:basedOn w:val="CommentTextChar"/>
    <w:link w:val="CommentSubject"/>
    <w:semiHidden/>
    <w:rsid w:val="00717FAC"/>
    <w:rPr>
      <w:rFonts w:ascii="Calibri" w:hAnsi="Calibri"/>
      <w:b/>
      <w:bCs/>
      <w:lang w:val="fr-FR" w:eastAsia="en-US"/>
    </w:rPr>
  </w:style>
  <w:style w:type="paragraph" w:styleId="Revision">
    <w:name w:val="Revision"/>
    <w:hidden/>
    <w:uiPriority w:val="99"/>
    <w:semiHidden/>
    <w:rsid w:val="00717FAC"/>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F2A05-FD7E-4093-9702-679374771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2743</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18348</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d'avis 3 - Résilience des télécommunications/TIC</dc:title>
  <dc:subject>World telecommunication/information and communication technology policy forum</dc:subject>
  <cp:keywords>WTPF, WTPF-26</cp:keywords>
  <dc:description/>
  <dcterms:created xsi:type="dcterms:W3CDTF">2026-08-20T15:21:00Z</dcterms:created>
  <dcterms:modified xsi:type="dcterms:W3CDTF">2026-08-20T15:22:00Z</dcterms:modified>
  <cp:category>Conference document</cp:category>
</cp:coreProperties>
</file>