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tblpY="-612"/>
        <w:bidiVisual/>
        <w:tblW w:w="5017" w:type="pct"/>
        <w:tblLayout w:type="fixed"/>
        <w:tblLook w:val="0000" w:firstRow="0" w:lastRow="0" w:firstColumn="0" w:lastColumn="0" w:noHBand="0" w:noVBand="0"/>
      </w:tblPr>
      <w:tblGrid>
        <w:gridCol w:w="6620"/>
        <w:gridCol w:w="3052"/>
      </w:tblGrid>
      <w:tr w:rsidR="00EB3ADA" w:rsidRPr="003A0ECA" w14:paraId="78D9A849" w14:textId="77777777" w:rsidTr="003433B7">
        <w:trPr>
          <w:cantSplit/>
          <w:trHeight w:hRule="exact" w:val="1418"/>
        </w:trPr>
        <w:tc>
          <w:tcPr>
            <w:tcW w:w="9672" w:type="dxa"/>
            <w:gridSpan w:val="2"/>
            <w:vAlign w:val="center"/>
          </w:tcPr>
          <w:p w14:paraId="372A9D19" w14:textId="77777777" w:rsidR="00EB3ADA" w:rsidRPr="003A0ECA" w:rsidRDefault="003A0C0D" w:rsidP="003A0C0D">
            <w:pPr>
              <w:tabs>
                <w:tab w:val="clear" w:pos="567"/>
                <w:tab w:val="clear" w:pos="1134"/>
                <w:tab w:val="clear" w:pos="1701"/>
                <w:tab w:val="clear" w:pos="2268"/>
                <w:tab w:val="clear" w:pos="2835"/>
                <w:tab w:val="left" w:pos="794"/>
              </w:tabs>
              <w:overflowPunct/>
              <w:autoSpaceDE/>
              <w:autoSpaceDN/>
              <w:bidi w:val="0"/>
              <w:adjustRightInd/>
              <w:spacing w:before="0" w:line="240" w:lineRule="auto"/>
              <w:jc w:val="left"/>
              <w:textAlignment w:val="auto"/>
              <w:rPr>
                <w:rtl/>
                <w:lang w:val="en-US" w:eastAsia="zh-CN"/>
              </w:rPr>
            </w:pPr>
            <w:r>
              <w:rPr>
                <w:noProof/>
                <w:rtl/>
                <w:lang w:val="ar-EG" w:eastAsia="zh-CN"/>
              </w:rPr>
              <w:drawing>
                <wp:inline distT="0" distB="0" distL="0" distR="0" wp14:anchorId="4C6F58CE" wp14:editId="66AEBCF6">
                  <wp:extent cx="6660000" cy="971958"/>
                  <wp:effectExtent l="0" t="0" r="0" b="0"/>
                  <wp:docPr id="2055669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669901" name="Picture 205566990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60000" cy="971958"/>
                          </a:xfrm>
                          <a:prstGeom prst="rect">
                            <a:avLst/>
                          </a:prstGeom>
                        </pic:spPr>
                      </pic:pic>
                    </a:graphicData>
                  </a:graphic>
                </wp:inline>
              </w:drawing>
            </w:r>
          </w:p>
        </w:tc>
      </w:tr>
      <w:tr w:rsidR="00EB3ADA" w:rsidRPr="003A0ECA" w14:paraId="6DB513F3" w14:textId="77777777" w:rsidTr="00EB3ADA">
        <w:trPr>
          <w:cantSplit/>
          <w:trHeight w:val="283"/>
        </w:trPr>
        <w:tc>
          <w:tcPr>
            <w:tcW w:w="9672" w:type="dxa"/>
            <w:gridSpan w:val="2"/>
            <w:tcBorders>
              <w:bottom w:val="single" w:sz="12" w:space="0" w:color="71716F"/>
            </w:tcBorders>
          </w:tcPr>
          <w:p w14:paraId="511A016A" w14:textId="77777777" w:rsidR="00EB3ADA" w:rsidRPr="003A0ECA" w:rsidRDefault="00EB3ADA" w:rsidP="00EB3ADA">
            <w:pPr>
              <w:tabs>
                <w:tab w:val="clear" w:pos="567"/>
                <w:tab w:val="clear" w:pos="1134"/>
                <w:tab w:val="clear" w:pos="1701"/>
                <w:tab w:val="clear" w:pos="2268"/>
                <w:tab w:val="clear" w:pos="2835"/>
                <w:tab w:val="left" w:pos="794"/>
              </w:tabs>
              <w:overflowPunct/>
              <w:autoSpaceDE/>
              <w:autoSpaceDN/>
              <w:adjustRightInd/>
              <w:spacing w:before="0" w:line="120" w:lineRule="auto"/>
              <w:textAlignment w:val="auto"/>
              <w:rPr>
                <w:lang w:val="en-US" w:eastAsia="zh-CN"/>
              </w:rPr>
            </w:pPr>
          </w:p>
        </w:tc>
      </w:tr>
      <w:tr w:rsidR="003A0ECA" w:rsidRPr="003A0ECA" w14:paraId="196E737C" w14:textId="77777777" w:rsidTr="00EB3ADA">
        <w:trPr>
          <w:cantSplit/>
          <w:trHeight w:val="255"/>
        </w:trPr>
        <w:tc>
          <w:tcPr>
            <w:tcW w:w="6620" w:type="dxa"/>
            <w:tcBorders>
              <w:top w:val="single" w:sz="12" w:space="0" w:color="71716F"/>
            </w:tcBorders>
          </w:tcPr>
          <w:p w14:paraId="56CB4650" w14:textId="77777777" w:rsidR="003A0ECA" w:rsidRPr="003A0ECA" w:rsidRDefault="003A0ECA" w:rsidP="00EB3ADA">
            <w:pPr>
              <w:tabs>
                <w:tab w:val="clear" w:pos="567"/>
                <w:tab w:val="clear" w:pos="1134"/>
                <w:tab w:val="clear" w:pos="1701"/>
                <w:tab w:val="clear" w:pos="2268"/>
                <w:tab w:val="clear" w:pos="2835"/>
                <w:tab w:val="left" w:pos="794"/>
              </w:tabs>
              <w:overflowPunct/>
              <w:autoSpaceDE/>
              <w:autoSpaceDN/>
              <w:adjustRightInd/>
              <w:spacing w:before="0" w:line="260" w:lineRule="exact"/>
              <w:textAlignment w:val="auto"/>
              <w:rPr>
                <w:b/>
                <w:bCs/>
                <w:rtl/>
                <w:lang w:val="en-US" w:eastAsia="zh-CN"/>
              </w:rPr>
            </w:pPr>
          </w:p>
        </w:tc>
        <w:tc>
          <w:tcPr>
            <w:tcW w:w="3052" w:type="dxa"/>
            <w:tcBorders>
              <w:top w:val="single" w:sz="12" w:space="0" w:color="71716F"/>
            </w:tcBorders>
          </w:tcPr>
          <w:p w14:paraId="4F5560C6" w14:textId="77777777" w:rsidR="003A0ECA" w:rsidRPr="003A0ECA" w:rsidRDefault="003A0ECA" w:rsidP="00EB3ADA">
            <w:pPr>
              <w:tabs>
                <w:tab w:val="clear" w:pos="567"/>
                <w:tab w:val="clear" w:pos="1134"/>
                <w:tab w:val="clear" w:pos="1701"/>
                <w:tab w:val="clear" w:pos="2268"/>
                <w:tab w:val="clear" w:pos="2835"/>
                <w:tab w:val="left" w:pos="794"/>
              </w:tabs>
              <w:overflowPunct/>
              <w:autoSpaceDE/>
              <w:autoSpaceDN/>
              <w:adjustRightInd/>
              <w:spacing w:before="0" w:line="260" w:lineRule="exact"/>
              <w:textAlignment w:val="auto"/>
              <w:rPr>
                <w:b/>
                <w:bCs/>
                <w:lang w:val="en-US" w:eastAsia="zh-CN" w:bidi="ar-SY"/>
              </w:rPr>
            </w:pPr>
          </w:p>
        </w:tc>
      </w:tr>
      <w:tr w:rsidR="00F27DBC" w:rsidRPr="003A0ECA" w14:paraId="0DC3758F" w14:textId="77777777" w:rsidTr="00EB3ADA">
        <w:trPr>
          <w:cantSplit/>
        </w:trPr>
        <w:tc>
          <w:tcPr>
            <w:tcW w:w="6620" w:type="dxa"/>
          </w:tcPr>
          <w:p w14:paraId="3D511092" w14:textId="77777777" w:rsidR="00F27DBC" w:rsidRPr="00F27DBC" w:rsidRDefault="00F27DBC" w:rsidP="00F27DBC">
            <w:pPr>
              <w:pStyle w:val="Committee"/>
              <w:rPr>
                <w:rtl/>
                <w:lang w:eastAsia="zh-CN"/>
              </w:rPr>
            </w:pPr>
          </w:p>
        </w:tc>
        <w:tc>
          <w:tcPr>
            <w:tcW w:w="3052" w:type="dxa"/>
            <w:vAlign w:val="center"/>
          </w:tcPr>
          <w:p w14:paraId="69F5978A" w14:textId="3590E576" w:rsidR="00F27DBC" w:rsidRPr="003A0ECA" w:rsidRDefault="00F27DBC" w:rsidP="003A0ECA">
            <w:pPr>
              <w:tabs>
                <w:tab w:val="clear" w:pos="567"/>
                <w:tab w:val="clear" w:pos="1134"/>
                <w:tab w:val="clear" w:pos="1701"/>
                <w:tab w:val="clear" w:pos="2268"/>
                <w:tab w:val="clear" w:pos="2835"/>
              </w:tabs>
              <w:overflowPunct/>
              <w:autoSpaceDE/>
              <w:autoSpaceDN/>
              <w:adjustRightInd/>
              <w:spacing w:before="20" w:after="20" w:line="300" w:lineRule="exact"/>
              <w:jc w:val="left"/>
              <w:textAlignment w:val="auto"/>
              <w:rPr>
                <w:b/>
                <w:bCs/>
                <w:lang w:val="en-US" w:eastAsia="zh-CN" w:bidi="ar-SY"/>
              </w:rPr>
            </w:pPr>
          </w:p>
        </w:tc>
      </w:tr>
      <w:tr w:rsidR="00F27DBC" w:rsidRPr="003A0ECA" w14:paraId="317964C0" w14:textId="77777777" w:rsidTr="00EB3ADA">
        <w:trPr>
          <w:cantSplit/>
        </w:trPr>
        <w:tc>
          <w:tcPr>
            <w:tcW w:w="6620" w:type="dxa"/>
          </w:tcPr>
          <w:p w14:paraId="1E819C0F" w14:textId="77777777" w:rsidR="00F27DBC" w:rsidRPr="003A0ECA" w:rsidRDefault="00F27DBC"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bidi="ar-SY"/>
              </w:rPr>
            </w:pPr>
          </w:p>
        </w:tc>
        <w:tc>
          <w:tcPr>
            <w:tcW w:w="3052" w:type="dxa"/>
            <w:vAlign w:val="center"/>
          </w:tcPr>
          <w:p w14:paraId="6D4CAC42" w14:textId="40224EBB" w:rsidR="00F27DBC" w:rsidRPr="003A0ECA" w:rsidRDefault="00970392"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rtl/>
                <w:lang w:val="en-US" w:eastAsia="zh-CN"/>
              </w:rPr>
            </w:pPr>
            <w:r>
              <w:rPr>
                <w:rFonts w:hint="cs"/>
                <w:b/>
                <w:bCs/>
                <w:rtl/>
              </w:rPr>
              <w:t xml:space="preserve">29 أبريل </w:t>
            </w:r>
            <w:r w:rsidR="00515E95" w:rsidRPr="00F37276">
              <w:rPr>
                <w:b/>
                <w:bCs/>
              </w:rPr>
              <w:t>20</w:t>
            </w:r>
            <w:r w:rsidR="00515E95">
              <w:rPr>
                <w:b/>
                <w:bCs/>
              </w:rPr>
              <w:t>2</w:t>
            </w:r>
            <w:r w:rsidR="003433B7">
              <w:rPr>
                <w:b/>
                <w:bCs/>
              </w:rPr>
              <w:t>6</w:t>
            </w:r>
          </w:p>
        </w:tc>
      </w:tr>
      <w:tr w:rsidR="00F27DBC" w:rsidRPr="003A0ECA" w14:paraId="57C928DE" w14:textId="77777777" w:rsidTr="00EB3ADA">
        <w:trPr>
          <w:cantSplit/>
        </w:trPr>
        <w:tc>
          <w:tcPr>
            <w:tcW w:w="6620" w:type="dxa"/>
          </w:tcPr>
          <w:p w14:paraId="191AEE7F" w14:textId="77777777" w:rsidR="00F27DBC" w:rsidRPr="003A0ECA" w:rsidRDefault="00F27DBC"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rPr>
            </w:pPr>
          </w:p>
        </w:tc>
        <w:tc>
          <w:tcPr>
            <w:tcW w:w="3052" w:type="dxa"/>
            <w:vAlign w:val="center"/>
          </w:tcPr>
          <w:p w14:paraId="393C4252" w14:textId="77777777" w:rsidR="00F27DBC" w:rsidRPr="003A0ECA" w:rsidRDefault="00515E95"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bidi="ar-SY"/>
              </w:rPr>
            </w:pPr>
            <w:r w:rsidRPr="00F37276">
              <w:rPr>
                <w:b/>
                <w:bCs/>
                <w:rtl/>
                <w:lang w:eastAsia="zh-CN"/>
              </w:rPr>
              <w:t>الأصل: بالإنكليزية</w:t>
            </w:r>
          </w:p>
        </w:tc>
      </w:tr>
      <w:tr w:rsidR="003A0ECA" w:rsidRPr="003A0ECA" w14:paraId="12AA962A" w14:textId="77777777" w:rsidTr="00EB3ADA">
        <w:trPr>
          <w:cantSplit/>
        </w:trPr>
        <w:tc>
          <w:tcPr>
            <w:tcW w:w="6620" w:type="dxa"/>
          </w:tcPr>
          <w:p w14:paraId="5B31A7C3" w14:textId="77777777" w:rsidR="003A0ECA" w:rsidRPr="003A0ECA" w:rsidRDefault="003A0ECA"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rPr>
            </w:pPr>
          </w:p>
        </w:tc>
        <w:tc>
          <w:tcPr>
            <w:tcW w:w="3052" w:type="dxa"/>
            <w:vAlign w:val="center"/>
          </w:tcPr>
          <w:p w14:paraId="1AFDB8E3" w14:textId="77777777" w:rsidR="003A0ECA" w:rsidRPr="003A0ECA" w:rsidRDefault="003A0ECA"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bidi="ar-SY"/>
              </w:rPr>
            </w:pPr>
          </w:p>
        </w:tc>
      </w:tr>
      <w:tr w:rsidR="003A0ECA" w:rsidRPr="003A0ECA" w14:paraId="32439D14" w14:textId="77777777" w:rsidTr="00EB3ADA">
        <w:trPr>
          <w:cantSplit/>
        </w:trPr>
        <w:tc>
          <w:tcPr>
            <w:tcW w:w="9672" w:type="dxa"/>
            <w:gridSpan w:val="2"/>
          </w:tcPr>
          <w:p w14:paraId="75575422" w14:textId="51866F31" w:rsidR="003A0ECA" w:rsidRPr="003A0ECA" w:rsidRDefault="00970392" w:rsidP="00970392">
            <w:pPr>
              <w:pStyle w:val="OpNo"/>
              <w:framePr w:hSpace="0" w:wrap="auto" w:yAlign="inline"/>
            </w:pPr>
            <w:r w:rsidRPr="00970392">
              <w:rPr>
                <w:rtl/>
                <w:lang w:bidi="ar-EG"/>
              </w:rPr>
              <w:t xml:space="preserve">مشروع الرأي </w:t>
            </w:r>
            <w:r w:rsidR="00384745">
              <w:rPr>
                <w:lang w:val="en-GB"/>
              </w:rPr>
              <w:t>3</w:t>
            </w:r>
          </w:p>
        </w:tc>
      </w:tr>
      <w:tr w:rsidR="003A0ECA" w:rsidRPr="003A0ECA" w14:paraId="4F63F357" w14:textId="77777777" w:rsidTr="00EB3ADA">
        <w:trPr>
          <w:cantSplit/>
        </w:trPr>
        <w:tc>
          <w:tcPr>
            <w:tcW w:w="9672" w:type="dxa"/>
            <w:gridSpan w:val="2"/>
          </w:tcPr>
          <w:p w14:paraId="66EDE480" w14:textId="4EA4DA7F" w:rsidR="003A0ECA" w:rsidRPr="00190E86" w:rsidRDefault="009866F0" w:rsidP="00190E86">
            <w:pPr>
              <w:pStyle w:val="OPtitle"/>
              <w:rPr>
                <w:lang w:eastAsia="zh-CN" w:bidi="en-GB"/>
              </w:rPr>
            </w:pPr>
            <w:r w:rsidRPr="004D017B">
              <w:rPr>
                <w:rtl/>
              </w:rPr>
              <w:t>قدرة الاتصالات/تكنولوجيا المعلومات والاتصالات على الصمود</w:t>
            </w:r>
          </w:p>
        </w:tc>
      </w:tr>
    </w:tbl>
    <w:p w14:paraId="352E8278" w14:textId="77777777" w:rsidR="00D87904" w:rsidRPr="004D017B" w:rsidRDefault="00D87904" w:rsidP="00D87904">
      <w:pPr>
        <w:pStyle w:val="Normalaftertitle"/>
        <w:rPr>
          <w:rtl/>
          <w:lang w:bidi="en-GB"/>
        </w:rPr>
      </w:pPr>
      <w:r w:rsidRPr="004D017B">
        <w:rPr>
          <w:rtl/>
          <w:lang w:bidi="ar-SA"/>
        </w:rPr>
        <w:t>إن المنتدى العالمي السابع لسياسات الاتصالات/تكنولوجيا المعلومات والاتصالات (ناس</w:t>
      </w:r>
      <w:r>
        <w:rPr>
          <w:rFonts w:hint="cs"/>
          <w:rtl/>
          <w:lang w:bidi="ar-SA"/>
        </w:rPr>
        <w:t>ا</w:t>
      </w:r>
      <w:r w:rsidRPr="004D017B">
        <w:rPr>
          <w:rtl/>
          <w:lang w:bidi="ar-SA"/>
        </w:rPr>
        <w:t xml:space="preserve">و، </w:t>
      </w:r>
      <w:r w:rsidRPr="004D017B">
        <w:rPr>
          <w:lang w:bidi="ar-SA"/>
        </w:rPr>
        <w:t>2026</w:t>
      </w:r>
      <w:r w:rsidRPr="004D017B">
        <w:rPr>
          <w:rtl/>
          <w:lang w:bidi="ar-SA"/>
        </w:rPr>
        <w:t>)،</w:t>
      </w:r>
    </w:p>
    <w:p w14:paraId="544FFC66" w14:textId="1705C29B" w:rsidR="00D87904" w:rsidRPr="004D017B" w:rsidRDefault="00D87904" w:rsidP="00E542ED">
      <w:pPr>
        <w:pStyle w:val="Call"/>
        <w:rPr>
          <w:rtl/>
        </w:rPr>
      </w:pPr>
      <w:r w:rsidRPr="004D017B">
        <w:rPr>
          <w:rtl/>
          <w:lang w:bidi="ar-SA"/>
        </w:rPr>
        <w:t xml:space="preserve">إذ </w:t>
      </w:r>
      <w:r w:rsidR="000F3CB2">
        <w:rPr>
          <w:rFonts w:hint="cs"/>
          <w:rtl/>
        </w:rPr>
        <w:t>يذك</w:t>
      </w:r>
      <w:r w:rsidR="00167A82">
        <w:rPr>
          <w:rFonts w:hint="cs"/>
          <w:rtl/>
        </w:rPr>
        <w:t>ِّ</w:t>
      </w:r>
      <w:r w:rsidR="000F3CB2">
        <w:rPr>
          <w:rFonts w:hint="cs"/>
          <w:rtl/>
        </w:rPr>
        <w:t>ر</w:t>
      </w:r>
    </w:p>
    <w:p w14:paraId="1B92C7D9" w14:textId="53078109" w:rsidR="00D87904" w:rsidRDefault="00D87904" w:rsidP="00D87904">
      <w:pPr>
        <w:rPr>
          <w:rtl/>
          <w:lang w:bidi="ar-SA"/>
        </w:rPr>
      </w:pPr>
      <w:r>
        <w:rPr>
          <w:rFonts w:hint="cs"/>
          <w:i/>
          <w:iCs/>
          <w:rtl/>
          <w:lang w:bidi="ar-SA"/>
        </w:rPr>
        <w:t> </w:t>
      </w:r>
      <w:r w:rsidRPr="004D017B">
        <w:rPr>
          <w:i/>
          <w:iCs/>
          <w:rtl/>
          <w:lang w:bidi="ar-SA"/>
        </w:rPr>
        <w:t>أ</w:t>
      </w:r>
      <w:r>
        <w:rPr>
          <w:rFonts w:hint="cs"/>
          <w:i/>
          <w:iCs/>
          <w:rtl/>
          <w:lang w:bidi="ar-SA"/>
        </w:rPr>
        <w:t> </w:t>
      </w:r>
      <w:r w:rsidRPr="004D017B">
        <w:rPr>
          <w:i/>
          <w:iCs/>
          <w:rtl/>
          <w:lang w:bidi="ar-SA"/>
        </w:rPr>
        <w:t>)</w:t>
      </w:r>
      <w:r w:rsidRPr="004D017B">
        <w:rPr>
          <w:rtl/>
          <w:lang w:bidi="ar-SA"/>
        </w:rPr>
        <w:tab/>
      </w:r>
      <w:r w:rsidR="00167A82">
        <w:rPr>
          <w:rFonts w:hint="cs"/>
          <w:rtl/>
          <w:lang w:bidi="ar-SA"/>
        </w:rPr>
        <w:t>ب</w:t>
      </w:r>
      <w:r w:rsidRPr="004D017B">
        <w:rPr>
          <w:rtl/>
          <w:lang w:bidi="ar-SA"/>
        </w:rPr>
        <w:t xml:space="preserve">القرار </w:t>
      </w:r>
      <w:r>
        <w:rPr>
          <w:lang w:val="en-US" w:bidi="ar-SA"/>
        </w:rPr>
        <w:t>79/1</w:t>
      </w:r>
      <w:r w:rsidRPr="004D017B">
        <w:rPr>
          <w:rtl/>
          <w:lang w:bidi="ar-SA"/>
        </w:rPr>
        <w:t xml:space="preserve"> للجمعية العامة للأمم المتحدة </w:t>
      </w:r>
      <w:r w:rsidRPr="005144AB">
        <w:rPr>
          <w:lang w:val="en-US" w:bidi="ar-SA"/>
        </w:rPr>
        <w:t>(UNGA)</w:t>
      </w:r>
      <w:r w:rsidRPr="004D017B">
        <w:rPr>
          <w:rtl/>
          <w:lang w:bidi="ar-SA"/>
        </w:rPr>
        <w:t>، بشأن ميثاق المستقبل؛</w:t>
      </w:r>
    </w:p>
    <w:p w14:paraId="69098DCC" w14:textId="61EE101B" w:rsidR="00D87904" w:rsidRDefault="00D87904" w:rsidP="00D87904">
      <w:pPr>
        <w:rPr>
          <w:rtl/>
          <w:lang w:bidi="ar-SA"/>
        </w:rPr>
      </w:pPr>
      <w:r w:rsidRPr="00202188">
        <w:rPr>
          <w:i/>
          <w:iCs/>
          <w:rtl/>
          <w:lang w:bidi="ar-SA"/>
        </w:rPr>
        <w:t>ب)</w:t>
      </w:r>
      <w:r w:rsidRPr="00202188">
        <w:rPr>
          <w:rtl/>
          <w:lang w:bidi="ar-SA"/>
        </w:rPr>
        <w:tab/>
      </w:r>
      <w:r w:rsidR="00167A82">
        <w:rPr>
          <w:rFonts w:hint="cs"/>
          <w:rtl/>
          <w:lang w:bidi="ar-SA"/>
        </w:rPr>
        <w:t>ب</w:t>
      </w:r>
      <w:r w:rsidRPr="00202188">
        <w:rPr>
          <w:rtl/>
          <w:lang w:bidi="ar-SA"/>
        </w:rPr>
        <w:t xml:space="preserve">القرار </w:t>
      </w:r>
      <w:r w:rsidRPr="00202188">
        <w:rPr>
          <w:lang w:bidi="ar-SA"/>
        </w:rPr>
        <w:t>70/1</w:t>
      </w:r>
      <w:r w:rsidRPr="00202188">
        <w:rPr>
          <w:rtl/>
          <w:lang w:bidi="ar-SA"/>
        </w:rPr>
        <w:t xml:space="preserve"> للجمعية العامة للأمم المتحدة، بشأن تحويل عالمنا: خطة التنمية المستدامة لعام </w:t>
      </w:r>
      <w:r w:rsidRPr="00202188">
        <w:rPr>
          <w:lang w:bidi="ar-SA"/>
        </w:rPr>
        <w:t>2030</w:t>
      </w:r>
      <w:r w:rsidRPr="00202188">
        <w:rPr>
          <w:rtl/>
          <w:lang w:bidi="ar-SA"/>
        </w:rPr>
        <w:t>، ولا</w:t>
      </w:r>
      <w:r w:rsidRPr="00202188">
        <w:rPr>
          <w:rFonts w:hint="cs"/>
          <w:rtl/>
          <w:lang w:bidi="ar-SA"/>
        </w:rPr>
        <w:t> </w:t>
      </w:r>
      <w:r w:rsidRPr="00202188">
        <w:rPr>
          <w:rtl/>
          <w:lang w:bidi="ar-SA"/>
        </w:rPr>
        <w:t>سيما الهدف</w:t>
      </w:r>
      <w:r w:rsidRPr="00202188">
        <w:rPr>
          <w:rFonts w:hint="cs"/>
          <w:rtl/>
          <w:lang w:bidi="ar-SA"/>
        </w:rPr>
        <w:t> </w:t>
      </w:r>
      <w:r w:rsidRPr="00202188">
        <w:rPr>
          <w:lang w:bidi="ar-SA"/>
        </w:rPr>
        <w:t>12</w:t>
      </w:r>
      <w:r w:rsidRPr="00202188">
        <w:rPr>
          <w:rtl/>
          <w:lang w:bidi="ar-SA"/>
        </w:rPr>
        <w:t xml:space="preserve"> (</w:t>
      </w:r>
      <w:r w:rsidRPr="00202188">
        <w:rPr>
          <w:rtl/>
        </w:rPr>
        <w:t>ضمان وجود أنماط استهلاك وإنتاج مستدامة</w:t>
      </w:r>
      <w:r w:rsidRPr="00202188">
        <w:rPr>
          <w:rtl/>
          <w:lang w:bidi="ar-SA"/>
        </w:rPr>
        <w:t xml:space="preserve">)، والهدف </w:t>
      </w:r>
      <w:r w:rsidRPr="00202188">
        <w:rPr>
          <w:lang w:bidi="ar-SA"/>
        </w:rPr>
        <w:t>13</w:t>
      </w:r>
      <w:r w:rsidRPr="00202188">
        <w:rPr>
          <w:rtl/>
          <w:lang w:bidi="ar-SA"/>
        </w:rPr>
        <w:t xml:space="preserve"> (</w:t>
      </w:r>
      <w:r w:rsidRPr="00202188">
        <w:rPr>
          <w:rtl/>
        </w:rPr>
        <w:t>اتخاذ إجراءات عاجلة للتصدي لتغير المناخ وآثاره</w:t>
      </w:r>
      <w:r w:rsidRPr="00202188">
        <w:rPr>
          <w:rtl/>
          <w:lang w:bidi="ar-SA"/>
        </w:rPr>
        <w:t>)؛</w:t>
      </w:r>
    </w:p>
    <w:p w14:paraId="2E91AD44" w14:textId="04ECD3D9" w:rsidR="00D87904" w:rsidRPr="004D017B" w:rsidRDefault="00D87904" w:rsidP="00D87904">
      <w:pPr>
        <w:rPr>
          <w:rtl/>
          <w:lang w:bidi="en-GB"/>
        </w:rPr>
      </w:pPr>
      <w:r w:rsidRPr="004D017B">
        <w:rPr>
          <w:i/>
          <w:iCs/>
          <w:rtl/>
          <w:lang w:bidi="ar-SA"/>
        </w:rPr>
        <w:t>ج)</w:t>
      </w:r>
      <w:r w:rsidRPr="004D017B">
        <w:rPr>
          <w:rtl/>
          <w:lang w:bidi="ar-SA"/>
        </w:rPr>
        <w:tab/>
      </w:r>
      <w:r w:rsidR="00167A82">
        <w:rPr>
          <w:rFonts w:hint="cs"/>
          <w:rtl/>
          <w:lang w:bidi="ar-SA"/>
        </w:rPr>
        <w:t>ب</w:t>
      </w:r>
      <w:r w:rsidRPr="004D017B">
        <w:rPr>
          <w:rtl/>
          <w:lang w:bidi="ar-SA"/>
        </w:rPr>
        <w:t xml:space="preserve">القرار </w:t>
      </w:r>
      <w:r>
        <w:rPr>
          <w:lang w:bidi="ar-SA"/>
        </w:rPr>
        <w:t>80/173</w:t>
      </w:r>
      <w:r w:rsidRPr="004D017B">
        <w:rPr>
          <w:rtl/>
          <w:lang w:bidi="ar-SA"/>
        </w:rPr>
        <w:t xml:space="preserve"> للجمعية العامة للأمم المتحدة، بشأن الوثيقة الختامية للاجتماع الرفيع المستوى </w:t>
      </w:r>
      <w:r>
        <w:rPr>
          <w:rFonts w:hint="cs"/>
          <w:rtl/>
          <w:lang w:bidi="ar-SA"/>
        </w:rPr>
        <w:t>بشأن</w:t>
      </w:r>
      <w:r w:rsidRPr="004D017B">
        <w:rPr>
          <w:rtl/>
          <w:lang w:bidi="ar-SA"/>
        </w:rPr>
        <w:t xml:space="preserve"> الاستعراض العام لتنفيذ </w:t>
      </w:r>
      <w:r>
        <w:rPr>
          <w:rtl/>
          <w:lang w:bidi="ar-SA"/>
        </w:rPr>
        <w:t>نواتج القمة العالمية لمجتمع المعلومات</w:t>
      </w:r>
      <w:r w:rsidRPr="004D017B">
        <w:rPr>
          <w:rtl/>
          <w:lang w:bidi="ar-SA"/>
        </w:rPr>
        <w:t xml:space="preserve"> </w:t>
      </w:r>
      <w:r w:rsidRPr="003C7412">
        <w:rPr>
          <w:lang w:val="en-US" w:bidi="ar-SA"/>
        </w:rPr>
        <w:t>(WSIS+20)</w:t>
      </w:r>
      <w:r w:rsidRPr="004D017B">
        <w:rPr>
          <w:rtl/>
          <w:lang w:bidi="ar-SA"/>
        </w:rPr>
        <w:t>؛</w:t>
      </w:r>
    </w:p>
    <w:p w14:paraId="25B0E199" w14:textId="0C87DEDD" w:rsidR="00D87904" w:rsidRDefault="00D87904" w:rsidP="00D87904">
      <w:pPr>
        <w:rPr>
          <w:rtl/>
          <w:lang w:bidi="ar-SA"/>
        </w:rPr>
      </w:pPr>
      <w:r w:rsidRPr="004D017B">
        <w:rPr>
          <w:i/>
          <w:iCs/>
          <w:rtl/>
          <w:lang w:bidi="ar-SA"/>
        </w:rPr>
        <w:t>د</w:t>
      </w:r>
      <w:r>
        <w:rPr>
          <w:rFonts w:hint="cs"/>
          <w:i/>
          <w:iCs/>
          <w:rtl/>
          <w:lang w:bidi="ar-SA"/>
        </w:rPr>
        <w:t> </w:t>
      </w:r>
      <w:r w:rsidRPr="004D017B">
        <w:rPr>
          <w:i/>
          <w:iCs/>
          <w:rtl/>
          <w:lang w:bidi="ar-SA"/>
        </w:rPr>
        <w:t>)</w:t>
      </w:r>
      <w:r w:rsidRPr="004D017B">
        <w:rPr>
          <w:rtl/>
          <w:lang w:bidi="ar-SA"/>
        </w:rPr>
        <w:tab/>
      </w:r>
      <w:r w:rsidR="00167A82">
        <w:rPr>
          <w:rFonts w:hint="cs"/>
          <w:rtl/>
          <w:lang w:bidi="ar-SA"/>
        </w:rPr>
        <w:t>ب</w:t>
      </w:r>
      <w:r w:rsidRPr="004D017B">
        <w:rPr>
          <w:rtl/>
          <w:lang w:bidi="ar-SA"/>
        </w:rPr>
        <w:t xml:space="preserve">القرار </w:t>
      </w:r>
      <w:r w:rsidRPr="004D017B">
        <w:rPr>
          <w:lang w:bidi="ar-SA"/>
        </w:rPr>
        <w:t>130</w:t>
      </w:r>
      <w:r w:rsidRPr="004D017B">
        <w:rPr>
          <w:rtl/>
          <w:lang w:bidi="ar-SA"/>
        </w:rPr>
        <w:t xml:space="preserve"> (</w:t>
      </w:r>
      <w:r>
        <w:rPr>
          <w:rtl/>
          <w:lang w:bidi="ar-SA"/>
        </w:rPr>
        <w:t>المراجَع</w:t>
      </w:r>
      <w:r w:rsidRPr="004D017B">
        <w:rPr>
          <w:rtl/>
          <w:lang w:bidi="ar-SA"/>
        </w:rPr>
        <w:t xml:space="preserve"> في بوخارست، </w:t>
      </w:r>
      <w:r w:rsidRPr="004D017B">
        <w:rPr>
          <w:lang w:bidi="ar-SA"/>
        </w:rPr>
        <w:t>2022</w:t>
      </w:r>
      <w:r w:rsidRPr="004D017B">
        <w:rPr>
          <w:rtl/>
          <w:lang w:bidi="ar-SA"/>
        </w:rPr>
        <w:t>) الصادر عن مؤتمر المندوبين المفوضين، بشأن تعزيز دور الاتحاد في مجال بناء الثقة والأمن في استخدام تكنولوجيا المعلومات والاتصالات</w:t>
      </w:r>
      <w:r>
        <w:rPr>
          <w:rFonts w:hint="cs"/>
          <w:rtl/>
          <w:lang w:bidi="ar-SA"/>
        </w:rPr>
        <w:t> </w:t>
      </w:r>
      <w:r>
        <w:rPr>
          <w:lang w:val="en-US" w:bidi="ar-SA"/>
        </w:rPr>
        <w:t>(ICT)</w:t>
      </w:r>
      <w:r w:rsidRPr="004D017B">
        <w:rPr>
          <w:rtl/>
          <w:lang w:bidi="ar-SA"/>
        </w:rPr>
        <w:t>؛</w:t>
      </w:r>
    </w:p>
    <w:p w14:paraId="0DCB6089" w14:textId="537D6C25" w:rsidR="00D87904" w:rsidRDefault="00D87904" w:rsidP="00D87904">
      <w:pPr>
        <w:rPr>
          <w:rtl/>
          <w:lang w:bidi="ar-SA"/>
        </w:rPr>
      </w:pPr>
      <w:r w:rsidRPr="00202188">
        <w:rPr>
          <w:i/>
          <w:iCs/>
          <w:rtl/>
          <w:lang w:bidi="ar-SA"/>
        </w:rPr>
        <w:t>ه‍</w:t>
      </w:r>
      <w:r w:rsidRPr="00202188">
        <w:rPr>
          <w:rFonts w:hint="cs"/>
          <w:i/>
          <w:iCs/>
          <w:rtl/>
          <w:lang w:bidi="ar-SA"/>
        </w:rPr>
        <w:t>ـ </w:t>
      </w:r>
      <w:r w:rsidRPr="00202188">
        <w:rPr>
          <w:i/>
          <w:iCs/>
          <w:rtl/>
          <w:lang w:bidi="ar-SA"/>
        </w:rPr>
        <w:t>)</w:t>
      </w:r>
      <w:r w:rsidRPr="00202188">
        <w:rPr>
          <w:rtl/>
          <w:lang w:bidi="ar-SA"/>
        </w:rPr>
        <w:tab/>
      </w:r>
      <w:r w:rsidR="00167A82">
        <w:rPr>
          <w:rFonts w:hint="cs"/>
          <w:rtl/>
          <w:lang w:bidi="ar-SA"/>
        </w:rPr>
        <w:t>ب</w:t>
      </w:r>
      <w:r w:rsidRPr="00202188">
        <w:rPr>
          <w:rtl/>
          <w:lang w:bidi="ar-SA"/>
        </w:rPr>
        <w:t xml:space="preserve">القرار </w:t>
      </w:r>
      <w:r w:rsidRPr="00202188">
        <w:rPr>
          <w:lang w:bidi="ar-SA"/>
        </w:rPr>
        <w:t>136</w:t>
      </w:r>
      <w:r w:rsidRPr="00202188">
        <w:rPr>
          <w:rtl/>
          <w:lang w:bidi="ar-SA"/>
        </w:rPr>
        <w:t xml:space="preserve"> (المراجَع في بوخارست، </w:t>
      </w:r>
      <w:r w:rsidRPr="00202188">
        <w:rPr>
          <w:lang w:bidi="ar-SA"/>
        </w:rPr>
        <w:t>2022</w:t>
      </w:r>
      <w:r w:rsidRPr="00202188">
        <w:rPr>
          <w:rtl/>
          <w:lang w:bidi="ar-SA"/>
        </w:rPr>
        <w:t xml:space="preserve">) لمؤتمر المندوبين المفوضين، بشأن استخدام الاتصالات/تكنولوجيا المعلومات والاتصالات </w:t>
      </w:r>
      <w:r w:rsidRPr="00202188">
        <w:rPr>
          <w:rFonts w:hint="cs"/>
          <w:rtl/>
        </w:rPr>
        <w:t>في المساعدات الإنسانية و</w:t>
      </w:r>
      <w:r w:rsidRPr="00202188">
        <w:rPr>
          <w:rtl/>
        </w:rPr>
        <w:t>في عمليات الرصد</w:t>
      </w:r>
      <w:r w:rsidRPr="00202188">
        <w:rPr>
          <w:rFonts w:hint="cs"/>
          <w:rtl/>
        </w:rPr>
        <w:t xml:space="preserve"> </w:t>
      </w:r>
      <w:r w:rsidRPr="00202188">
        <w:rPr>
          <w:rtl/>
        </w:rPr>
        <w:t>والإدارة الخاصة بحالات الطوارئ والكوارث</w:t>
      </w:r>
      <w:r w:rsidRPr="00202188">
        <w:rPr>
          <w:rFonts w:hint="cs"/>
          <w:rtl/>
        </w:rPr>
        <w:t>،</w:t>
      </w:r>
      <w:r w:rsidRPr="00202188">
        <w:rPr>
          <w:rtl/>
        </w:rPr>
        <w:t xml:space="preserve"> </w:t>
      </w:r>
      <w:r w:rsidRPr="00202188">
        <w:rPr>
          <w:rFonts w:hint="cs"/>
          <w:rtl/>
        </w:rPr>
        <w:t xml:space="preserve">بما في ذلك الطوارئ المتعلقة بالصحة، </w:t>
      </w:r>
      <w:r w:rsidRPr="00202188">
        <w:rPr>
          <w:rtl/>
        </w:rPr>
        <w:t>من أجل الإنذار المبكر بها والوقاية منها والتخفيف من آثارها والإغاثة</w:t>
      </w:r>
      <w:r w:rsidRPr="00202188">
        <w:rPr>
          <w:rFonts w:hint="cs"/>
          <w:rtl/>
        </w:rPr>
        <w:t xml:space="preserve"> عند وقوعها</w:t>
      </w:r>
      <w:r w:rsidRPr="00202188">
        <w:rPr>
          <w:rtl/>
          <w:lang w:bidi="ar-SA"/>
        </w:rPr>
        <w:t>؛</w:t>
      </w:r>
    </w:p>
    <w:p w14:paraId="4E4312DA" w14:textId="0DAAB990" w:rsidR="00D87904" w:rsidRDefault="00D87904" w:rsidP="00D87904">
      <w:pPr>
        <w:rPr>
          <w:rtl/>
          <w:lang w:bidi="ar-SA"/>
        </w:rPr>
      </w:pPr>
      <w:r w:rsidRPr="004D017B">
        <w:rPr>
          <w:i/>
          <w:iCs/>
          <w:rtl/>
          <w:lang w:bidi="ar-SA"/>
        </w:rPr>
        <w:t>و</w:t>
      </w:r>
      <w:r>
        <w:rPr>
          <w:rFonts w:hint="cs"/>
          <w:i/>
          <w:iCs/>
          <w:rtl/>
          <w:lang w:bidi="ar-SA"/>
        </w:rPr>
        <w:t> </w:t>
      </w:r>
      <w:r w:rsidRPr="004D017B">
        <w:rPr>
          <w:i/>
          <w:iCs/>
          <w:rtl/>
          <w:lang w:bidi="ar-SA"/>
        </w:rPr>
        <w:t>)</w:t>
      </w:r>
      <w:r w:rsidRPr="004D017B">
        <w:rPr>
          <w:rtl/>
          <w:lang w:bidi="ar-SA"/>
        </w:rPr>
        <w:tab/>
      </w:r>
      <w:r w:rsidR="00167A82">
        <w:rPr>
          <w:rFonts w:hint="cs"/>
          <w:rtl/>
          <w:lang w:bidi="ar-SA"/>
        </w:rPr>
        <w:t>ب</w:t>
      </w:r>
      <w:r w:rsidRPr="004D017B">
        <w:rPr>
          <w:rtl/>
          <w:lang w:bidi="ar-SA"/>
        </w:rPr>
        <w:t xml:space="preserve">القرار </w:t>
      </w:r>
      <w:r w:rsidRPr="004D017B">
        <w:rPr>
          <w:lang w:bidi="ar-SA"/>
        </w:rPr>
        <w:t>139</w:t>
      </w:r>
      <w:r w:rsidRPr="004D017B">
        <w:rPr>
          <w:rtl/>
          <w:lang w:bidi="ar-SA"/>
        </w:rPr>
        <w:t xml:space="preserve"> (</w:t>
      </w:r>
      <w:r>
        <w:rPr>
          <w:rtl/>
          <w:lang w:bidi="ar-SA"/>
        </w:rPr>
        <w:t>المراجَع</w:t>
      </w:r>
      <w:r w:rsidRPr="004D017B">
        <w:rPr>
          <w:rtl/>
          <w:lang w:bidi="ar-SA"/>
        </w:rPr>
        <w:t xml:space="preserve"> في بوخارست، </w:t>
      </w:r>
      <w:r w:rsidRPr="004D017B">
        <w:rPr>
          <w:lang w:bidi="ar-SA"/>
        </w:rPr>
        <w:t>2022</w:t>
      </w:r>
      <w:r w:rsidRPr="004D017B">
        <w:rPr>
          <w:rtl/>
          <w:lang w:bidi="ar-SA"/>
        </w:rPr>
        <w:t>) لمؤتمر المندوبين المفوضين، بشأن استخدام الاتصالات/تكنولوجيا المعلومات والاتصالات من أجل سد الفجوة الرقمية وبناء مجتمع معلومات شامل للجميع؛</w:t>
      </w:r>
    </w:p>
    <w:p w14:paraId="7E37200A" w14:textId="699D6EED" w:rsidR="00D87904" w:rsidRDefault="00D87904" w:rsidP="00D87904">
      <w:pPr>
        <w:rPr>
          <w:rtl/>
          <w:lang w:bidi="ar-SA"/>
        </w:rPr>
      </w:pPr>
      <w:r w:rsidRPr="004D017B">
        <w:rPr>
          <w:i/>
          <w:iCs/>
          <w:rtl/>
          <w:lang w:bidi="ar-SA"/>
        </w:rPr>
        <w:t>ز</w:t>
      </w:r>
      <w:r>
        <w:rPr>
          <w:rFonts w:hint="cs"/>
          <w:i/>
          <w:iCs/>
          <w:rtl/>
          <w:lang w:bidi="ar-SA"/>
        </w:rPr>
        <w:t> </w:t>
      </w:r>
      <w:r w:rsidRPr="004D017B">
        <w:rPr>
          <w:i/>
          <w:iCs/>
          <w:rtl/>
          <w:lang w:bidi="ar-SA"/>
        </w:rPr>
        <w:t>)</w:t>
      </w:r>
      <w:r w:rsidRPr="004D017B">
        <w:rPr>
          <w:rtl/>
          <w:lang w:bidi="ar-SA"/>
        </w:rPr>
        <w:tab/>
      </w:r>
      <w:r w:rsidR="00167A82">
        <w:rPr>
          <w:rFonts w:hint="cs"/>
          <w:rtl/>
          <w:lang w:bidi="ar-SA"/>
        </w:rPr>
        <w:t>ب</w:t>
      </w:r>
      <w:r w:rsidRPr="004D017B">
        <w:rPr>
          <w:rtl/>
          <w:lang w:bidi="ar-SA"/>
        </w:rPr>
        <w:t xml:space="preserve">القرار </w:t>
      </w:r>
      <w:r w:rsidRPr="004D017B">
        <w:rPr>
          <w:lang w:bidi="ar-SA"/>
        </w:rPr>
        <w:t>182</w:t>
      </w:r>
      <w:r w:rsidRPr="004D017B">
        <w:rPr>
          <w:rtl/>
          <w:lang w:bidi="ar-SA"/>
        </w:rPr>
        <w:t xml:space="preserve"> (</w:t>
      </w:r>
      <w:r>
        <w:rPr>
          <w:rtl/>
          <w:lang w:bidi="ar-SA"/>
        </w:rPr>
        <w:t>المراجَع</w:t>
      </w:r>
      <w:r w:rsidRPr="004D017B">
        <w:rPr>
          <w:rtl/>
          <w:lang w:bidi="ar-SA"/>
        </w:rPr>
        <w:t xml:space="preserve"> في بوخارست، </w:t>
      </w:r>
      <w:r w:rsidRPr="004D017B">
        <w:rPr>
          <w:lang w:bidi="ar-SA"/>
        </w:rPr>
        <w:t>2022</w:t>
      </w:r>
      <w:r w:rsidRPr="004D017B">
        <w:rPr>
          <w:rtl/>
          <w:lang w:bidi="ar-SA"/>
        </w:rPr>
        <w:t>) لمؤتمر المندوبين المفوضين، بشأن دور الاتصالات/تكنولوجيا المعلومات والاتصالات فيما يتعلق بتغير المناخ وحماية البيئة؛</w:t>
      </w:r>
    </w:p>
    <w:p w14:paraId="23D52096" w14:textId="57B55AFB" w:rsidR="00D87904" w:rsidRPr="004D017B" w:rsidRDefault="00D87904" w:rsidP="00D87904">
      <w:pPr>
        <w:rPr>
          <w:rtl/>
          <w:lang w:bidi="en-GB"/>
        </w:rPr>
      </w:pPr>
      <w:r w:rsidRPr="004D017B">
        <w:rPr>
          <w:i/>
          <w:iCs/>
          <w:rtl/>
          <w:lang w:bidi="ar-SA"/>
        </w:rPr>
        <w:t>ح)</w:t>
      </w:r>
      <w:r w:rsidRPr="004D017B">
        <w:rPr>
          <w:rtl/>
          <w:lang w:bidi="ar-SA"/>
        </w:rPr>
        <w:tab/>
      </w:r>
      <w:r w:rsidR="00167A82">
        <w:rPr>
          <w:rFonts w:hint="cs"/>
          <w:rtl/>
          <w:lang w:bidi="ar-SA"/>
        </w:rPr>
        <w:t>ب</w:t>
      </w:r>
      <w:r w:rsidRPr="004D017B">
        <w:rPr>
          <w:rtl/>
          <w:lang w:bidi="ar-SA"/>
        </w:rPr>
        <w:t xml:space="preserve">القرار </w:t>
      </w:r>
      <w:r w:rsidRPr="004D017B">
        <w:rPr>
          <w:lang w:bidi="ar-SA"/>
        </w:rPr>
        <w:t>200</w:t>
      </w:r>
      <w:r w:rsidRPr="004D017B">
        <w:rPr>
          <w:rtl/>
          <w:lang w:bidi="ar-SA"/>
        </w:rPr>
        <w:t xml:space="preserve"> (</w:t>
      </w:r>
      <w:r>
        <w:rPr>
          <w:rtl/>
          <w:lang w:bidi="ar-SA"/>
        </w:rPr>
        <w:t>المراجَع</w:t>
      </w:r>
      <w:r w:rsidRPr="004D017B">
        <w:rPr>
          <w:rtl/>
          <w:lang w:bidi="ar-SA"/>
        </w:rPr>
        <w:t xml:space="preserve"> في بوخارست، </w:t>
      </w:r>
      <w:r w:rsidRPr="004D017B">
        <w:rPr>
          <w:lang w:bidi="ar-SA"/>
        </w:rPr>
        <w:t>2022</w:t>
      </w:r>
      <w:r w:rsidRPr="004D017B">
        <w:rPr>
          <w:rtl/>
          <w:lang w:bidi="ar-SA"/>
        </w:rPr>
        <w:t xml:space="preserve">) لمؤتمر المندوبين المفوضين بشأن برنامج التوصيل في </w:t>
      </w:r>
      <w:r w:rsidRPr="004D017B">
        <w:rPr>
          <w:lang w:bidi="ar-SA"/>
        </w:rPr>
        <w:t>2030</w:t>
      </w:r>
      <w:r w:rsidRPr="004D017B">
        <w:rPr>
          <w:rtl/>
          <w:lang w:bidi="ar-SA"/>
        </w:rPr>
        <w:t xml:space="preserve"> من أجل التنمية العالمية للاتصالات/تكنولوجيا المعلومات والاتصالات، بما في ذلك النطاق العريض، لصالح التنمية المستدامة؛</w:t>
      </w:r>
    </w:p>
    <w:p w14:paraId="424FE532" w14:textId="637023B3" w:rsidR="00D87904" w:rsidRDefault="00D87904" w:rsidP="00D87904">
      <w:pPr>
        <w:rPr>
          <w:rtl/>
          <w:lang w:bidi="ar-SA"/>
        </w:rPr>
      </w:pPr>
      <w:r w:rsidRPr="00202188">
        <w:rPr>
          <w:i/>
          <w:iCs/>
          <w:rtl/>
          <w:lang w:bidi="ar-SA"/>
        </w:rPr>
        <w:t>ط)</w:t>
      </w:r>
      <w:r w:rsidRPr="00202188">
        <w:rPr>
          <w:rtl/>
          <w:lang w:bidi="ar-SA"/>
        </w:rPr>
        <w:tab/>
      </w:r>
      <w:r w:rsidR="00167A82">
        <w:rPr>
          <w:rFonts w:hint="cs"/>
          <w:rtl/>
          <w:lang w:bidi="ar-SA"/>
        </w:rPr>
        <w:t>ب</w:t>
      </w:r>
      <w:r w:rsidRPr="00202188">
        <w:rPr>
          <w:rtl/>
          <w:lang w:bidi="ar-SA"/>
        </w:rPr>
        <w:t xml:space="preserve">القرار </w:t>
      </w:r>
      <w:r w:rsidRPr="00202188">
        <w:rPr>
          <w:lang w:bidi="ar-SA"/>
        </w:rPr>
        <w:t>11</w:t>
      </w:r>
      <w:r w:rsidRPr="00202188">
        <w:rPr>
          <w:rtl/>
          <w:lang w:bidi="ar-SA"/>
        </w:rPr>
        <w:t xml:space="preserve"> (المراجَع في باكو، </w:t>
      </w:r>
      <w:r w:rsidRPr="00202188">
        <w:rPr>
          <w:lang w:bidi="ar-SA"/>
        </w:rPr>
        <w:t>2025</w:t>
      </w:r>
      <w:r w:rsidRPr="00202188">
        <w:rPr>
          <w:rtl/>
          <w:lang w:bidi="ar-SA"/>
        </w:rPr>
        <w:t xml:space="preserve">) للمؤتمر العالمي لتنمية الاتصالات </w:t>
      </w:r>
      <w:r w:rsidRPr="00202188">
        <w:rPr>
          <w:lang w:val="en-US" w:bidi="ar-SA"/>
        </w:rPr>
        <w:t>(WTDC)</w:t>
      </w:r>
      <w:r w:rsidRPr="00202188">
        <w:rPr>
          <w:rtl/>
          <w:lang w:bidi="ar-SA"/>
        </w:rPr>
        <w:t xml:space="preserve">، بشأن خدمات الاتصالات/تكنولوجيا المعلومات والاتصالات في المناطق </w:t>
      </w:r>
      <w:r w:rsidRPr="00202188">
        <w:rPr>
          <w:rFonts w:hint="cs"/>
          <w:rtl/>
          <w:lang w:bidi="ar-SA"/>
        </w:rPr>
        <w:t>الريفية</w:t>
      </w:r>
      <w:r w:rsidRPr="00202188" w:rsidDel="00E245A0">
        <w:rPr>
          <w:rFonts w:hint="cs"/>
          <w:rtl/>
          <w:lang w:bidi="ar-SA"/>
        </w:rPr>
        <w:t xml:space="preserve"> </w:t>
      </w:r>
      <w:r w:rsidRPr="00202188">
        <w:rPr>
          <w:rFonts w:hint="cs"/>
          <w:rtl/>
          <w:lang w:bidi="ar-SA"/>
        </w:rPr>
        <w:t>والمعزولة معدومة الخدمات وشحيحة الخدمات</w:t>
      </w:r>
      <w:r w:rsidRPr="00202188">
        <w:rPr>
          <w:rtl/>
          <w:lang w:bidi="ar-SA"/>
        </w:rPr>
        <w:t>؛</w:t>
      </w:r>
    </w:p>
    <w:p w14:paraId="0E188CAE" w14:textId="60168608" w:rsidR="00D87904" w:rsidRPr="001A5C1E" w:rsidRDefault="00D87904" w:rsidP="00D87904">
      <w:pPr>
        <w:rPr>
          <w:spacing w:val="-2"/>
          <w:rtl/>
          <w:lang w:bidi="en-GB"/>
        </w:rPr>
      </w:pPr>
      <w:r w:rsidRPr="001A5C1E">
        <w:rPr>
          <w:i/>
          <w:iCs/>
          <w:spacing w:val="-2"/>
          <w:rtl/>
          <w:lang w:bidi="ar-SA"/>
        </w:rPr>
        <w:t>ي)</w:t>
      </w:r>
      <w:r w:rsidRPr="001A5C1E">
        <w:rPr>
          <w:spacing w:val="-2"/>
          <w:rtl/>
          <w:lang w:bidi="ar-SA"/>
        </w:rPr>
        <w:tab/>
      </w:r>
      <w:r w:rsidR="00167A82">
        <w:rPr>
          <w:rFonts w:hint="cs"/>
          <w:spacing w:val="-2"/>
          <w:rtl/>
          <w:lang w:bidi="ar-SA"/>
        </w:rPr>
        <w:t>ب</w:t>
      </w:r>
      <w:r w:rsidRPr="001A5C1E">
        <w:rPr>
          <w:spacing w:val="-2"/>
          <w:rtl/>
          <w:lang w:bidi="ar-SA"/>
        </w:rPr>
        <w:t xml:space="preserve">القرار </w:t>
      </w:r>
      <w:r w:rsidRPr="001A5C1E">
        <w:rPr>
          <w:spacing w:val="-2"/>
          <w:lang w:bidi="ar-SA"/>
        </w:rPr>
        <w:t>34</w:t>
      </w:r>
      <w:r w:rsidRPr="001A5C1E">
        <w:rPr>
          <w:spacing w:val="-2"/>
          <w:rtl/>
          <w:lang w:bidi="ar-SA"/>
        </w:rPr>
        <w:t xml:space="preserve"> (المراجَع في باكو، </w:t>
      </w:r>
      <w:r w:rsidRPr="001A5C1E">
        <w:rPr>
          <w:spacing w:val="-2"/>
          <w:lang w:bidi="ar-SA"/>
        </w:rPr>
        <w:t>2025</w:t>
      </w:r>
      <w:r w:rsidRPr="001A5C1E">
        <w:rPr>
          <w:spacing w:val="-2"/>
          <w:rtl/>
          <w:lang w:bidi="ar-SA"/>
        </w:rPr>
        <w:t>) للمؤتمر العالمي لتنمية الاتصالات، بشأن دور الاتصالات/تكنولوجيا المعلومات والاتصالات في التأهب للكوارث والإنذار المبكر بحدوثها وفي عمليات الإنقاذ والإغاثة والتخفيف من آثارها والتصدي لها؛</w:t>
      </w:r>
    </w:p>
    <w:p w14:paraId="5ED996B2" w14:textId="5B20D259" w:rsidR="00D87904" w:rsidRPr="001A5C1E" w:rsidRDefault="00D87904" w:rsidP="00D87904">
      <w:pPr>
        <w:rPr>
          <w:rtl/>
          <w:lang w:bidi="en-GB"/>
        </w:rPr>
      </w:pPr>
      <w:r w:rsidRPr="001A5C1E">
        <w:rPr>
          <w:i/>
          <w:iCs/>
          <w:rtl/>
          <w:lang w:bidi="ar-SA"/>
        </w:rPr>
        <w:t>ك)</w:t>
      </w:r>
      <w:r w:rsidRPr="001A5C1E">
        <w:rPr>
          <w:rtl/>
          <w:lang w:bidi="ar-SA"/>
        </w:rPr>
        <w:tab/>
      </w:r>
      <w:r w:rsidR="00167A82">
        <w:rPr>
          <w:rFonts w:hint="cs"/>
          <w:rtl/>
          <w:lang w:bidi="ar-SA"/>
        </w:rPr>
        <w:t>ب</w:t>
      </w:r>
      <w:r w:rsidRPr="001A5C1E">
        <w:rPr>
          <w:rtl/>
          <w:lang w:bidi="ar-SA"/>
        </w:rPr>
        <w:t xml:space="preserve">القرار </w:t>
      </w:r>
      <w:r w:rsidRPr="001A5C1E">
        <w:rPr>
          <w:lang w:bidi="ar-SA"/>
        </w:rPr>
        <w:t>37</w:t>
      </w:r>
      <w:r w:rsidRPr="001A5C1E">
        <w:rPr>
          <w:rtl/>
          <w:lang w:bidi="ar-SA"/>
        </w:rPr>
        <w:t xml:space="preserve"> (المراجَع في باكو، </w:t>
      </w:r>
      <w:r w:rsidRPr="001A5C1E">
        <w:rPr>
          <w:lang w:bidi="ar-SA"/>
        </w:rPr>
        <w:t>2025</w:t>
      </w:r>
      <w:r w:rsidRPr="001A5C1E">
        <w:rPr>
          <w:rtl/>
          <w:lang w:bidi="ar-SA"/>
        </w:rPr>
        <w:t>) للمؤتمر العالمي لتنمية الاتصالات، بشأن سد الفجوة الرقمية؛</w:t>
      </w:r>
    </w:p>
    <w:p w14:paraId="5C77204D" w14:textId="5583E5A0" w:rsidR="00D87904" w:rsidRPr="001A5C1E" w:rsidRDefault="00D87904" w:rsidP="00D87904">
      <w:pPr>
        <w:rPr>
          <w:rtl/>
          <w:lang w:bidi="en-GB"/>
        </w:rPr>
      </w:pPr>
      <w:r w:rsidRPr="00202188">
        <w:rPr>
          <w:i/>
          <w:iCs/>
          <w:rtl/>
          <w:lang w:bidi="ar-SA"/>
        </w:rPr>
        <w:t>ل)</w:t>
      </w:r>
      <w:r w:rsidRPr="00202188">
        <w:rPr>
          <w:rtl/>
          <w:lang w:bidi="ar-SA"/>
        </w:rPr>
        <w:tab/>
      </w:r>
      <w:r w:rsidR="00167A82">
        <w:rPr>
          <w:rFonts w:hint="cs"/>
          <w:rtl/>
          <w:lang w:bidi="ar-SA"/>
        </w:rPr>
        <w:t>ب</w:t>
      </w:r>
      <w:r w:rsidRPr="00202188">
        <w:rPr>
          <w:rtl/>
          <w:lang w:bidi="ar-SA"/>
        </w:rPr>
        <w:t xml:space="preserve">القرار </w:t>
      </w:r>
      <w:r w:rsidRPr="00202188">
        <w:rPr>
          <w:lang w:bidi="ar-SA"/>
        </w:rPr>
        <w:t>45</w:t>
      </w:r>
      <w:r w:rsidRPr="00202188">
        <w:rPr>
          <w:rtl/>
          <w:lang w:bidi="ar-SA"/>
        </w:rPr>
        <w:t xml:space="preserve"> (المراجَع في باكو، </w:t>
      </w:r>
      <w:r w:rsidRPr="00202188">
        <w:rPr>
          <w:lang w:bidi="ar-SA"/>
        </w:rPr>
        <w:t>2025</w:t>
      </w:r>
      <w:r w:rsidRPr="00202188">
        <w:rPr>
          <w:rtl/>
          <w:lang w:bidi="ar-SA"/>
        </w:rPr>
        <w:t>) للمؤتمر العالمي لتنمية الاتصالات، بشأن آليات تعزيز التعاون في مجال الأمن السيبراني</w:t>
      </w:r>
      <w:r w:rsidRPr="00202188">
        <w:rPr>
          <w:rFonts w:hint="cs"/>
          <w:rtl/>
          <w:lang w:bidi="ar-SA"/>
        </w:rPr>
        <w:t xml:space="preserve">، </w:t>
      </w:r>
      <w:r w:rsidRPr="00202188">
        <w:rPr>
          <w:rFonts w:hint="cs"/>
          <w:rtl/>
        </w:rPr>
        <w:t>بما في ذلك مكافحة الرسائل الاقتحامية والتصدي لها</w:t>
      </w:r>
      <w:r w:rsidRPr="00202188">
        <w:rPr>
          <w:rtl/>
          <w:lang w:bidi="ar-SA"/>
        </w:rPr>
        <w:t>،</w:t>
      </w:r>
    </w:p>
    <w:p w14:paraId="611F0A8E" w14:textId="77777777" w:rsidR="00D87904" w:rsidRPr="004D017B" w:rsidRDefault="00D87904" w:rsidP="00E542ED">
      <w:pPr>
        <w:pStyle w:val="Call"/>
        <w:rPr>
          <w:rtl/>
          <w:lang w:bidi="en-GB"/>
        </w:rPr>
      </w:pPr>
      <w:r w:rsidRPr="004D017B">
        <w:rPr>
          <w:rtl/>
          <w:lang w:bidi="ar-SA"/>
        </w:rPr>
        <w:lastRenderedPageBreak/>
        <w:t>وإذ يلاحظ</w:t>
      </w:r>
    </w:p>
    <w:p w14:paraId="7EE4C897" w14:textId="77777777" w:rsidR="00D87904" w:rsidRPr="004E53B3" w:rsidRDefault="00D87904" w:rsidP="00D87904">
      <w:pPr>
        <w:rPr>
          <w:bCs/>
          <w:spacing w:val="-2"/>
          <w:rtl/>
          <w:lang w:bidi="en-GB"/>
        </w:rPr>
      </w:pPr>
      <w:r w:rsidRPr="004E53B3">
        <w:rPr>
          <w:spacing w:val="-2"/>
          <w:rtl/>
          <w:lang w:bidi="ar-SA"/>
        </w:rPr>
        <w:t>أن الاتصالات/تكنولوجيا المعلومات والاتصالات قادرة على التنبؤ بطائفة متنوعة من حالات الطوارئ والاستجابة لها والصمود أمامها، بما في ذلك، على سبيل المثال لا الحصر، حالات الطوارئ المتصلة بالمناخ، والحوادث السيبرانية، والأخطار أو الكوارث الطبيعية،</w:t>
      </w:r>
    </w:p>
    <w:p w14:paraId="29F05559" w14:textId="77777777" w:rsidR="00D87904" w:rsidRPr="004D017B" w:rsidRDefault="00D87904" w:rsidP="00E542ED">
      <w:pPr>
        <w:pStyle w:val="Call"/>
        <w:rPr>
          <w:rtl/>
          <w:lang w:bidi="en-GB"/>
        </w:rPr>
      </w:pPr>
      <w:r w:rsidRPr="004D017B">
        <w:rPr>
          <w:rtl/>
          <w:lang w:bidi="ar-SA"/>
        </w:rPr>
        <w:t>وإذ يأخذ في الاعتبار</w:t>
      </w:r>
    </w:p>
    <w:p w14:paraId="040700FE" w14:textId="77777777" w:rsidR="00D87904" w:rsidRDefault="00D87904" w:rsidP="00D87904">
      <w:pPr>
        <w:rPr>
          <w:rtl/>
          <w:lang w:bidi="ar-SA"/>
        </w:rPr>
      </w:pPr>
      <w:r>
        <w:rPr>
          <w:rFonts w:hint="cs"/>
          <w:i/>
          <w:iCs/>
          <w:rtl/>
          <w:lang w:bidi="ar-SA"/>
        </w:rPr>
        <w:t> </w:t>
      </w:r>
      <w:r w:rsidRPr="004D017B">
        <w:rPr>
          <w:i/>
          <w:iCs/>
          <w:rtl/>
          <w:lang w:bidi="ar-SA"/>
        </w:rPr>
        <w:t>أ</w:t>
      </w:r>
      <w:r>
        <w:rPr>
          <w:rFonts w:hint="cs"/>
          <w:i/>
          <w:iCs/>
          <w:rtl/>
          <w:lang w:bidi="ar-SA"/>
        </w:rPr>
        <w:t> </w:t>
      </w:r>
      <w:r w:rsidRPr="004D017B">
        <w:rPr>
          <w:i/>
          <w:iCs/>
          <w:rtl/>
          <w:lang w:bidi="ar-SA"/>
        </w:rPr>
        <w:t>)</w:t>
      </w:r>
      <w:r w:rsidRPr="004D017B">
        <w:rPr>
          <w:rtl/>
          <w:lang w:bidi="ar-SA"/>
        </w:rPr>
        <w:tab/>
        <w:t>أن بناء اتصالات/تكنولوجيا معلومات واتصالات قادرة على الصمود أمام الكوارث أو الأخطار الطبيعية ومختلف التهديدات السيبرانية وحالات الانقطاع التقني غير الناجمة عن أعمال ضارة أمر حيوي في وقت يعتمد فيه الوصول إلى الخدمات والمعلومات الأساسية وتقديمها على الإنترنت؛</w:t>
      </w:r>
    </w:p>
    <w:p w14:paraId="1BBDB298" w14:textId="77777777" w:rsidR="00D87904" w:rsidRDefault="00D87904" w:rsidP="00D87904">
      <w:pPr>
        <w:rPr>
          <w:rtl/>
          <w:lang w:bidi="ar-SA"/>
        </w:rPr>
      </w:pPr>
      <w:r w:rsidRPr="004D017B">
        <w:rPr>
          <w:i/>
          <w:iCs/>
          <w:rtl/>
          <w:lang w:bidi="ar-SA"/>
        </w:rPr>
        <w:t>ب)</w:t>
      </w:r>
      <w:r w:rsidRPr="004D017B">
        <w:rPr>
          <w:rtl/>
          <w:lang w:bidi="ar-SA"/>
        </w:rPr>
        <w:tab/>
        <w:t>أن مبادرات تعزيز القدرة على الصمود تكتسي أهمية متزايدة لأن تغير المناخ يسهم في ازدياد عدد الكوارث التي تؤثر في</w:t>
      </w:r>
      <w:r>
        <w:rPr>
          <w:rFonts w:hint="cs"/>
          <w:rtl/>
          <w:lang w:bidi="ar-SA"/>
        </w:rPr>
        <w:t> </w:t>
      </w:r>
      <w:r w:rsidRPr="004D017B">
        <w:rPr>
          <w:rtl/>
          <w:lang w:bidi="ar-SA"/>
        </w:rPr>
        <w:t>الاتصالات/تكنولوجيا المعلومات والاتصالات؛</w:t>
      </w:r>
    </w:p>
    <w:p w14:paraId="57792C09" w14:textId="77777777" w:rsidR="00D87904" w:rsidRPr="004E53B3" w:rsidRDefault="00D87904" w:rsidP="00D87904">
      <w:pPr>
        <w:rPr>
          <w:spacing w:val="-3"/>
          <w:rtl/>
          <w:lang w:bidi="en-GB"/>
        </w:rPr>
      </w:pPr>
      <w:r w:rsidRPr="004E53B3">
        <w:rPr>
          <w:i/>
          <w:iCs/>
          <w:spacing w:val="-3"/>
          <w:rtl/>
          <w:lang w:bidi="ar-SA"/>
        </w:rPr>
        <w:t>ج)</w:t>
      </w:r>
      <w:r w:rsidRPr="004E53B3">
        <w:rPr>
          <w:spacing w:val="-3"/>
          <w:rtl/>
          <w:lang w:bidi="ar-SA"/>
        </w:rPr>
        <w:tab/>
        <w:t>أهمية ضمان إتاحة الاتصالات/تكنولوجيا المعلومات والاتصالات القادرة على الصمود للجميع، ولا سيما الفئات غير المخدومة والفئات التي لا تحظى بخدمات كافية، إذ يمكن للأزمات أن تفاقم أوجه عدم المساواة والفجوات الرقمية القائمة من قبل؛</w:t>
      </w:r>
    </w:p>
    <w:p w14:paraId="5E9B45A9" w14:textId="77777777" w:rsidR="00D87904" w:rsidRDefault="00D87904" w:rsidP="00D87904">
      <w:pPr>
        <w:rPr>
          <w:rtl/>
          <w:lang w:bidi="ar-SA"/>
        </w:rPr>
      </w:pPr>
      <w:r w:rsidRPr="004D017B">
        <w:rPr>
          <w:i/>
          <w:iCs/>
          <w:rtl/>
          <w:lang w:bidi="ar-SA"/>
        </w:rPr>
        <w:t>د</w:t>
      </w:r>
      <w:r>
        <w:rPr>
          <w:rFonts w:hint="cs"/>
          <w:i/>
          <w:iCs/>
          <w:rtl/>
          <w:lang w:bidi="ar-SA"/>
        </w:rPr>
        <w:t> </w:t>
      </w:r>
      <w:r w:rsidRPr="004D017B">
        <w:rPr>
          <w:i/>
          <w:iCs/>
          <w:rtl/>
          <w:lang w:bidi="ar-SA"/>
        </w:rPr>
        <w:t>)</w:t>
      </w:r>
      <w:r w:rsidRPr="004D017B">
        <w:rPr>
          <w:rtl/>
          <w:lang w:bidi="ar-SA"/>
        </w:rPr>
        <w:tab/>
        <w:t>التحديات المتعددة والمتفاعلة الناجمة عن الفجوات الرقمية الجغرافية عند تصميم ونشر اتصالات/تكنولوجيا معلومات واتصالات قادرة على الصمود في أقل البلدان نمواً</w:t>
      </w:r>
      <w:r>
        <w:rPr>
          <w:rFonts w:hint="cs"/>
          <w:rtl/>
          <w:lang w:bidi="ar-SA"/>
        </w:rPr>
        <w:t xml:space="preserve"> </w:t>
      </w:r>
      <w:r>
        <w:rPr>
          <w:lang w:val="en-US" w:bidi="ar-SA"/>
        </w:rPr>
        <w:t>(LDC)</w:t>
      </w:r>
      <w:r w:rsidRPr="004D017B">
        <w:rPr>
          <w:rtl/>
          <w:lang w:bidi="ar-SA"/>
        </w:rPr>
        <w:t>، والبلدان النامية غير الساحلية</w:t>
      </w:r>
      <w:r>
        <w:rPr>
          <w:rFonts w:hint="cs"/>
          <w:rtl/>
          <w:lang w:bidi="ar-SA"/>
        </w:rPr>
        <w:t xml:space="preserve"> </w:t>
      </w:r>
      <w:r>
        <w:rPr>
          <w:lang w:val="en-US" w:bidi="ar-SA"/>
        </w:rPr>
        <w:t>(LLDC)</w:t>
      </w:r>
      <w:r w:rsidRPr="004D017B">
        <w:rPr>
          <w:rtl/>
          <w:lang w:bidi="ar-SA"/>
        </w:rPr>
        <w:t>، والدول الجزرية الصغيرة النامية</w:t>
      </w:r>
      <w:r>
        <w:rPr>
          <w:rFonts w:hint="cs"/>
          <w:rtl/>
          <w:lang w:bidi="ar-SA"/>
        </w:rPr>
        <w:t xml:space="preserve"> </w:t>
      </w:r>
      <w:r>
        <w:rPr>
          <w:lang w:val="en-US" w:bidi="ar-SA"/>
        </w:rPr>
        <w:t>(SIDS)</w:t>
      </w:r>
      <w:r w:rsidRPr="004D017B">
        <w:rPr>
          <w:rtl/>
          <w:lang w:bidi="ar-SA"/>
        </w:rPr>
        <w:t>، حيث تؤدي محدودية القدرة على بناء القدرة على الصمود وهشاشة المواقع إلى زيادة حدة آثار حالات الطوارئ في اقتصاداتها وبناها التحتية؛</w:t>
      </w:r>
    </w:p>
    <w:p w14:paraId="05CC4FEC" w14:textId="77777777" w:rsidR="00D87904" w:rsidRPr="004D017B" w:rsidRDefault="00D87904" w:rsidP="00D87904">
      <w:pPr>
        <w:rPr>
          <w:rtl/>
          <w:lang w:bidi="en-GB"/>
        </w:rPr>
      </w:pPr>
      <w:r w:rsidRPr="004D017B">
        <w:rPr>
          <w:i/>
          <w:iCs/>
          <w:rtl/>
          <w:lang w:bidi="ar-SA"/>
        </w:rPr>
        <w:t>ه‍</w:t>
      </w:r>
      <w:r>
        <w:rPr>
          <w:rFonts w:hint="cs"/>
          <w:i/>
          <w:iCs/>
          <w:rtl/>
          <w:lang w:bidi="ar-SA"/>
        </w:rPr>
        <w:t>ـ </w:t>
      </w:r>
      <w:r w:rsidRPr="004D017B">
        <w:rPr>
          <w:i/>
          <w:iCs/>
          <w:rtl/>
          <w:lang w:bidi="ar-SA"/>
        </w:rPr>
        <w:t>)</w:t>
      </w:r>
      <w:r w:rsidRPr="004D017B">
        <w:rPr>
          <w:rtl/>
          <w:lang w:bidi="ar-SA"/>
        </w:rPr>
        <w:tab/>
        <w:t>أهمية تطوير اتصالات/تكنولوجيا معلومات واتصالات قادرة على الصمود أمام مختلف التهديدات، مع تلبية متطلبات النفاذ المتنوعة للمستعملين، ولا سيما متطلبات الأشخاص ذوي الإعاقة والأشخاص ذوي الاحتياجات المحددة، ضماناً لنشر الاتصالات/تكنولوجيا المعلومات والاتصالات القادرة على الصمود على نحو منصف؛</w:t>
      </w:r>
    </w:p>
    <w:p w14:paraId="0A22B6F4" w14:textId="77777777" w:rsidR="00D87904" w:rsidRDefault="00D87904" w:rsidP="00D87904">
      <w:pPr>
        <w:rPr>
          <w:rtl/>
          <w:lang w:bidi="ar-SA"/>
        </w:rPr>
      </w:pPr>
      <w:r w:rsidRPr="004D017B">
        <w:rPr>
          <w:i/>
          <w:iCs/>
          <w:rtl/>
          <w:lang w:bidi="ar-SA"/>
        </w:rPr>
        <w:t>و</w:t>
      </w:r>
      <w:r>
        <w:rPr>
          <w:rFonts w:hint="cs"/>
          <w:i/>
          <w:iCs/>
          <w:rtl/>
          <w:lang w:bidi="ar-SA"/>
        </w:rPr>
        <w:t> </w:t>
      </w:r>
      <w:r w:rsidRPr="004D017B">
        <w:rPr>
          <w:i/>
          <w:iCs/>
          <w:rtl/>
          <w:lang w:bidi="ar-SA"/>
        </w:rPr>
        <w:t>)</w:t>
      </w:r>
      <w:r w:rsidRPr="004D017B">
        <w:rPr>
          <w:rtl/>
          <w:lang w:bidi="ar-SA"/>
        </w:rPr>
        <w:tab/>
        <w:t xml:space="preserve">أن لجنة الأمم المتحدة المعنية بالقضاء على التمييز ضد المرأة لاحظت، في توصيتها العامة رقم </w:t>
      </w:r>
      <w:r w:rsidRPr="004D017B">
        <w:rPr>
          <w:lang w:bidi="ar-SA"/>
        </w:rPr>
        <w:t>37</w:t>
      </w:r>
      <w:r w:rsidRPr="004D017B">
        <w:rPr>
          <w:rtl/>
          <w:lang w:bidi="ar-SA"/>
        </w:rPr>
        <w:t>، أن عدم مشاركة المرأة مشاركة نشطة في البرامج المتعلقة بالحد من مخاطر الكوارث والقدرة على الصمود أمام تغير المناخ يمكن أن يعوق تطوير تلك البرامج وفعاليتها،</w:t>
      </w:r>
    </w:p>
    <w:p w14:paraId="70D1542D" w14:textId="77777777" w:rsidR="00D87904" w:rsidRPr="004D017B" w:rsidRDefault="00D87904" w:rsidP="00E542ED">
      <w:pPr>
        <w:pStyle w:val="Call"/>
        <w:rPr>
          <w:rtl/>
          <w:lang w:bidi="en-GB"/>
        </w:rPr>
      </w:pPr>
      <w:r w:rsidRPr="004D017B">
        <w:rPr>
          <w:rtl/>
          <w:lang w:bidi="ar-SA"/>
        </w:rPr>
        <w:t>وإذ يضع في اعتباره</w:t>
      </w:r>
    </w:p>
    <w:p w14:paraId="299742A0" w14:textId="77777777" w:rsidR="00D87904" w:rsidRPr="00DA0CE9" w:rsidRDefault="00D87904" w:rsidP="00D87904">
      <w:pPr>
        <w:rPr>
          <w:spacing w:val="-2"/>
          <w:rtl/>
          <w:lang w:bidi="ar-SA"/>
        </w:rPr>
      </w:pPr>
      <w:r w:rsidRPr="00DA0CE9">
        <w:rPr>
          <w:rFonts w:hint="cs"/>
          <w:i/>
          <w:iCs/>
          <w:spacing w:val="-2"/>
          <w:rtl/>
          <w:lang w:bidi="ar-SA"/>
        </w:rPr>
        <w:t> </w:t>
      </w:r>
      <w:r w:rsidRPr="00DA0CE9">
        <w:rPr>
          <w:i/>
          <w:iCs/>
          <w:spacing w:val="-2"/>
          <w:rtl/>
          <w:lang w:bidi="ar-SA"/>
        </w:rPr>
        <w:t>أ</w:t>
      </w:r>
      <w:r w:rsidRPr="00DA0CE9">
        <w:rPr>
          <w:rFonts w:hint="cs"/>
          <w:i/>
          <w:iCs/>
          <w:spacing w:val="-2"/>
          <w:rtl/>
          <w:lang w:bidi="ar-SA"/>
        </w:rPr>
        <w:t> </w:t>
      </w:r>
      <w:r w:rsidRPr="00DA0CE9">
        <w:rPr>
          <w:i/>
          <w:iCs/>
          <w:spacing w:val="-2"/>
          <w:rtl/>
          <w:lang w:bidi="ar-SA"/>
        </w:rPr>
        <w:t>)</w:t>
      </w:r>
      <w:r w:rsidRPr="00DA0CE9">
        <w:rPr>
          <w:spacing w:val="-2"/>
          <w:rtl/>
          <w:lang w:bidi="ar-SA"/>
        </w:rPr>
        <w:tab/>
        <w:t>أن البنية التحتية للاتصالات/تكنولوجيا المعلومات والاتصالات القادرة على الصمود ضرورية لدعم الاقتصاد الرقمي العالمي، وتعزيز الابتكار، ودفع عجلة النمو، ولا سيما مع تزايد اعتماد الاقتصادات على نظم متينة لتكنولوجيا المعلومات والاتصالات؛</w:t>
      </w:r>
    </w:p>
    <w:p w14:paraId="2AE3CCC4" w14:textId="77777777" w:rsidR="00D87904" w:rsidRPr="00DA0CE9" w:rsidRDefault="00D87904" w:rsidP="00D87904">
      <w:pPr>
        <w:rPr>
          <w:spacing w:val="-2"/>
          <w:rtl/>
          <w:lang w:bidi="ar-SA"/>
        </w:rPr>
      </w:pPr>
      <w:r w:rsidRPr="00DA0CE9">
        <w:rPr>
          <w:i/>
          <w:iCs/>
          <w:spacing w:val="-2"/>
          <w:rtl/>
          <w:lang w:bidi="ar-SA"/>
        </w:rPr>
        <w:t>ب)</w:t>
      </w:r>
      <w:r w:rsidRPr="00DA0CE9">
        <w:rPr>
          <w:spacing w:val="-2"/>
          <w:rtl/>
          <w:lang w:bidi="ar-SA"/>
        </w:rPr>
        <w:tab/>
        <w:t>أن تعزيز التوصيلية الموثوقة والآمنة وإتاحة نظم الاتصالات/تكنولوجيا المعلومات والاتصالات لجميع شرائح المجتمع يمكن أن يعزز الفرص الاقتصادية والتعليم والرعاية الصحية وسائر القطاعات الحيوية، بما يسهم في التنمية الاقتصادية المستدامة؛</w:t>
      </w:r>
    </w:p>
    <w:p w14:paraId="0033507A" w14:textId="77777777" w:rsidR="00D87904" w:rsidRPr="004D017B" w:rsidRDefault="00D87904" w:rsidP="00D87904">
      <w:pPr>
        <w:rPr>
          <w:rtl/>
          <w:lang w:bidi="en-GB"/>
        </w:rPr>
      </w:pPr>
      <w:r w:rsidRPr="004D017B">
        <w:rPr>
          <w:i/>
          <w:iCs/>
          <w:rtl/>
          <w:lang w:bidi="ar-SA"/>
        </w:rPr>
        <w:t>ج)</w:t>
      </w:r>
      <w:r w:rsidRPr="004D017B">
        <w:rPr>
          <w:rtl/>
          <w:lang w:bidi="ar-SA"/>
        </w:rPr>
        <w:tab/>
        <w:t>أن تعزيز البنية التحتية للاتصالات/تكنولوجيا المعلومات والاتصالات في المناطق التي لا تحظى بخدمات كافية والمناطق النائية، من خلال حلول مبتكرة، من شأنه أن يسهم في بناء اقتصادات رقمية قادرة على الصمود؛</w:t>
      </w:r>
    </w:p>
    <w:p w14:paraId="4BA3008E" w14:textId="77777777" w:rsidR="00D87904" w:rsidRPr="004D017B" w:rsidRDefault="00D87904" w:rsidP="00D87904">
      <w:pPr>
        <w:rPr>
          <w:rtl/>
          <w:lang w:bidi="en-GB"/>
        </w:rPr>
      </w:pPr>
      <w:r w:rsidRPr="004D017B">
        <w:rPr>
          <w:i/>
          <w:iCs/>
          <w:rtl/>
          <w:lang w:bidi="ar-SA"/>
        </w:rPr>
        <w:t>د</w:t>
      </w:r>
      <w:r>
        <w:rPr>
          <w:rFonts w:hint="cs"/>
          <w:i/>
          <w:iCs/>
          <w:rtl/>
          <w:lang w:bidi="ar-SA"/>
        </w:rPr>
        <w:t> </w:t>
      </w:r>
      <w:r w:rsidRPr="004D017B">
        <w:rPr>
          <w:i/>
          <w:iCs/>
          <w:rtl/>
          <w:lang w:bidi="ar-SA"/>
        </w:rPr>
        <w:t>)</w:t>
      </w:r>
      <w:r w:rsidRPr="004D017B">
        <w:rPr>
          <w:rtl/>
          <w:lang w:bidi="ar-SA"/>
        </w:rPr>
        <w:tab/>
        <w:t>أن نظم الاتصالات/تكنولوجيا المعلومات والاتصالات القادرة على الصمود والآمنة تؤدي دورا حاسما في دعم استمرارية الأعمال وتقديم الخدمات العامة والوصول إلى الخدمات الأساسية في أوقات الأزمات والكوارث الطبيعية ومختلف التهديدات السيبرانية وحالات الانقطاع التقني غير الناجمة عن أعمال ضارة والطوارئ الصحية العالمية؛</w:t>
      </w:r>
    </w:p>
    <w:p w14:paraId="4759362E" w14:textId="77777777" w:rsidR="00D87904" w:rsidRPr="004D017B" w:rsidRDefault="00D87904" w:rsidP="00D87904">
      <w:pPr>
        <w:rPr>
          <w:rtl/>
          <w:lang w:bidi="en-GB"/>
        </w:rPr>
      </w:pPr>
      <w:r w:rsidRPr="004D017B">
        <w:rPr>
          <w:i/>
          <w:iCs/>
          <w:rtl/>
          <w:lang w:bidi="ar-SA"/>
        </w:rPr>
        <w:t>ه‍</w:t>
      </w:r>
      <w:r>
        <w:rPr>
          <w:rFonts w:hint="cs"/>
          <w:i/>
          <w:iCs/>
          <w:rtl/>
          <w:lang w:bidi="ar-SA"/>
        </w:rPr>
        <w:t>ـ </w:t>
      </w:r>
      <w:r w:rsidRPr="004D017B">
        <w:rPr>
          <w:i/>
          <w:iCs/>
          <w:rtl/>
          <w:lang w:bidi="ar-SA"/>
        </w:rPr>
        <w:t>)</w:t>
      </w:r>
      <w:r w:rsidRPr="004D017B">
        <w:rPr>
          <w:rtl/>
          <w:lang w:bidi="ar-SA"/>
        </w:rPr>
        <w:tab/>
        <w:t xml:space="preserve">أن استخدام الاتصالات/تكنولوجيا المعلومات والاتصالات لتبادل المعلومات في حالة وقوع أزمة يشكل أداة قوية لاتخاذ القرارات بالنسبة إلى خدمات الإنقاذ والاستجابة والكيانات المشغلة، وللتواصل مع الأفراد وفيما بينهم؛ وأن تكنولوجيا المعلومات والاتصالات ضرورية للأنشطة المتعلقة بالقدرة على الصمود أمام تغير المناخ، مثل رصد المناخ وحماية </w:t>
      </w:r>
      <w:r>
        <w:rPr>
          <w:rFonts w:hint="cs"/>
          <w:rtl/>
          <w:lang w:bidi="ar-SA"/>
        </w:rPr>
        <w:t>الأنظمة</w:t>
      </w:r>
      <w:r w:rsidRPr="004D017B">
        <w:rPr>
          <w:rtl/>
          <w:lang w:bidi="ar-SA"/>
        </w:rPr>
        <w:t xml:space="preserve"> الإيكولوجية الطبيعية وجمع البيانات والنقل السريع للمعلومات وإدارة مخاطر تغير المناخ؛</w:t>
      </w:r>
    </w:p>
    <w:p w14:paraId="44806ED5" w14:textId="77777777" w:rsidR="00D87904" w:rsidRPr="004D017B" w:rsidRDefault="00D87904" w:rsidP="00D87904">
      <w:pPr>
        <w:rPr>
          <w:rtl/>
          <w:lang w:bidi="en-GB"/>
        </w:rPr>
      </w:pPr>
      <w:r w:rsidRPr="004D017B">
        <w:rPr>
          <w:i/>
          <w:iCs/>
          <w:rtl/>
          <w:lang w:bidi="ar-SA"/>
        </w:rPr>
        <w:t>و</w:t>
      </w:r>
      <w:r>
        <w:rPr>
          <w:rFonts w:hint="cs"/>
          <w:i/>
          <w:iCs/>
          <w:rtl/>
          <w:lang w:bidi="ar-SA"/>
        </w:rPr>
        <w:t> </w:t>
      </w:r>
      <w:r w:rsidRPr="004D017B">
        <w:rPr>
          <w:i/>
          <w:iCs/>
          <w:rtl/>
          <w:lang w:bidi="ar-SA"/>
        </w:rPr>
        <w:t>)</w:t>
      </w:r>
      <w:r w:rsidRPr="004D017B">
        <w:rPr>
          <w:rtl/>
          <w:lang w:bidi="ar-SA"/>
        </w:rPr>
        <w:tab/>
        <w:t>أن الاتصالات/تكنولوجيا المعلومات والاتصالات يجب أن تظل قادرة على الصمود ويمكن الاعتماد عليها في مواجهة طائفة من الاضطرابات الخارجية، من قبيل الكوارث أو الأخطار الطبيعية وانقطاع التيار الكهربائي والحوادث السيبرانية؛</w:t>
      </w:r>
    </w:p>
    <w:p w14:paraId="0E28BF58" w14:textId="77777777" w:rsidR="00D87904" w:rsidRDefault="00D87904" w:rsidP="00D87904">
      <w:pPr>
        <w:rPr>
          <w:rtl/>
          <w:lang w:bidi="ar-SA"/>
        </w:rPr>
      </w:pPr>
      <w:r w:rsidRPr="004D017B">
        <w:rPr>
          <w:i/>
          <w:iCs/>
          <w:rtl/>
          <w:lang w:bidi="ar-SA"/>
        </w:rPr>
        <w:t>ز</w:t>
      </w:r>
      <w:r>
        <w:rPr>
          <w:rFonts w:hint="cs"/>
          <w:i/>
          <w:iCs/>
          <w:rtl/>
          <w:lang w:bidi="ar-SA"/>
        </w:rPr>
        <w:t> </w:t>
      </w:r>
      <w:r w:rsidRPr="004D017B">
        <w:rPr>
          <w:i/>
          <w:iCs/>
          <w:rtl/>
          <w:lang w:bidi="ar-SA"/>
        </w:rPr>
        <w:t>)</w:t>
      </w:r>
      <w:r w:rsidRPr="004D017B">
        <w:rPr>
          <w:rtl/>
          <w:lang w:bidi="ar-SA"/>
        </w:rPr>
        <w:tab/>
        <w:t>أن تعزيز الأمن السيبراني لنظم الاتصالات/تكنولوجيا المعلومات والاتصالات أمر أساسي لبناء الثقة في الاقتصادات الرقمية، ودعم المعاملات المالية والتجارة الإلكترونية، وحماية معلومات تحديد الهوية الشخصية؛</w:t>
      </w:r>
    </w:p>
    <w:p w14:paraId="4C413DE7" w14:textId="77777777" w:rsidR="00D87904" w:rsidRDefault="00D87904" w:rsidP="00D87904">
      <w:pPr>
        <w:rPr>
          <w:rtl/>
          <w:lang w:bidi="ar-SA"/>
        </w:rPr>
      </w:pPr>
      <w:r w:rsidRPr="004D017B">
        <w:rPr>
          <w:i/>
          <w:iCs/>
          <w:rtl/>
          <w:lang w:bidi="ar-SA"/>
        </w:rPr>
        <w:lastRenderedPageBreak/>
        <w:t>ح)</w:t>
      </w:r>
      <w:r w:rsidRPr="004D017B">
        <w:rPr>
          <w:rtl/>
          <w:lang w:bidi="ar-SA"/>
        </w:rPr>
        <w:tab/>
        <w:t>أنه ينبغي إدماج القدرة على الصمود في جميع مراحل تصميم ونشر الاتصالات/تكنولوجيا المعلومات والاتصالات لضمان متانتها طوال دورة حياتها وقدرتها على الصمود أمام البيئات المتغيرة وتجنب تفاقم التهديدات وأوجه الضعف؛</w:t>
      </w:r>
    </w:p>
    <w:p w14:paraId="7DF0A3D3" w14:textId="77777777" w:rsidR="00D87904" w:rsidRPr="004D017B" w:rsidRDefault="00D87904" w:rsidP="00D87904">
      <w:pPr>
        <w:rPr>
          <w:rtl/>
          <w:lang w:bidi="en-GB"/>
        </w:rPr>
      </w:pPr>
      <w:r w:rsidRPr="004D017B">
        <w:rPr>
          <w:i/>
          <w:iCs/>
          <w:rtl/>
          <w:lang w:bidi="ar-SA"/>
        </w:rPr>
        <w:t>ط)</w:t>
      </w:r>
      <w:r w:rsidRPr="004D017B">
        <w:rPr>
          <w:rtl/>
          <w:lang w:bidi="ar-SA"/>
        </w:rPr>
        <w:tab/>
        <w:t>الحاجة إلى تعزيز الوعي العام بالتدابير الأمنية الأساسية اللازمة للقدرة على الصمود، بما في ذلك النظافة السيبرانية، وضمان إتاحة الرسائل ذات الصلة لجميع المستعملين؛</w:t>
      </w:r>
    </w:p>
    <w:p w14:paraId="13C9DED9" w14:textId="77777777" w:rsidR="00D87904" w:rsidRDefault="00D87904" w:rsidP="00D87904">
      <w:pPr>
        <w:rPr>
          <w:rtl/>
          <w:lang w:bidi="ar-SA"/>
        </w:rPr>
      </w:pPr>
      <w:r w:rsidRPr="004D017B">
        <w:rPr>
          <w:i/>
          <w:iCs/>
          <w:rtl/>
          <w:lang w:bidi="ar-SA"/>
        </w:rPr>
        <w:t>ي)</w:t>
      </w:r>
      <w:r w:rsidRPr="004D017B">
        <w:rPr>
          <w:rtl/>
          <w:lang w:bidi="ar-SA"/>
        </w:rPr>
        <w:tab/>
        <w:t>أن تعزيز الشراكات بين الحكومات والقطاع الخاص والسلطات التنظيمية والمجتمع المدني والمجتمع التقني و</w:t>
      </w:r>
      <w:r>
        <w:rPr>
          <w:rtl/>
          <w:lang w:bidi="ar-SA"/>
        </w:rPr>
        <w:t>الهيئات الأكاديمية</w:t>
      </w:r>
      <w:r w:rsidRPr="004D017B">
        <w:rPr>
          <w:rtl/>
          <w:lang w:bidi="ar-SA"/>
        </w:rPr>
        <w:t xml:space="preserve"> والمنظمات الدولية أمر أساسي لضمان تطوير </w:t>
      </w:r>
      <w:r>
        <w:rPr>
          <w:rFonts w:hint="cs"/>
          <w:rtl/>
          <w:lang w:bidi="ar-SA"/>
        </w:rPr>
        <w:t>أنظمة</w:t>
      </w:r>
      <w:r w:rsidRPr="004D017B">
        <w:rPr>
          <w:rtl/>
          <w:lang w:bidi="ar-SA"/>
        </w:rPr>
        <w:t xml:space="preserve"> إيكولوجية للاتصالات/تكنولوجيا المعلومات والاتصالات قادرة على الصمود والتكيف مع التهديدات والفرص المتطورة في الاقتصاد الرقمي؛</w:t>
      </w:r>
    </w:p>
    <w:p w14:paraId="4276F4C9" w14:textId="77777777" w:rsidR="00D87904" w:rsidRDefault="00D87904" w:rsidP="00D87904">
      <w:pPr>
        <w:rPr>
          <w:rtl/>
          <w:lang w:bidi="ar-SA"/>
        </w:rPr>
      </w:pPr>
      <w:r w:rsidRPr="004D017B">
        <w:rPr>
          <w:i/>
          <w:iCs/>
          <w:rtl/>
          <w:lang w:bidi="ar-SA"/>
        </w:rPr>
        <w:t>ك)</w:t>
      </w:r>
      <w:r w:rsidRPr="004D017B">
        <w:rPr>
          <w:rtl/>
          <w:lang w:bidi="ar-SA"/>
        </w:rPr>
        <w:tab/>
        <w:t>أن التعاون الدولي وتبادل أفضل الممارسات يمكن أن يعززا القدرات الوطنية على بناء نظم متينة للاتصالات/تكنولوجيا المعلومات والاتصالات، بما يضمن استفادة جميع البلدان من الفرص التي يتيحها الاقتصاد الرقمي؛</w:t>
      </w:r>
    </w:p>
    <w:p w14:paraId="6899A792" w14:textId="77777777" w:rsidR="00D87904" w:rsidRPr="004D017B" w:rsidRDefault="00D87904" w:rsidP="00D87904">
      <w:pPr>
        <w:rPr>
          <w:rtl/>
          <w:lang w:bidi="en-GB"/>
        </w:rPr>
      </w:pPr>
      <w:r w:rsidRPr="004D017B">
        <w:rPr>
          <w:i/>
          <w:iCs/>
          <w:rtl/>
          <w:lang w:bidi="ar-SA"/>
        </w:rPr>
        <w:t>ل)</w:t>
      </w:r>
      <w:r w:rsidRPr="004D017B">
        <w:rPr>
          <w:rtl/>
          <w:lang w:bidi="ar-SA"/>
        </w:rPr>
        <w:tab/>
        <w:t>أهمية الاستراتيجيات الطويلة الأجل التي يجري تحديثها بصورة متكررة وخطط إدارة المخاطر التي تنسق القدرة على</w:t>
      </w:r>
      <w:r>
        <w:rPr>
          <w:rFonts w:hint="cs"/>
          <w:rtl/>
          <w:lang w:bidi="ar-SA"/>
        </w:rPr>
        <w:t> </w:t>
      </w:r>
      <w:r w:rsidRPr="004D017B">
        <w:rPr>
          <w:rtl/>
          <w:lang w:bidi="ar-SA"/>
        </w:rPr>
        <w:t>الصمود عبر طائفة من الاتصالات/تكنولوجيا المعلومات والاتصالات، بما ييسر توقع المشكلات والاستجابة لها في مختلف السياقات والتصدي للتهديدات وأوجه الضعف التي تتطور باستمرار؛</w:t>
      </w:r>
    </w:p>
    <w:p w14:paraId="69BE8319" w14:textId="77777777" w:rsidR="00D87904" w:rsidRDefault="00D87904" w:rsidP="00D87904">
      <w:pPr>
        <w:rPr>
          <w:rtl/>
          <w:lang w:bidi="ar-SA"/>
        </w:rPr>
      </w:pPr>
      <w:r w:rsidRPr="004D017B">
        <w:rPr>
          <w:i/>
          <w:iCs/>
          <w:rtl/>
          <w:lang w:bidi="ar-SA"/>
        </w:rPr>
        <w:t>م</w:t>
      </w:r>
      <w:r>
        <w:rPr>
          <w:rFonts w:hint="cs"/>
          <w:i/>
          <w:iCs/>
          <w:rtl/>
          <w:lang w:bidi="ar-SA"/>
        </w:rPr>
        <w:t> </w:t>
      </w:r>
      <w:r w:rsidRPr="004D017B">
        <w:rPr>
          <w:i/>
          <w:iCs/>
          <w:rtl/>
          <w:lang w:bidi="ar-SA"/>
        </w:rPr>
        <w:t>)</w:t>
      </w:r>
      <w:r w:rsidRPr="004D017B">
        <w:rPr>
          <w:rtl/>
          <w:lang w:bidi="ar-SA"/>
        </w:rPr>
        <w:tab/>
        <w:t>أن تعزيز التكنولوجيات المبتكرة واستخدامها يمكن أن يؤديا دوراً محورياً في بناء اقتصادات للاتصالات/تكنولوجيا المعلومات والاتصالات قادرة على الصمود والتكيف مع أوجه التقدم التكنولوجي والتحولات في الأسواق؛</w:t>
      </w:r>
    </w:p>
    <w:p w14:paraId="4CB847F9" w14:textId="77777777" w:rsidR="00D87904" w:rsidRPr="004D017B" w:rsidRDefault="00D87904" w:rsidP="00D87904">
      <w:pPr>
        <w:rPr>
          <w:rtl/>
          <w:lang w:bidi="en-GB"/>
        </w:rPr>
      </w:pPr>
      <w:r w:rsidRPr="004D017B">
        <w:rPr>
          <w:i/>
          <w:iCs/>
          <w:rtl/>
          <w:lang w:bidi="ar-SA"/>
        </w:rPr>
        <w:t>ن)</w:t>
      </w:r>
      <w:r w:rsidRPr="004D017B">
        <w:rPr>
          <w:rtl/>
          <w:lang w:bidi="ar-SA"/>
        </w:rPr>
        <w:tab/>
        <w:t xml:space="preserve">أهمية البنية التحتية للكبلات البحرية وقدرتها على الصمود، ونتائج مؤتمري القمة الدوليين المعنيين بقدرة الكبلات البحرية على الصمود، المعقودين في أبوجا في عام </w:t>
      </w:r>
      <w:r w:rsidRPr="004D017B">
        <w:rPr>
          <w:lang w:bidi="ar-SA"/>
        </w:rPr>
        <w:t>2025</w:t>
      </w:r>
      <w:r w:rsidRPr="004D017B">
        <w:rPr>
          <w:rtl/>
          <w:lang w:bidi="ar-SA"/>
        </w:rPr>
        <w:t xml:space="preserve"> وبورتو في عام </w:t>
      </w:r>
      <w:r w:rsidRPr="004D017B">
        <w:rPr>
          <w:lang w:bidi="ar-SA"/>
        </w:rPr>
        <w:t>2026</w:t>
      </w:r>
      <w:r w:rsidRPr="004D017B">
        <w:rPr>
          <w:rtl/>
          <w:lang w:bidi="ar-SA"/>
        </w:rPr>
        <w:t>،</w:t>
      </w:r>
    </w:p>
    <w:p w14:paraId="54ADF8E4" w14:textId="77777777" w:rsidR="00D87904" w:rsidRPr="004D017B" w:rsidRDefault="00D87904" w:rsidP="00E542ED">
      <w:pPr>
        <w:pStyle w:val="Call"/>
        <w:rPr>
          <w:rtl/>
          <w:lang w:bidi="en-GB"/>
        </w:rPr>
      </w:pPr>
      <w:r w:rsidRPr="004D017B">
        <w:rPr>
          <w:rtl/>
          <w:lang w:bidi="ar-SA"/>
        </w:rPr>
        <w:t>وإذ يقر</w:t>
      </w:r>
    </w:p>
    <w:p w14:paraId="31323013" w14:textId="77777777" w:rsidR="00D87904" w:rsidRDefault="00D87904" w:rsidP="00D87904">
      <w:pPr>
        <w:rPr>
          <w:rtl/>
          <w:lang w:bidi="ar-SA"/>
        </w:rPr>
      </w:pPr>
      <w:r>
        <w:rPr>
          <w:rFonts w:hint="cs"/>
          <w:i/>
          <w:iCs/>
          <w:rtl/>
          <w:lang w:bidi="ar-SA"/>
        </w:rPr>
        <w:t> </w:t>
      </w:r>
      <w:r w:rsidRPr="004D017B">
        <w:rPr>
          <w:i/>
          <w:iCs/>
          <w:rtl/>
          <w:lang w:bidi="ar-SA"/>
        </w:rPr>
        <w:t>أ</w:t>
      </w:r>
      <w:r>
        <w:rPr>
          <w:rFonts w:hint="cs"/>
          <w:i/>
          <w:iCs/>
          <w:rtl/>
          <w:lang w:bidi="ar-SA"/>
        </w:rPr>
        <w:t> </w:t>
      </w:r>
      <w:r w:rsidRPr="004D017B">
        <w:rPr>
          <w:i/>
          <w:iCs/>
          <w:rtl/>
          <w:lang w:bidi="ar-SA"/>
        </w:rPr>
        <w:t>)</w:t>
      </w:r>
      <w:r w:rsidRPr="004D017B">
        <w:rPr>
          <w:rtl/>
          <w:lang w:bidi="ar-SA"/>
        </w:rPr>
        <w:tab/>
        <w:t>بأن الاتصالات/تكنولوجيا المعلومات والاتصالات القادرة على الصمود تشكل أساساً ضرورياً للتنمية المستدامة ولسد الفجوات الرقمية؛</w:t>
      </w:r>
    </w:p>
    <w:p w14:paraId="6D6B1C4C" w14:textId="77777777" w:rsidR="00D87904" w:rsidRPr="004D017B" w:rsidRDefault="00D87904" w:rsidP="00D87904">
      <w:pPr>
        <w:rPr>
          <w:rtl/>
          <w:lang w:bidi="en-GB"/>
        </w:rPr>
      </w:pPr>
      <w:r w:rsidRPr="004D017B">
        <w:rPr>
          <w:i/>
          <w:iCs/>
          <w:rtl/>
          <w:lang w:bidi="ar-SA"/>
        </w:rPr>
        <w:t>ب)</w:t>
      </w:r>
      <w:r w:rsidRPr="004D017B">
        <w:rPr>
          <w:rtl/>
          <w:lang w:bidi="ar-SA"/>
        </w:rPr>
        <w:tab/>
        <w:t>بأن اعتماد التكنولوجيات المتقدمة يتطلب استثمارات رأسمالية كبيرة قد لا تتاح للبلدان النامية، مما يؤدي إلى استمرار الاعتماد على بنية تحتية متقادمة لتكنولوجيا المعلومات والاتصالات؛</w:t>
      </w:r>
    </w:p>
    <w:p w14:paraId="41296FD1" w14:textId="77777777" w:rsidR="00D87904" w:rsidRPr="004D017B" w:rsidRDefault="00D87904" w:rsidP="00D87904">
      <w:pPr>
        <w:rPr>
          <w:rtl/>
          <w:lang w:bidi="en-GB"/>
        </w:rPr>
      </w:pPr>
      <w:r w:rsidRPr="004D017B">
        <w:rPr>
          <w:i/>
          <w:iCs/>
          <w:rtl/>
          <w:lang w:bidi="ar-SA"/>
        </w:rPr>
        <w:t>ج)</w:t>
      </w:r>
      <w:r w:rsidRPr="004D017B">
        <w:rPr>
          <w:rtl/>
          <w:lang w:bidi="ar-SA"/>
        </w:rPr>
        <w:tab/>
        <w:t>بأن انعدام إمدادات الكهرباء من الشبكة أو عدم استقرارها في العديد من البلدان النامية يعوق بدرجة كبيرة اعتماد البنية التحتية الحديثة لتكنولوجيا المعلومات والاتصالات ونشرها وتشغيلها وصيانتها؛</w:t>
      </w:r>
    </w:p>
    <w:p w14:paraId="6DB38774" w14:textId="77777777" w:rsidR="00D87904" w:rsidRDefault="00D87904" w:rsidP="00D87904">
      <w:pPr>
        <w:rPr>
          <w:rtl/>
          <w:lang w:bidi="ar-SA"/>
        </w:rPr>
      </w:pPr>
      <w:r w:rsidRPr="004D017B">
        <w:rPr>
          <w:i/>
          <w:iCs/>
          <w:rtl/>
          <w:lang w:bidi="ar-SA"/>
        </w:rPr>
        <w:t>د</w:t>
      </w:r>
      <w:r>
        <w:rPr>
          <w:rFonts w:hint="cs"/>
          <w:i/>
          <w:iCs/>
          <w:rtl/>
          <w:lang w:bidi="ar-SA"/>
        </w:rPr>
        <w:t> </w:t>
      </w:r>
      <w:r w:rsidRPr="004D017B">
        <w:rPr>
          <w:i/>
          <w:iCs/>
          <w:rtl/>
          <w:lang w:bidi="ar-SA"/>
        </w:rPr>
        <w:t>)</w:t>
      </w:r>
      <w:r w:rsidRPr="004D017B">
        <w:rPr>
          <w:rtl/>
          <w:lang w:bidi="ar-SA"/>
        </w:rPr>
        <w:tab/>
        <w:t>بالدور الذي يضطلع به القطاع الخاص والمجتمع المدني والمجتمع التقني و</w:t>
      </w:r>
      <w:r>
        <w:rPr>
          <w:rtl/>
          <w:lang w:bidi="ar-SA"/>
        </w:rPr>
        <w:t>الهيئات الأكاديمية</w:t>
      </w:r>
      <w:r w:rsidRPr="004D017B">
        <w:rPr>
          <w:rtl/>
          <w:lang w:bidi="ar-SA"/>
        </w:rPr>
        <w:t xml:space="preserve"> والمنظمات الإقليمية والدولية في توفير معدات وخدمات الاتصالات/تكنولوجيا المعلومات والاتصالات والخبرة والمساعدة في بناء القدرات دعماً لمبادرات تعزيز القدرة على الصمود؛</w:t>
      </w:r>
    </w:p>
    <w:p w14:paraId="1B6067E0" w14:textId="77777777" w:rsidR="00D87904" w:rsidRPr="00DA0CE9" w:rsidRDefault="00D87904" w:rsidP="00D87904">
      <w:pPr>
        <w:rPr>
          <w:spacing w:val="-2"/>
          <w:rtl/>
          <w:lang w:bidi="en-GB"/>
        </w:rPr>
      </w:pPr>
      <w:r w:rsidRPr="00DA0CE9">
        <w:rPr>
          <w:i/>
          <w:iCs/>
          <w:spacing w:val="-2"/>
          <w:rtl/>
          <w:lang w:bidi="ar-SA"/>
        </w:rPr>
        <w:t>ه‍</w:t>
      </w:r>
      <w:r w:rsidRPr="00DA0CE9">
        <w:rPr>
          <w:rFonts w:hint="cs"/>
          <w:i/>
          <w:iCs/>
          <w:spacing w:val="-2"/>
          <w:rtl/>
          <w:lang w:bidi="ar-SA"/>
        </w:rPr>
        <w:t>ـ </w:t>
      </w:r>
      <w:r w:rsidRPr="00DA0CE9">
        <w:rPr>
          <w:i/>
          <w:iCs/>
          <w:spacing w:val="-2"/>
          <w:rtl/>
          <w:lang w:bidi="ar-SA"/>
        </w:rPr>
        <w:t>)</w:t>
      </w:r>
      <w:r w:rsidRPr="00DA0CE9">
        <w:rPr>
          <w:spacing w:val="-2"/>
          <w:rtl/>
          <w:lang w:bidi="ar-SA"/>
        </w:rPr>
        <w:tab/>
        <w:t>بالعمل الذي يضطلع به الاتحاد الدولي للاتصالات في الأنشطة الرئيسية المتعلقة بالقدرة على الصمود، من قبيل مبادرة الإنذار المبكر للجميع، وبإسهامات لجان الدراسات التابعة للاتحاد في قطاعاته الثلاثة في وضع التوصيات التقنية وأفضل الممارسات،</w:t>
      </w:r>
    </w:p>
    <w:p w14:paraId="5C7DC43B" w14:textId="77777777" w:rsidR="00D87904" w:rsidRPr="004D017B" w:rsidRDefault="00D87904" w:rsidP="00E542ED">
      <w:pPr>
        <w:pStyle w:val="Call"/>
        <w:rPr>
          <w:rtl/>
          <w:lang w:bidi="en-GB"/>
        </w:rPr>
      </w:pPr>
      <w:r w:rsidRPr="004D017B">
        <w:rPr>
          <w:rtl/>
          <w:lang w:bidi="ar-SA"/>
        </w:rPr>
        <w:t>يرى</w:t>
      </w:r>
    </w:p>
    <w:p w14:paraId="5FDDECB0" w14:textId="77777777" w:rsidR="00D87904" w:rsidRPr="004D017B" w:rsidRDefault="00D87904" w:rsidP="00D87904">
      <w:pPr>
        <w:rPr>
          <w:rtl/>
          <w:lang w:bidi="en-GB"/>
        </w:rPr>
      </w:pPr>
      <w:r w:rsidRPr="004D017B">
        <w:rPr>
          <w:lang w:bidi="ar-SA"/>
        </w:rPr>
        <w:t>1</w:t>
      </w:r>
      <w:r w:rsidRPr="004D017B">
        <w:rPr>
          <w:rtl/>
          <w:lang w:bidi="ar-SA"/>
        </w:rPr>
        <w:tab/>
        <w:t>أن السياسات والمبادرات المتعلقة بالقدرة على الصمود ينبغي أن تكون متعددة الأوجه وشاملة، وأن تشمل الأمن السيبراني ونظم الإنذار المبكر والعمل المبكر، والتحديث والصيانة المنتظمين للبنية التحتية للاتصالات/تكنولوجيا المعلومات والاتصالات، والرصد البيئي، ومبادرات الحد من مخاطر الكوارث، والتعاون بين القطاعين العام والخاص؛</w:t>
      </w:r>
    </w:p>
    <w:p w14:paraId="5FCE134C" w14:textId="77777777" w:rsidR="00D87904" w:rsidRPr="004D017B" w:rsidRDefault="00D87904" w:rsidP="00D87904">
      <w:pPr>
        <w:rPr>
          <w:rtl/>
          <w:lang w:bidi="en-GB"/>
        </w:rPr>
      </w:pPr>
      <w:r w:rsidRPr="004D017B">
        <w:rPr>
          <w:lang w:bidi="ar-SA"/>
        </w:rPr>
        <w:t>2</w:t>
      </w:r>
      <w:r w:rsidRPr="004D017B">
        <w:rPr>
          <w:rtl/>
          <w:lang w:bidi="ar-SA"/>
        </w:rPr>
        <w:tab/>
        <w:t>أن تعزيز القدرة على الصمود يتطلب عملا منسقا بين الحكومات والسلطات التنظيمية والقطاع الخاص والمجتمع المدني والمجتمع التقني و</w:t>
      </w:r>
      <w:r>
        <w:rPr>
          <w:rtl/>
          <w:lang w:bidi="ar-SA"/>
        </w:rPr>
        <w:t>الهيئات الأكاديمية</w:t>
      </w:r>
      <w:r w:rsidRPr="004D017B">
        <w:rPr>
          <w:rtl/>
          <w:lang w:bidi="ar-SA"/>
        </w:rPr>
        <w:t>، مع اضطلاع السلطات الوطنية بدور رئيسي في إعطاء الأولوية لتطوير نظم اتصالات/تكنولوجيا معلومات واتصالات قادرة على الصمود وآمنة وقابلة للتكيف، دعماً للنمو الرقمي الطويل الأجل واستمرارية الخدمات الأساسية؛</w:t>
      </w:r>
    </w:p>
    <w:p w14:paraId="7FC73202" w14:textId="77777777" w:rsidR="00D87904" w:rsidRDefault="00D87904" w:rsidP="00D87904">
      <w:pPr>
        <w:rPr>
          <w:rtl/>
          <w:lang w:bidi="ar-SA"/>
        </w:rPr>
      </w:pPr>
      <w:r w:rsidRPr="004D017B">
        <w:rPr>
          <w:lang w:bidi="ar-SA"/>
        </w:rPr>
        <w:t>3</w:t>
      </w:r>
      <w:r w:rsidRPr="004D017B">
        <w:rPr>
          <w:rtl/>
          <w:lang w:bidi="ar-SA"/>
        </w:rPr>
        <w:tab/>
        <w:t>أن من الضروري إدماج القدرة على الصمود في جميع مراحل تصميم الاتصالات/تكنولوجيا المعلومات والاتصالات وتطويرها ونشرها؛</w:t>
      </w:r>
    </w:p>
    <w:p w14:paraId="17D66A0B" w14:textId="77777777" w:rsidR="00D87904" w:rsidRDefault="00D87904" w:rsidP="00D87904">
      <w:pPr>
        <w:rPr>
          <w:rtl/>
          <w:lang w:bidi="ar-SA"/>
        </w:rPr>
      </w:pPr>
      <w:r w:rsidRPr="004D017B">
        <w:rPr>
          <w:lang w:bidi="ar-SA"/>
        </w:rPr>
        <w:lastRenderedPageBreak/>
        <w:t>4</w:t>
      </w:r>
      <w:r w:rsidRPr="004D017B">
        <w:rPr>
          <w:rtl/>
          <w:lang w:bidi="ar-SA"/>
        </w:rPr>
        <w:tab/>
        <w:t>أن البنية التحتية للاتصالات/تكنولوجيا المعلومات والاتصالات القادرة على الصمود عامل تمكيني حاسم للنمو الاقتصادي والشمول الرقمي والابتكار، ويجب أن تكون قابلة للتكيف مع التحديات الناشئة؛</w:t>
      </w:r>
    </w:p>
    <w:p w14:paraId="17AEF074" w14:textId="77777777" w:rsidR="00D87904" w:rsidRDefault="00D87904" w:rsidP="00D87904">
      <w:pPr>
        <w:rPr>
          <w:rtl/>
          <w:lang w:bidi="ar-SA"/>
        </w:rPr>
      </w:pPr>
      <w:r w:rsidRPr="004D017B">
        <w:rPr>
          <w:lang w:bidi="ar-SA"/>
        </w:rPr>
        <w:t>5</w:t>
      </w:r>
      <w:r w:rsidRPr="004D017B">
        <w:rPr>
          <w:rtl/>
          <w:lang w:bidi="ar-SA"/>
        </w:rPr>
        <w:tab/>
        <w:t>أن سد الفجوة الرقمية وضمان النفاذ الميسور التكلفة إلى الاتصالات/تكنولوجيا المعلومات والاتصالات جزء لا يتجزأ من بناء القدرة على الصمود؛</w:t>
      </w:r>
    </w:p>
    <w:p w14:paraId="2D4B5E6B" w14:textId="77777777" w:rsidR="00D87904" w:rsidRPr="004D017B" w:rsidRDefault="00D87904" w:rsidP="00D87904">
      <w:pPr>
        <w:rPr>
          <w:rtl/>
          <w:lang w:bidi="en-GB"/>
        </w:rPr>
      </w:pPr>
      <w:r w:rsidRPr="004D017B">
        <w:rPr>
          <w:lang w:bidi="ar-SA"/>
        </w:rPr>
        <w:t>6</w:t>
      </w:r>
      <w:r w:rsidRPr="004D017B">
        <w:rPr>
          <w:rtl/>
          <w:lang w:bidi="ar-SA"/>
        </w:rPr>
        <w:tab/>
        <w:t>أن التعاون والعمل التعاوني بشأن أفضل الممارسات وتهيئة البيئات التمكينية للاستثمار وآليات التمويل المبتكرة تؤدي أدواراً مهمة في بناء نظم اتصالات/تكنولوجيا معلومات واتصالات قادرة على الصمود والاستجابة للتحديات العالمية ودعم الاستقرار الاقتصادي، ولا سيما أثناء الكوارث الطبيعية وحالات الطوارئ؛</w:t>
      </w:r>
    </w:p>
    <w:p w14:paraId="3F720544" w14:textId="77777777" w:rsidR="00D87904" w:rsidRDefault="00D87904" w:rsidP="00D87904">
      <w:pPr>
        <w:rPr>
          <w:rtl/>
          <w:lang w:bidi="ar-SA"/>
        </w:rPr>
      </w:pPr>
      <w:r w:rsidRPr="004D017B">
        <w:rPr>
          <w:lang w:bidi="ar-SA"/>
        </w:rPr>
        <w:t>7</w:t>
      </w:r>
      <w:r w:rsidRPr="004D017B">
        <w:rPr>
          <w:rtl/>
          <w:lang w:bidi="ar-SA"/>
        </w:rPr>
        <w:tab/>
        <w:t>أنه ينبغي اعتماد نهج متعدد القنوات لرفع مستوى الوعي العام، بما يضمن وصول الرسائل ذات الصلة بالقدرة على الصمود، مثل الاتصالات في حالات الطوارئ والمشورة المتعلقة بالنظافة السيبرانية، إلى جمهور واسع وتمكين الأفراد من اتخاذ إجراءات في وقت مبكر وحماية أنفسهم؛</w:t>
      </w:r>
    </w:p>
    <w:p w14:paraId="1440C5BE" w14:textId="77777777" w:rsidR="00D87904" w:rsidRPr="004D017B" w:rsidRDefault="00D87904" w:rsidP="00D87904">
      <w:pPr>
        <w:rPr>
          <w:rtl/>
          <w:lang w:bidi="en-GB"/>
        </w:rPr>
      </w:pPr>
      <w:r w:rsidRPr="004D017B">
        <w:rPr>
          <w:lang w:bidi="ar-SA"/>
        </w:rPr>
        <w:t>8</w:t>
      </w:r>
      <w:r w:rsidRPr="004D017B">
        <w:rPr>
          <w:rtl/>
          <w:lang w:bidi="ar-SA"/>
        </w:rPr>
        <w:tab/>
        <w:t>أن حماية البيئة تمثل أحد أكبر تحديات عصرنا، وأن القدرة على الصمود أمام الكوارث الطبيعية يمكن تعزيزها من خلال إنشاء نظم للإنذار المبكر وخطط وطنية للاتصالات في حالات الطوارئ؛</w:t>
      </w:r>
    </w:p>
    <w:p w14:paraId="13EEBACE" w14:textId="77777777" w:rsidR="00D87904" w:rsidRDefault="00D87904" w:rsidP="00D87904">
      <w:pPr>
        <w:rPr>
          <w:rtl/>
          <w:lang w:bidi="ar-SA"/>
        </w:rPr>
      </w:pPr>
      <w:r w:rsidRPr="004D017B">
        <w:rPr>
          <w:lang w:bidi="ar-SA"/>
        </w:rPr>
        <w:t>9</w:t>
      </w:r>
      <w:r w:rsidRPr="004D017B">
        <w:rPr>
          <w:rtl/>
          <w:lang w:bidi="ar-SA"/>
        </w:rPr>
        <w:tab/>
        <w:t>أن بناء القدرة على الصمود السيبراني في جميع أنحاء المجتمع أمر أساسي للتصدي للتهديد السيبراني المتزايد؛</w:t>
      </w:r>
    </w:p>
    <w:p w14:paraId="48812DD4" w14:textId="77777777" w:rsidR="00D87904" w:rsidRDefault="00D87904" w:rsidP="00D87904">
      <w:pPr>
        <w:rPr>
          <w:rtl/>
          <w:lang w:bidi="ar-SA"/>
        </w:rPr>
      </w:pPr>
      <w:r w:rsidRPr="004D017B">
        <w:rPr>
          <w:lang w:bidi="ar-SA"/>
        </w:rPr>
        <w:t>10</w:t>
      </w:r>
      <w:r w:rsidRPr="004D017B">
        <w:rPr>
          <w:rtl/>
          <w:lang w:bidi="ar-SA"/>
        </w:rPr>
        <w:tab/>
        <w:t>أن تعزيز الابتكار ونشر التكنولوجيات الجديدة أمران ضروريان لضمان بقاء اقتصادات الاتصالات/تكنولوجيا المعلومات والاتصالات قادرة على المنافسة وآمنة وقادرة على الصمود؛</w:t>
      </w:r>
    </w:p>
    <w:p w14:paraId="1EC7F250" w14:textId="77777777" w:rsidR="00D87904" w:rsidRPr="004D017B" w:rsidRDefault="00D87904" w:rsidP="00D87904">
      <w:pPr>
        <w:rPr>
          <w:rtl/>
          <w:lang w:bidi="en-GB"/>
        </w:rPr>
      </w:pPr>
      <w:r w:rsidRPr="004D017B">
        <w:rPr>
          <w:lang w:bidi="ar-SA"/>
        </w:rPr>
        <w:t>11</w:t>
      </w:r>
      <w:r w:rsidRPr="004D017B">
        <w:rPr>
          <w:rtl/>
          <w:lang w:bidi="ar-SA"/>
        </w:rPr>
        <w:tab/>
        <w:t>أن الابتكارات في مجال القدرة على الصمود في قطاع الطاقة يمكن أن تدعم قدرة البنية التحتية على الصمود، بما يضمن إمكانية حصول البنية التحتية للاتصالات وتكنولوجيا المعلومات والاتصالات على مصادر بديلة للطاقة؛</w:t>
      </w:r>
    </w:p>
    <w:p w14:paraId="77A7A7CC" w14:textId="77777777" w:rsidR="00D87904" w:rsidRPr="004D017B" w:rsidRDefault="00D87904" w:rsidP="00D87904">
      <w:pPr>
        <w:rPr>
          <w:rtl/>
          <w:lang w:bidi="en-GB"/>
        </w:rPr>
      </w:pPr>
      <w:r w:rsidRPr="004D017B">
        <w:rPr>
          <w:lang w:bidi="ar-SA"/>
        </w:rPr>
        <w:t>12</w:t>
      </w:r>
      <w:r w:rsidRPr="004D017B">
        <w:rPr>
          <w:rtl/>
          <w:lang w:bidi="ar-SA"/>
        </w:rPr>
        <w:tab/>
        <w:t>أنه ينبغي للاتحاد الدولي للاتصالات أن يواصل تنفيذ برامج التدريب وحلقات العمل وأنشطة بناء القدرات لتعزيز قدرة الاتصالات/تكنولوجيا المعلومات والاتصالات على الصمود،</w:t>
      </w:r>
    </w:p>
    <w:p w14:paraId="75DD3AE9" w14:textId="77777777" w:rsidR="00D87904" w:rsidRDefault="00D87904" w:rsidP="00E542ED">
      <w:pPr>
        <w:pStyle w:val="Call"/>
        <w:rPr>
          <w:rtl/>
          <w:lang w:bidi="ar-SA"/>
        </w:rPr>
      </w:pPr>
      <w:r w:rsidRPr="004D017B">
        <w:rPr>
          <w:rtl/>
          <w:lang w:bidi="ar-SA"/>
        </w:rPr>
        <w:t>يدعو الدول الأعضاء وأعضاء القطاعات وسائر أصحاب المصلحة إلى العمل بصورة تعاونية على ما يلي</w:t>
      </w:r>
    </w:p>
    <w:p w14:paraId="4329FBF3" w14:textId="77777777" w:rsidR="00D87904" w:rsidRDefault="00D87904" w:rsidP="00D87904">
      <w:pPr>
        <w:rPr>
          <w:rtl/>
          <w:lang w:bidi="ar-SA"/>
        </w:rPr>
      </w:pPr>
      <w:r w:rsidRPr="004D017B">
        <w:rPr>
          <w:lang w:bidi="ar-SA"/>
        </w:rPr>
        <w:t>1</w:t>
      </w:r>
      <w:r w:rsidRPr="004D017B">
        <w:rPr>
          <w:rtl/>
          <w:lang w:bidi="ar-SA"/>
        </w:rPr>
        <w:tab/>
        <w:t>إعطاء الأولوية لتبادل المعلومات بشأن وضع وتنفيذ السياسات التي تعزز بنى تحتية للاتصالات/تكنولوجيا المعلومات والاتصالات قادرة على الصمود وآمنة ومتينة، مع ضمان اتساقها مع المعايير الدولية وأفضل الممارسات؛</w:t>
      </w:r>
    </w:p>
    <w:p w14:paraId="3CB36422" w14:textId="77777777" w:rsidR="00D87904" w:rsidRDefault="00D87904" w:rsidP="00D87904">
      <w:pPr>
        <w:rPr>
          <w:rtl/>
          <w:lang w:bidi="ar-SA"/>
        </w:rPr>
      </w:pPr>
      <w:r w:rsidRPr="004D017B">
        <w:rPr>
          <w:lang w:bidi="ar-SA"/>
        </w:rPr>
        <w:t>2</w:t>
      </w:r>
      <w:r w:rsidRPr="004D017B">
        <w:rPr>
          <w:rtl/>
          <w:lang w:bidi="ar-SA"/>
        </w:rPr>
        <w:tab/>
        <w:t>مواصلة تيسير وتعزيز الجهود الرامية إلى تقوية الاتصالات/تكنولوجيا المعلومات والاتصالات، بما في ذلك قدرة البنية التحتية الرقمية على الصمود، وضمان أن تكون هذه النظم آمنة ومتينة وقابلة للتكيف مع التحديات المستقبلية وقادرة على</w:t>
      </w:r>
      <w:r>
        <w:rPr>
          <w:rFonts w:hint="cs"/>
          <w:rtl/>
          <w:lang w:bidi="ar-SA"/>
        </w:rPr>
        <w:t> </w:t>
      </w:r>
      <w:r w:rsidRPr="004D017B">
        <w:rPr>
          <w:rtl/>
          <w:lang w:bidi="ar-SA"/>
        </w:rPr>
        <w:t>ضمان استمرارية الخدمة في أوقات الاضطراب؛</w:t>
      </w:r>
    </w:p>
    <w:p w14:paraId="4915316F" w14:textId="77777777" w:rsidR="00D87904" w:rsidRPr="00DA0CE9" w:rsidRDefault="00D87904" w:rsidP="00D87904">
      <w:pPr>
        <w:rPr>
          <w:spacing w:val="-2"/>
          <w:rtl/>
          <w:lang w:bidi="en-GB"/>
        </w:rPr>
      </w:pPr>
      <w:r w:rsidRPr="00DA0CE9">
        <w:rPr>
          <w:spacing w:val="-2"/>
          <w:lang w:bidi="ar-SA"/>
        </w:rPr>
        <w:t>3</w:t>
      </w:r>
      <w:r w:rsidRPr="00DA0CE9">
        <w:rPr>
          <w:spacing w:val="-2"/>
          <w:rtl/>
          <w:lang w:bidi="ar-SA"/>
        </w:rPr>
        <w:tab/>
        <w:t>استكشاف الفرص والتصدي للتحديات التي تواجه بناء نظم اتصالات/تكنولوجيا معلومات واتصالات قادرة على</w:t>
      </w:r>
      <w:r w:rsidRPr="00DA0CE9">
        <w:rPr>
          <w:rFonts w:hint="cs"/>
          <w:spacing w:val="-2"/>
          <w:rtl/>
          <w:lang w:bidi="ar-SA"/>
        </w:rPr>
        <w:t> </w:t>
      </w:r>
      <w:r w:rsidRPr="00DA0CE9">
        <w:rPr>
          <w:spacing w:val="-2"/>
          <w:rtl/>
          <w:lang w:bidi="ar-SA"/>
        </w:rPr>
        <w:t>الصمود، بما يضمن استمرارية الخدمة في أوقات الاضطراب؛</w:t>
      </w:r>
    </w:p>
    <w:p w14:paraId="4D165B4C" w14:textId="77777777" w:rsidR="00D87904" w:rsidRPr="004D017B" w:rsidRDefault="00D87904" w:rsidP="00D87904">
      <w:pPr>
        <w:rPr>
          <w:rtl/>
          <w:lang w:bidi="en-GB"/>
        </w:rPr>
      </w:pPr>
      <w:r w:rsidRPr="004D017B">
        <w:rPr>
          <w:lang w:bidi="ar-SA"/>
        </w:rPr>
        <w:t>4</w:t>
      </w:r>
      <w:r w:rsidRPr="004D017B">
        <w:rPr>
          <w:rtl/>
          <w:lang w:bidi="ar-SA"/>
        </w:rPr>
        <w:tab/>
        <w:t>العمل مع القطاع الخاص والمجتمع المدني والمجتمع التقني و</w:t>
      </w:r>
      <w:r>
        <w:rPr>
          <w:rtl/>
          <w:lang w:bidi="ar-SA"/>
        </w:rPr>
        <w:t>الهيئات الأكاديمية</w:t>
      </w:r>
      <w:r w:rsidRPr="004D017B">
        <w:rPr>
          <w:rtl/>
          <w:lang w:bidi="ar-SA"/>
        </w:rPr>
        <w:t xml:space="preserve"> لتعزيز الاتصالات/تكنولوجيا المعلومات والاتصالات القادرة على الصمود، من خلال توفير برامج للدعم التقني وبناء القدرات؛</w:t>
      </w:r>
    </w:p>
    <w:p w14:paraId="6DB942A1" w14:textId="77777777" w:rsidR="00D87904" w:rsidRDefault="00D87904" w:rsidP="00D87904">
      <w:pPr>
        <w:rPr>
          <w:rtl/>
          <w:lang w:bidi="ar-SA"/>
        </w:rPr>
      </w:pPr>
      <w:r w:rsidRPr="004D017B">
        <w:rPr>
          <w:lang w:bidi="ar-SA"/>
        </w:rPr>
        <w:t>5</w:t>
      </w:r>
      <w:r w:rsidRPr="004D017B">
        <w:rPr>
          <w:rtl/>
          <w:lang w:bidi="ar-SA"/>
        </w:rPr>
        <w:tab/>
        <w:t xml:space="preserve">تعزيز الشراكات بين القطاعين العام والخاص من أجل تعزيز القدرة على الصمود في </w:t>
      </w:r>
      <w:r>
        <w:rPr>
          <w:rFonts w:hint="cs"/>
          <w:rtl/>
          <w:lang w:bidi="ar-SA"/>
        </w:rPr>
        <w:t>الأنظمة الإيكولوجية ل</w:t>
      </w:r>
      <w:r w:rsidRPr="004D017B">
        <w:rPr>
          <w:rtl/>
          <w:lang w:bidi="ar-SA"/>
        </w:rPr>
        <w:t>لاتصالات/تكنولوجيا المعلومات والاتصالات والتصدي للتحديات والفرص الناشئة ذات الصلة فيه؛</w:t>
      </w:r>
    </w:p>
    <w:p w14:paraId="773E1A63" w14:textId="77777777" w:rsidR="00D87904" w:rsidRPr="004D017B" w:rsidRDefault="00D87904" w:rsidP="00D87904">
      <w:pPr>
        <w:rPr>
          <w:rtl/>
          <w:lang w:bidi="en-GB"/>
        </w:rPr>
      </w:pPr>
      <w:r w:rsidRPr="004D017B">
        <w:rPr>
          <w:lang w:bidi="ar-SA"/>
        </w:rPr>
        <w:t>6</w:t>
      </w:r>
      <w:r w:rsidRPr="004D017B">
        <w:rPr>
          <w:rtl/>
          <w:lang w:bidi="ar-SA"/>
        </w:rPr>
        <w:tab/>
        <w:t>تعميم مراعاة المنظور الجنساني في الاستراتيجيات الوطنية المتعلقة بالقدرة على الصمود وضمان أن تكون عملية صنع القرار شاملة للجميع؛</w:t>
      </w:r>
    </w:p>
    <w:p w14:paraId="24874A91" w14:textId="77777777" w:rsidR="00D87904" w:rsidRPr="00DA0CE9" w:rsidRDefault="00D87904" w:rsidP="00D87904">
      <w:pPr>
        <w:rPr>
          <w:spacing w:val="-3"/>
          <w:rtl/>
          <w:lang w:bidi="ar-SA"/>
        </w:rPr>
      </w:pPr>
      <w:r w:rsidRPr="00DA0CE9">
        <w:rPr>
          <w:spacing w:val="-3"/>
          <w:lang w:bidi="ar-SA"/>
        </w:rPr>
        <w:t>7</w:t>
      </w:r>
      <w:r w:rsidRPr="00DA0CE9">
        <w:rPr>
          <w:spacing w:val="-3"/>
          <w:rtl/>
          <w:lang w:bidi="ar-SA"/>
        </w:rPr>
        <w:tab/>
        <w:t>مواصلة بذل جميع الجهود اللازمة لإدماج الاستجابة للحوادث السيبرانية والحد من مخاطر الكوارث والتخفيف من آثار الكوارث والإغاثة في حالات الكوارث والقدرة على الصمود في خطط تطوير الاتصالات/تكنولوجيا المعلومات والاتصالات، مع مراعاة الأشخاص ذوي الإعاقة والأشخاص ذوي الاحتياجات المحددة وأهمية التعاون مع جميع أصحاب المصلحة في جميع مراحل الكوارث؛</w:t>
      </w:r>
    </w:p>
    <w:p w14:paraId="7544673A" w14:textId="77777777" w:rsidR="00D87904" w:rsidRDefault="00D87904" w:rsidP="00D87904">
      <w:pPr>
        <w:rPr>
          <w:rtl/>
          <w:lang w:bidi="ar-SA"/>
        </w:rPr>
      </w:pPr>
      <w:r w:rsidRPr="004D017B">
        <w:rPr>
          <w:lang w:bidi="ar-SA"/>
        </w:rPr>
        <w:t>8</w:t>
      </w:r>
      <w:r w:rsidRPr="004D017B">
        <w:rPr>
          <w:rtl/>
          <w:lang w:bidi="ar-SA"/>
        </w:rPr>
        <w:tab/>
        <w:t>اعتماد توصيات الاتحاد الدولي للاتصالات ذات الصلة التي يمكن أن تسهم في بناء قدرة الاتصالات/تكنولوجيا المعلومات والاتصالات على الصمود والاستجابة الفعالة للأزمات؛</w:t>
      </w:r>
    </w:p>
    <w:p w14:paraId="5C391202" w14:textId="77777777" w:rsidR="00D87904" w:rsidRDefault="00D87904" w:rsidP="00D87904">
      <w:pPr>
        <w:rPr>
          <w:rtl/>
          <w:lang w:bidi="ar-SA"/>
        </w:rPr>
      </w:pPr>
      <w:r w:rsidRPr="004D017B">
        <w:rPr>
          <w:lang w:bidi="ar-SA"/>
        </w:rPr>
        <w:lastRenderedPageBreak/>
        <w:t>9</w:t>
      </w:r>
      <w:r w:rsidRPr="004D017B">
        <w:rPr>
          <w:rtl/>
          <w:lang w:bidi="ar-SA"/>
        </w:rPr>
        <w:tab/>
        <w:t>المشاركة الفعالة في المحافل الدولية المعنية بقدرة الاتصالات/تكنولوجيا المعلومات والاتصالات على الصمود، وتبادل المعارف والخبرات؛</w:t>
      </w:r>
    </w:p>
    <w:p w14:paraId="1474ACF9" w14:textId="77777777" w:rsidR="00D87904" w:rsidRPr="004D017B" w:rsidRDefault="00D87904" w:rsidP="00D87904">
      <w:pPr>
        <w:rPr>
          <w:rtl/>
          <w:lang w:bidi="en-GB"/>
        </w:rPr>
      </w:pPr>
      <w:r w:rsidRPr="004D017B">
        <w:rPr>
          <w:lang w:bidi="ar-SA"/>
        </w:rPr>
        <w:t>10</w:t>
      </w:r>
      <w:r w:rsidRPr="004D017B">
        <w:rPr>
          <w:rtl/>
          <w:lang w:bidi="ar-SA"/>
        </w:rPr>
        <w:tab/>
        <w:t>دعم الأنشطة الدولية الرامية إلى تعزيز بناء القدرات في مجال القدرة على الصمود، ولا سيما لصالح أقل البلدان نمواً والبلدان النامية غير الساحلية والدول الجزرية الصغيرة النامية؛</w:t>
      </w:r>
    </w:p>
    <w:p w14:paraId="5B1C828E" w14:textId="77777777" w:rsidR="00D87904" w:rsidRPr="004D017B" w:rsidRDefault="00D87904" w:rsidP="00D87904">
      <w:pPr>
        <w:rPr>
          <w:rtl/>
          <w:lang w:bidi="en-GB"/>
        </w:rPr>
      </w:pPr>
      <w:r w:rsidRPr="004D017B">
        <w:rPr>
          <w:lang w:bidi="ar-SA"/>
        </w:rPr>
        <w:t>11</w:t>
      </w:r>
      <w:r w:rsidRPr="004D017B">
        <w:rPr>
          <w:rtl/>
          <w:lang w:bidi="ar-SA"/>
        </w:rPr>
        <w:tab/>
        <w:t>تشجيع وتمكين الاستثمار في البنية التحتية للاتصالات/تكنولوجيا المعلومات والاتصالات القادرة على الصمود، ولا سيما في المناطق غير المخدومة والمناطق التي لا تحظى بخدمات كافية والمناطق التي تواجه تحديات جغرافية؛</w:t>
      </w:r>
    </w:p>
    <w:p w14:paraId="6FC960F8" w14:textId="77777777" w:rsidR="00D87904" w:rsidRPr="004D017B" w:rsidRDefault="00D87904" w:rsidP="00D87904">
      <w:pPr>
        <w:rPr>
          <w:rtl/>
          <w:lang w:bidi="en-GB"/>
        </w:rPr>
      </w:pPr>
      <w:r w:rsidRPr="004D017B">
        <w:rPr>
          <w:lang w:bidi="ar-SA"/>
        </w:rPr>
        <w:t>12</w:t>
      </w:r>
      <w:r w:rsidRPr="004D017B">
        <w:rPr>
          <w:rtl/>
          <w:lang w:bidi="ar-SA"/>
        </w:rPr>
        <w:tab/>
        <w:t>اعتماد استراتيجيات لتعزيز قدرة الاتصالات/تكنولوجيا المعلومات والاتصالات على الصمود، بما في ذلك خطط إدارة مخاطر الكوارث والاستجابة لحالات الانقطاع؛</w:t>
      </w:r>
    </w:p>
    <w:p w14:paraId="1B99ECB4" w14:textId="77777777" w:rsidR="00D87904" w:rsidRPr="004D017B" w:rsidRDefault="00D87904" w:rsidP="00D87904">
      <w:pPr>
        <w:rPr>
          <w:rtl/>
          <w:lang w:bidi="en-GB"/>
        </w:rPr>
      </w:pPr>
      <w:r w:rsidRPr="004D017B">
        <w:rPr>
          <w:lang w:bidi="ar-SA"/>
        </w:rPr>
        <w:t>13</w:t>
      </w:r>
      <w:r w:rsidRPr="004D017B">
        <w:rPr>
          <w:rtl/>
          <w:lang w:bidi="ar-SA"/>
        </w:rPr>
        <w:tab/>
        <w:t>تعزيز السياسات التي تقوي أمن سلاسل إمداد الاتصالات/تكنولوجيا المعلومات والاتصالات وقدرتها على الصمود، بما يضمن أن تكون المعدات آمنة وقادرة على الصمود؛</w:t>
      </w:r>
    </w:p>
    <w:p w14:paraId="7B1A6A5D" w14:textId="77777777" w:rsidR="00D87904" w:rsidRPr="004D017B" w:rsidRDefault="00D87904" w:rsidP="00D87904">
      <w:pPr>
        <w:rPr>
          <w:rtl/>
          <w:lang w:bidi="en-GB"/>
        </w:rPr>
      </w:pPr>
      <w:r w:rsidRPr="004D017B">
        <w:rPr>
          <w:lang w:bidi="ar-SA"/>
        </w:rPr>
        <w:t>14</w:t>
      </w:r>
      <w:r w:rsidRPr="004D017B">
        <w:rPr>
          <w:rtl/>
          <w:lang w:bidi="ar-SA"/>
        </w:rPr>
        <w:tab/>
        <w:t>دعم دور خدمات وتكنولوجيات الاتصالات/تكنولوجيا المعلومات والاتصالات الجديدة والناشئة في تعزيز نظم الإنذار المبكر وكشف التهديدات واستراتيجيات الاستجابة التكيفية من أجل تعزيز قدرة الاتصالات/تكنولوجيا المعلومات والاتصالات على</w:t>
      </w:r>
      <w:r>
        <w:rPr>
          <w:rFonts w:hint="cs"/>
          <w:rtl/>
          <w:lang w:bidi="ar-SA"/>
        </w:rPr>
        <w:t> </w:t>
      </w:r>
      <w:r w:rsidRPr="004D017B">
        <w:rPr>
          <w:rtl/>
          <w:lang w:bidi="ar-SA"/>
        </w:rPr>
        <w:t>الصمود؛</w:t>
      </w:r>
    </w:p>
    <w:p w14:paraId="3F6F5BBC" w14:textId="77777777" w:rsidR="00D87904" w:rsidRPr="004D017B" w:rsidRDefault="00D87904" w:rsidP="00D87904">
      <w:pPr>
        <w:rPr>
          <w:rtl/>
          <w:lang w:bidi="en-GB"/>
        </w:rPr>
      </w:pPr>
      <w:r w:rsidRPr="004D017B">
        <w:rPr>
          <w:lang w:bidi="ar-SA"/>
        </w:rPr>
        <w:t>15</w:t>
      </w:r>
      <w:r w:rsidRPr="004D017B">
        <w:rPr>
          <w:rtl/>
          <w:lang w:bidi="ar-SA"/>
        </w:rPr>
        <w:tab/>
        <w:t>النظر في مراعاة نتائج مؤتمري قمة أبوجا وبورتو عند اعتماد وتنفيذ السياسات الرامية إلى تعزيز قدرة الكبلات البحرية على الصمود،</w:t>
      </w:r>
    </w:p>
    <w:p w14:paraId="2E1F0F25" w14:textId="77777777" w:rsidR="00D87904" w:rsidRPr="004D017B" w:rsidRDefault="00D87904" w:rsidP="00E542ED">
      <w:pPr>
        <w:pStyle w:val="Call"/>
        <w:rPr>
          <w:rtl/>
          <w:lang w:bidi="en-GB"/>
        </w:rPr>
      </w:pPr>
      <w:r w:rsidRPr="004D017B">
        <w:rPr>
          <w:rtl/>
          <w:lang w:bidi="ar-SA"/>
        </w:rPr>
        <w:t>يدعو الأمين العام</w:t>
      </w:r>
      <w:r>
        <w:rPr>
          <w:rFonts w:hint="cs"/>
          <w:rtl/>
          <w:lang w:bidi="ar-SA"/>
        </w:rPr>
        <w:t xml:space="preserve"> إلى</w:t>
      </w:r>
    </w:p>
    <w:p w14:paraId="7894BBBB" w14:textId="77777777" w:rsidR="00D87904" w:rsidRPr="004D017B" w:rsidRDefault="00D87904" w:rsidP="00D87904">
      <w:pPr>
        <w:rPr>
          <w:rtl/>
          <w:lang w:bidi="en-GB"/>
        </w:rPr>
      </w:pPr>
      <w:r w:rsidRPr="004D017B">
        <w:rPr>
          <w:lang w:bidi="ar-SA"/>
        </w:rPr>
        <w:t>1</w:t>
      </w:r>
      <w:r w:rsidRPr="004D017B">
        <w:rPr>
          <w:rtl/>
          <w:lang w:bidi="ar-SA"/>
        </w:rPr>
        <w:tab/>
        <w:t>مواصلة تيسير وتعزيز الجهود الدولية الرامية إلى تقوية وتعزيز قدرة الاتصالات/تكنولوجيا المعلومات والاتصالات على</w:t>
      </w:r>
      <w:r>
        <w:rPr>
          <w:rFonts w:hint="cs"/>
          <w:rtl/>
          <w:lang w:bidi="ar-SA"/>
        </w:rPr>
        <w:t> </w:t>
      </w:r>
      <w:r w:rsidRPr="004D017B">
        <w:rPr>
          <w:rtl/>
          <w:lang w:bidi="ar-SA"/>
        </w:rPr>
        <w:t>الصمود؛</w:t>
      </w:r>
    </w:p>
    <w:p w14:paraId="7CF2E519" w14:textId="77777777" w:rsidR="00D87904" w:rsidRPr="004D017B" w:rsidRDefault="00D87904" w:rsidP="00D87904">
      <w:pPr>
        <w:rPr>
          <w:rtl/>
          <w:lang w:bidi="en-GB"/>
        </w:rPr>
      </w:pPr>
      <w:r w:rsidRPr="004D017B">
        <w:rPr>
          <w:lang w:bidi="ar-SA"/>
        </w:rPr>
        <w:t>2</w:t>
      </w:r>
      <w:r w:rsidRPr="004D017B">
        <w:rPr>
          <w:rtl/>
          <w:lang w:bidi="ar-SA"/>
        </w:rPr>
        <w:tab/>
        <w:t xml:space="preserve">ضمان مواصلة الاتحاد الدولي للاتصالات دعم الدول الأعضاء في وضع وتعزيز الأطر السياساتية والتنظيمية المتعلقة بقدرة </w:t>
      </w:r>
      <w:r>
        <w:rPr>
          <w:rFonts w:hint="cs"/>
          <w:rtl/>
        </w:rPr>
        <w:t>الاتصالات/</w:t>
      </w:r>
      <w:r w:rsidRPr="004D017B">
        <w:rPr>
          <w:rtl/>
          <w:lang w:bidi="ar-SA"/>
        </w:rPr>
        <w:t>تكنولوجيا المعلومات والاتصالات على الصمود.</w:t>
      </w:r>
    </w:p>
    <w:p w14:paraId="76AFAC3B" w14:textId="77777777" w:rsidR="007071B4" w:rsidRPr="007071B4" w:rsidRDefault="007071B4" w:rsidP="007071B4">
      <w:pPr>
        <w:spacing w:before="600"/>
        <w:jc w:val="center"/>
        <w:rPr>
          <w:rtl/>
          <w:lang w:eastAsia="zh-CN"/>
        </w:rPr>
      </w:pPr>
      <w:r>
        <w:rPr>
          <w:rFonts w:hint="cs"/>
          <w:rtl/>
        </w:rPr>
        <w:t>ــــــــــــــــــــــــــــــــــــــــــــــــــــــــــــــــــــــــــــــــــــــــــــــــ</w:t>
      </w:r>
    </w:p>
    <w:sectPr w:rsidR="007071B4" w:rsidRPr="007071B4" w:rsidSect="003E018F">
      <w:headerReference w:type="even" r:id="rId8"/>
      <w:headerReference w:type="default" r:id="rId9"/>
      <w:footerReference w:type="default" r:id="rId10"/>
      <w:headerReference w:type="first" r:id="rId11"/>
      <w:footerReference w:type="first" r:id="rId12"/>
      <w:pgSz w:w="11907" w:h="16834" w:code="9"/>
      <w:pgMar w:top="1418" w:right="1134" w:bottom="1418" w:left="1134" w:header="720"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FE97F" w14:textId="77777777" w:rsidR="00312D85" w:rsidRDefault="00312D85" w:rsidP="00FE7FCA">
      <w:r>
        <w:separator/>
      </w:r>
    </w:p>
  </w:endnote>
  <w:endnote w:type="continuationSeparator" w:id="0">
    <w:p w14:paraId="726D6156" w14:textId="77777777" w:rsidR="00312D85" w:rsidRDefault="00312D85" w:rsidP="00FE7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ubai">
    <w:panose1 w:val="020B0503030403030204"/>
    <w:charset w:val="00"/>
    <w:family w:val="swiss"/>
    <w:pitch w:val="variable"/>
    <w:sig w:usb0="80002067" w:usb1="80000000" w:usb2="00000008" w:usb3="00000000" w:csb0="00000041" w:csb1="00000000"/>
  </w:font>
  <w:font w:name="Calibri">
    <w:panose1 w:val="020F0502020204030204"/>
    <w:charset w:val="00"/>
    <w:family w:val="swiss"/>
    <w:pitch w:val="variable"/>
    <w:sig w:usb0="E5002EFF" w:usb1="C200ACFF" w:usb2="00000009" w:usb3="00000000" w:csb0="000001FF" w:csb1="00000000"/>
  </w:font>
  <w:font w:name="Traditional Arabic">
    <w:charset w:val="B2"/>
    <w:family w:val="roman"/>
    <w:pitch w:val="variable"/>
    <w:sig w:usb0="00002003" w:usb1="80000000" w:usb2="00000008" w:usb3="00000000" w:csb0="00000041"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100D8" w14:textId="77777777" w:rsidR="003D59E8" w:rsidRPr="003D59E8" w:rsidRDefault="003D59E8" w:rsidP="003D59E8">
    <w:pPr>
      <w:tabs>
        <w:tab w:val="clear" w:pos="567"/>
        <w:tab w:val="clear" w:pos="1134"/>
        <w:tab w:val="clear" w:pos="1701"/>
        <w:tab w:val="clear" w:pos="2268"/>
        <w:tab w:val="clear" w:pos="2835"/>
        <w:tab w:val="left" w:pos="794"/>
        <w:tab w:val="center" w:pos="5103"/>
        <w:tab w:val="right" w:pos="9639"/>
      </w:tabs>
      <w:overflowPunct/>
      <w:autoSpaceDE/>
      <w:autoSpaceDN/>
      <w:bidi w:val="0"/>
      <w:adjustRightInd/>
      <w:spacing w:line="240" w:lineRule="auto"/>
      <w:jc w:val="left"/>
      <w:textAlignment w:val="auto"/>
      <w:rPr>
        <w:rFonts w:eastAsia="Times New Roman"/>
        <w:sz w:val="16"/>
        <w:szCs w:val="16"/>
        <w:lang w:val="fr-FR"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F1A1F" w14:textId="2D11D36B" w:rsidR="00255055" w:rsidRPr="003433B7" w:rsidRDefault="003433B7" w:rsidP="003433B7">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anchor="/ar" w:history="1">
      <w:r w:rsidRPr="00F632E3">
        <w:rPr>
          <w:rStyle w:val="Hyperlink"/>
          <w:rFonts w:asciiTheme="minorHAnsi" w:hAnsiTheme="minorHAnsi" w:cstheme="minorHAnsi"/>
          <w:color w:val="0070C0"/>
          <w:sz w:val="22"/>
          <w:szCs w:val="22"/>
          <w:lang w:val="en-GB"/>
        </w:rPr>
        <w:t>www.itu.int/WTPF/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50990" w14:textId="77777777" w:rsidR="00312D85" w:rsidRDefault="00312D85">
      <w:r>
        <w:t>_______________</w:t>
      </w:r>
    </w:p>
  </w:footnote>
  <w:footnote w:type="continuationSeparator" w:id="0">
    <w:p w14:paraId="3CD21E91" w14:textId="77777777" w:rsidR="00312D85" w:rsidRDefault="00312D85" w:rsidP="00FE7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F4F1E" w14:textId="77777777" w:rsidR="003915D1" w:rsidRPr="005A25FE" w:rsidRDefault="003915D1" w:rsidP="00A9018B">
    <w:pPr>
      <w:pStyle w:val="Header"/>
      <w:tabs>
        <w:tab w:val="center" w:pos="3969"/>
        <w:tab w:val="right" w:pos="7938"/>
      </w:tabs>
      <w:jc w:val="left"/>
      <w:rPr>
        <w:rFonts w:cs="Calibri"/>
        <w:b/>
        <w:bCs/>
        <w:sz w:val="22"/>
        <w:szCs w:val="24"/>
        <w:rtl/>
      </w:rPr>
    </w:pPr>
    <w:r>
      <w:tab/>
    </w:r>
    <w:r w:rsidR="004423B0">
      <w:fldChar w:fldCharType="begin"/>
    </w:r>
    <w:r w:rsidR="004423B0">
      <w:instrText xml:space="preserve"> DOCPROPERTY  header5  \* MERGEFORMAT </w:instrText>
    </w:r>
    <w:r w:rsidR="004423B0">
      <w:fldChar w:fldCharType="separate"/>
    </w:r>
    <w:r w:rsidR="00970392">
      <w:rPr>
        <w:b/>
        <w:bCs/>
        <w:lang w:val="en-US"/>
      </w:rPr>
      <w:t>Error! Unknown document property name.</w:t>
    </w:r>
    <w:r w:rsidR="004423B0">
      <w:fldChar w:fldCharType="end"/>
    </w:r>
    <w:r w:rsidRPr="00A621F9">
      <w:tab/>
    </w:r>
    <w:r>
      <w:fldChar w:fldCharType="begin"/>
    </w:r>
    <w:r>
      <w:instrText>PAGE</w:instrText>
    </w:r>
    <w:r>
      <w:fldChar w:fldCharType="separate"/>
    </w:r>
    <w:r>
      <w:rPr>
        <w:noProof/>
      </w:rPr>
      <w:t>56</w:t>
    </w:r>
    <w:r>
      <w:rPr>
        <w:noProof/>
      </w:rPr>
      <w:fldChar w:fldCharType="end"/>
    </w:r>
  </w:p>
  <w:p w14:paraId="7A9AFDCC" w14:textId="77777777" w:rsidR="003915D1" w:rsidRDefault="003915D1"/>
  <w:p w14:paraId="27077B63" w14:textId="77777777" w:rsidR="003915D1" w:rsidRDefault="003915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D893" w14:textId="77777777" w:rsidR="003433B7" w:rsidRPr="003433B7" w:rsidRDefault="003433B7" w:rsidP="003433B7">
    <w:pPr>
      <w:pStyle w:val="Header"/>
      <w:rPr>
        <w:rFonts w:asciiTheme="minorHAnsi" w:hAnsiTheme="minorHAnsi" w:cstheme="minorHAnsi"/>
      </w:rPr>
    </w:pPr>
    <w:r w:rsidRPr="003433B7">
      <w:rPr>
        <w:rFonts w:asciiTheme="minorHAnsi" w:hAnsiTheme="minorHAnsi" w:cstheme="minorHAnsi"/>
      </w:rPr>
      <w:fldChar w:fldCharType="begin"/>
    </w:r>
    <w:r w:rsidRPr="003433B7">
      <w:rPr>
        <w:rFonts w:asciiTheme="minorHAnsi" w:hAnsiTheme="minorHAnsi" w:cstheme="minorHAnsi"/>
      </w:rPr>
      <w:instrText xml:space="preserve"> PAGE   \* MERGEFORMAT </w:instrText>
    </w:r>
    <w:r w:rsidRPr="003433B7">
      <w:rPr>
        <w:rFonts w:asciiTheme="minorHAnsi" w:hAnsiTheme="minorHAnsi" w:cstheme="minorHAnsi"/>
      </w:rPr>
      <w:fldChar w:fldCharType="separate"/>
    </w:r>
    <w:r w:rsidRPr="003433B7">
      <w:rPr>
        <w:rFonts w:asciiTheme="minorHAnsi" w:hAnsiTheme="minorHAnsi" w:cstheme="minorHAnsi"/>
      </w:rPr>
      <w:t>2</w:t>
    </w:r>
    <w:r w:rsidRPr="003433B7">
      <w:rPr>
        <w:rFonts w:asciiTheme="minorHAnsi" w:hAnsiTheme="minorHAnsi" w:cstheme="minorHAnsi"/>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6F819" w14:textId="77777777" w:rsidR="003915D1" w:rsidRPr="00B10B0D" w:rsidRDefault="003915D1" w:rsidP="00255055">
    <w:pPr>
      <w:tabs>
        <w:tab w:val="clear" w:pos="567"/>
        <w:tab w:val="clear" w:pos="1134"/>
        <w:tab w:val="clear" w:pos="1701"/>
        <w:tab w:val="clear" w:pos="2268"/>
        <w:tab w:val="clear" w:pos="2835"/>
      </w:tabs>
      <w:bidi w:val="0"/>
      <w:spacing w:before="0" w:line="240" w:lineRule="auto"/>
      <w:jc w:val="center"/>
      <w:rPr>
        <w:rFonts w:cs="Times New Roman"/>
        <w:sz w:val="18"/>
        <w:szCs w:val="20"/>
        <w:lang w:bidi="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2741D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CC7A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F23F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C6877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338C2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688C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86E4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3C267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C4EC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574E7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7A16859"/>
    <w:multiLevelType w:val="hybridMultilevel"/>
    <w:tmpl w:val="75F81148"/>
    <w:lvl w:ilvl="0" w:tplc="6EF8B6BC">
      <w:start w:val="1"/>
      <w:numFmt w:val="arabicAlpha"/>
      <w:lvlText w:val="%1)"/>
      <w:lvlJc w:val="left"/>
      <w:pPr>
        <w:tabs>
          <w:tab w:val="num" w:pos="1344"/>
        </w:tabs>
        <w:ind w:left="1344" w:hanging="570"/>
      </w:pPr>
      <w:rPr>
        <w:rFonts w:cs="Times New Roman" w:hint="default"/>
        <w:sz w:val="2"/>
        <w:szCs w:val="26"/>
      </w:rPr>
    </w:lvl>
    <w:lvl w:ilvl="1" w:tplc="04090019">
      <w:start w:val="1"/>
      <w:numFmt w:val="lowerLetter"/>
      <w:lvlText w:val="%2."/>
      <w:lvlJc w:val="left"/>
      <w:pPr>
        <w:tabs>
          <w:tab w:val="num" w:pos="1854"/>
        </w:tabs>
        <w:ind w:left="1854" w:hanging="360"/>
      </w:pPr>
      <w:rPr>
        <w:rFonts w:cs="Times New Roman"/>
      </w:rPr>
    </w:lvl>
    <w:lvl w:ilvl="2" w:tplc="0409001B">
      <w:start w:val="1"/>
      <w:numFmt w:val="lowerRoman"/>
      <w:lvlText w:val="%3."/>
      <w:lvlJc w:val="right"/>
      <w:pPr>
        <w:tabs>
          <w:tab w:val="num" w:pos="2574"/>
        </w:tabs>
        <w:ind w:left="2574" w:hanging="180"/>
      </w:pPr>
      <w:rPr>
        <w:rFonts w:cs="Times New Roman"/>
      </w:rPr>
    </w:lvl>
    <w:lvl w:ilvl="3" w:tplc="0409000F">
      <w:start w:val="1"/>
      <w:numFmt w:val="decimal"/>
      <w:lvlText w:val="%4."/>
      <w:lvlJc w:val="left"/>
      <w:pPr>
        <w:tabs>
          <w:tab w:val="num" w:pos="3294"/>
        </w:tabs>
        <w:ind w:left="3294" w:hanging="360"/>
      </w:pPr>
      <w:rPr>
        <w:rFonts w:cs="Times New Roman"/>
      </w:rPr>
    </w:lvl>
    <w:lvl w:ilvl="4" w:tplc="04090019">
      <w:start w:val="1"/>
      <w:numFmt w:val="lowerLetter"/>
      <w:lvlText w:val="%5."/>
      <w:lvlJc w:val="left"/>
      <w:pPr>
        <w:tabs>
          <w:tab w:val="num" w:pos="4014"/>
        </w:tabs>
        <w:ind w:left="4014" w:hanging="360"/>
      </w:pPr>
      <w:rPr>
        <w:rFonts w:cs="Times New Roman"/>
      </w:rPr>
    </w:lvl>
    <w:lvl w:ilvl="5" w:tplc="0409001B">
      <w:start w:val="1"/>
      <w:numFmt w:val="lowerRoman"/>
      <w:lvlText w:val="%6."/>
      <w:lvlJc w:val="right"/>
      <w:pPr>
        <w:tabs>
          <w:tab w:val="num" w:pos="4734"/>
        </w:tabs>
        <w:ind w:left="4734" w:hanging="180"/>
      </w:pPr>
      <w:rPr>
        <w:rFonts w:cs="Times New Roman"/>
      </w:rPr>
    </w:lvl>
    <w:lvl w:ilvl="6" w:tplc="0409000F">
      <w:start w:val="1"/>
      <w:numFmt w:val="decimal"/>
      <w:lvlText w:val="%7."/>
      <w:lvlJc w:val="left"/>
      <w:pPr>
        <w:tabs>
          <w:tab w:val="num" w:pos="5454"/>
        </w:tabs>
        <w:ind w:left="5454" w:hanging="360"/>
      </w:pPr>
      <w:rPr>
        <w:rFonts w:cs="Times New Roman"/>
      </w:rPr>
    </w:lvl>
    <w:lvl w:ilvl="7" w:tplc="04090019">
      <w:start w:val="1"/>
      <w:numFmt w:val="lowerLetter"/>
      <w:lvlText w:val="%8."/>
      <w:lvlJc w:val="left"/>
      <w:pPr>
        <w:tabs>
          <w:tab w:val="num" w:pos="6174"/>
        </w:tabs>
        <w:ind w:left="6174" w:hanging="360"/>
      </w:pPr>
      <w:rPr>
        <w:rFonts w:cs="Times New Roman"/>
      </w:rPr>
    </w:lvl>
    <w:lvl w:ilvl="8" w:tplc="0409001B">
      <w:start w:val="1"/>
      <w:numFmt w:val="lowerRoman"/>
      <w:lvlText w:val="%9."/>
      <w:lvlJc w:val="right"/>
      <w:pPr>
        <w:tabs>
          <w:tab w:val="num" w:pos="6894"/>
        </w:tabs>
        <w:ind w:left="6894" w:hanging="180"/>
      </w:pPr>
      <w:rPr>
        <w:rFonts w:cs="Times New Roman"/>
      </w:rPr>
    </w:lvl>
  </w:abstractNum>
  <w:abstractNum w:abstractNumId="11" w15:restartNumberingAfterBreak="0">
    <w:nsid w:val="45E22C8E"/>
    <w:multiLevelType w:val="hybridMultilevel"/>
    <w:tmpl w:val="39EC650A"/>
    <w:lvl w:ilvl="0" w:tplc="C28E3270">
      <w:start w:val="2"/>
      <w:numFmt w:val="arabicAlpha"/>
      <w:lvlText w:val="%1)"/>
      <w:lvlJc w:val="left"/>
      <w:pPr>
        <w:tabs>
          <w:tab w:val="num" w:pos="1134"/>
        </w:tabs>
        <w:ind w:left="1134" w:hanging="360"/>
      </w:pPr>
      <w:rPr>
        <w:rFonts w:cs="Times New Roman" w:hint="default"/>
        <w:sz w:val="30"/>
        <w:szCs w:val="26"/>
      </w:rPr>
    </w:lvl>
    <w:lvl w:ilvl="1" w:tplc="04090019">
      <w:start w:val="1"/>
      <w:numFmt w:val="lowerLetter"/>
      <w:lvlText w:val="%2."/>
      <w:lvlJc w:val="left"/>
      <w:pPr>
        <w:tabs>
          <w:tab w:val="num" w:pos="1854"/>
        </w:tabs>
        <w:ind w:left="1854" w:hanging="360"/>
      </w:pPr>
      <w:rPr>
        <w:rFonts w:cs="Times New Roman"/>
      </w:rPr>
    </w:lvl>
    <w:lvl w:ilvl="2" w:tplc="0409001B">
      <w:start w:val="1"/>
      <w:numFmt w:val="lowerRoman"/>
      <w:lvlText w:val="%3."/>
      <w:lvlJc w:val="right"/>
      <w:pPr>
        <w:tabs>
          <w:tab w:val="num" w:pos="2574"/>
        </w:tabs>
        <w:ind w:left="2574" w:hanging="180"/>
      </w:pPr>
      <w:rPr>
        <w:rFonts w:cs="Times New Roman"/>
      </w:rPr>
    </w:lvl>
    <w:lvl w:ilvl="3" w:tplc="0409000F">
      <w:start w:val="1"/>
      <w:numFmt w:val="decimal"/>
      <w:lvlText w:val="%4."/>
      <w:lvlJc w:val="left"/>
      <w:pPr>
        <w:tabs>
          <w:tab w:val="num" w:pos="3294"/>
        </w:tabs>
        <w:ind w:left="3294" w:hanging="360"/>
      </w:pPr>
      <w:rPr>
        <w:rFonts w:cs="Times New Roman"/>
      </w:rPr>
    </w:lvl>
    <w:lvl w:ilvl="4" w:tplc="04090019">
      <w:start w:val="1"/>
      <w:numFmt w:val="lowerLetter"/>
      <w:lvlText w:val="%5."/>
      <w:lvlJc w:val="left"/>
      <w:pPr>
        <w:tabs>
          <w:tab w:val="num" w:pos="4014"/>
        </w:tabs>
        <w:ind w:left="4014" w:hanging="360"/>
      </w:pPr>
      <w:rPr>
        <w:rFonts w:cs="Times New Roman"/>
      </w:rPr>
    </w:lvl>
    <w:lvl w:ilvl="5" w:tplc="0409001B">
      <w:start w:val="1"/>
      <w:numFmt w:val="lowerRoman"/>
      <w:lvlText w:val="%6."/>
      <w:lvlJc w:val="right"/>
      <w:pPr>
        <w:tabs>
          <w:tab w:val="num" w:pos="4734"/>
        </w:tabs>
        <w:ind w:left="4734" w:hanging="180"/>
      </w:pPr>
      <w:rPr>
        <w:rFonts w:cs="Times New Roman"/>
      </w:rPr>
    </w:lvl>
    <w:lvl w:ilvl="6" w:tplc="0409000F">
      <w:start w:val="1"/>
      <w:numFmt w:val="decimal"/>
      <w:lvlText w:val="%7."/>
      <w:lvlJc w:val="left"/>
      <w:pPr>
        <w:tabs>
          <w:tab w:val="num" w:pos="5454"/>
        </w:tabs>
        <w:ind w:left="5454" w:hanging="360"/>
      </w:pPr>
      <w:rPr>
        <w:rFonts w:cs="Times New Roman"/>
      </w:rPr>
    </w:lvl>
    <w:lvl w:ilvl="7" w:tplc="04090019">
      <w:start w:val="1"/>
      <w:numFmt w:val="lowerLetter"/>
      <w:lvlText w:val="%8."/>
      <w:lvlJc w:val="left"/>
      <w:pPr>
        <w:tabs>
          <w:tab w:val="num" w:pos="6174"/>
        </w:tabs>
        <w:ind w:left="6174" w:hanging="360"/>
      </w:pPr>
      <w:rPr>
        <w:rFonts w:cs="Times New Roman"/>
      </w:rPr>
    </w:lvl>
    <w:lvl w:ilvl="8" w:tplc="0409001B">
      <w:start w:val="1"/>
      <w:numFmt w:val="lowerRoman"/>
      <w:lvlText w:val="%9."/>
      <w:lvlJc w:val="right"/>
      <w:pPr>
        <w:tabs>
          <w:tab w:val="num" w:pos="6894"/>
        </w:tabs>
        <w:ind w:left="6894" w:hanging="180"/>
      </w:pPr>
      <w:rPr>
        <w:rFonts w:cs="Times New Roman"/>
      </w:rPr>
    </w:lvl>
  </w:abstractNum>
  <w:abstractNum w:abstractNumId="12" w15:restartNumberingAfterBreak="0">
    <w:nsid w:val="72D94600"/>
    <w:multiLevelType w:val="hybridMultilevel"/>
    <w:tmpl w:val="33720428"/>
    <w:lvl w:ilvl="0" w:tplc="D0E2F4C8">
      <w:start w:val="1"/>
      <w:numFmt w:val="bullet"/>
      <w:lvlText w:val="-"/>
      <w:lvlJc w:val="left"/>
      <w:pPr>
        <w:tabs>
          <w:tab w:val="num" w:pos="930"/>
        </w:tabs>
        <w:ind w:left="930" w:hanging="57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366562498">
    <w:abstractNumId w:val="9"/>
  </w:num>
  <w:num w:numId="2" w16cid:durableId="464393536">
    <w:abstractNumId w:val="7"/>
  </w:num>
  <w:num w:numId="3" w16cid:durableId="325594453">
    <w:abstractNumId w:val="6"/>
  </w:num>
  <w:num w:numId="4" w16cid:durableId="1616713703">
    <w:abstractNumId w:val="5"/>
  </w:num>
  <w:num w:numId="5" w16cid:durableId="536820856">
    <w:abstractNumId w:val="4"/>
  </w:num>
  <w:num w:numId="6" w16cid:durableId="1695694908">
    <w:abstractNumId w:val="8"/>
  </w:num>
  <w:num w:numId="7" w16cid:durableId="1664353236">
    <w:abstractNumId w:val="3"/>
  </w:num>
  <w:num w:numId="8" w16cid:durableId="998996683">
    <w:abstractNumId w:val="2"/>
  </w:num>
  <w:num w:numId="9" w16cid:durableId="1375807269">
    <w:abstractNumId w:val="1"/>
  </w:num>
  <w:num w:numId="10" w16cid:durableId="1217163070">
    <w:abstractNumId w:val="0"/>
  </w:num>
  <w:num w:numId="11" w16cid:durableId="1438208335">
    <w:abstractNumId w:val="12"/>
  </w:num>
  <w:num w:numId="12" w16cid:durableId="1538279458">
    <w:abstractNumId w:val="10"/>
  </w:num>
  <w:num w:numId="13" w16cid:durableId="17120687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proofState w:spelling="clean" w:grammar="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stylePaneSortMethod w:val="000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392"/>
    <w:rsid w:val="00003ED5"/>
    <w:rsid w:val="00004A19"/>
    <w:rsid w:val="00005A03"/>
    <w:rsid w:val="00006678"/>
    <w:rsid w:val="000075F1"/>
    <w:rsid w:val="00014526"/>
    <w:rsid w:val="00014808"/>
    <w:rsid w:val="00015A2C"/>
    <w:rsid w:val="00015D0B"/>
    <w:rsid w:val="000171F8"/>
    <w:rsid w:val="00022AB9"/>
    <w:rsid w:val="000237C2"/>
    <w:rsid w:val="000273BE"/>
    <w:rsid w:val="00027664"/>
    <w:rsid w:val="00032200"/>
    <w:rsid w:val="0003560D"/>
    <w:rsid w:val="00040CA3"/>
    <w:rsid w:val="000410FE"/>
    <w:rsid w:val="000413B4"/>
    <w:rsid w:val="00046E96"/>
    <w:rsid w:val="00046FB4"/>
    <w:rsid w:val="00050C62"/>
    <w:rsid w:val="00051A7D"/>
    <w:rsid w:val="00053565"/>
    <w:rsid w:val="00053D23"/>
    <w:rsid w:val="00055C50"/>
    <w:rsid w:val="00056603"/>
    <w:rsid w:val="00056E73"/>
    <w:rsid w:val="0005749E"/>
    <w:rsid w:val="00057CBE"/>
    <w:rsid w:val="000640DE"/>
    <w:rsid w:val="00066678"/>
    <w:rsid w:val="000715BE"/>
    <w:rsid w:val="00074E5D"/>
    <w:rsid w:val="00075C7A"/>
    <w:rsid w:val="00083144"/>
    <w:rsid w:val="00093C07"/>
    <w:rsid w:val="00093D7D"/>
    <w:rsid w:val="00093EE3"/>
    <w:rsid w:val="000960D3"/>
    <w:rsid w:val="000969A1"/>
    <w:rsid w:val="00097232"/>
    <w:rsid w:val="000972E1"/>
    <w:rsid w:val="000A557E"/>
    <w:rsid w:val="000A6DD9"/>
    <w:rsid w:val="000B13CF"/>
    <w:rsid w:val="000B169B"/>
    <w:rsid w:val="000B2234"/>
    <w:rsid w:val="000B339E"/>
    <w:rsid w:val="000B5B65"/>
    <w:rsid w:val="000B6571"/>
    <w:rsid w:val="000C0CA9"/>
    <w:rsid w:val="000C29AB"/>
    <w:rsid w:val="000C2A75"/>
    <w:rsid w:val="000C4701"/>
    <w:rsid w:val="000C527E"/>
    <w:rsid w:val="000D0B72"/>
    <w:rsid w:val="000D1672"/>
    <w:rsid w:val="000D5239"/>
    <w:rsid w:val="000E04FE"/>
    <w:rsid w:val="000E085F"/>
    <w:rsid w:val="000E15D9"/>
    <w:rsid w:val="000E20E0"/>
    <w:rsid w:val="000E4A80"/>
    <w:rsid w:val="000E4C7A"/>
    <w:rsid w:val="000E5571"/>
    <w:rsid w:val="000E6611"/>
    <w:rsid w:val="000E7218"/>
    <w:rsid w:val="000E7431"/>
    <w:rsid w:val="000F043E"/>
    <w:rsid w:val="000F256B"/>
    <w:rsid w:val="000F3CB2"/>
    <w:rsid w:val="000F4A88"/>
    <w:rsid w:val="000F528D"/>
    <w:rsid w:val="000F702D"/>
    <w:rsid w:val="001053CF"/>
    <w:rsid w:val="0011238D"/>
    <w:rsid w:val="00112FD0"/>
    <w:rsid w:val="00115591"/>
    <w:rsid w:val="0011763A"/>
    <w:rsid w:val="001177C4"/>
    <w:rsid w:val="00117D4E"/>
    <w:rsid w:val="00124807"/>
    <w:rsid w:val="001252B0"/>
    <w:rsid w:val="00126205"/>
    <w:rsid w:val="00127D4A"/>
    <w:rsid w:val="00130211"/>
    <w:rsid w:val="0013130B"/>
    <w:rsid w:val="001409D8"/>
    <w:rsid w:val="001447E0"/>
    <w:rsid w:val="001463D3"/>
    <w:rsid w:val="00147307"/>
    <w:rsid w:val="001507E4"/>
    <w:rsid w:val="0015245B"/>
    <w:rsid w:val="0015382E"/>
    <w:rsid w:val="00162B4F"/>
    <w:rsid w:val="00166E26"/>
    <w:rsid w:val="00167A82"/>
    <w:rsid w:val="0017073C"/>
    <w:rsid w:val="00171990"/>
    <w:rsid w:val="001763DB"/>
    <w:rsid w:val="00177EA5"/>
    <w:rsid w:val="001806FE"/>
    <w:rsid w:val="00181306"/>
    <w:rsid w:val="001822F5"/>
    <w:rsid w:val="001853C0"/>
    <w:rsid w:val="00186AFE"/>
    <w:rsid w:val="00190E86"/>
    <w:rsid w:val="001918E2"/>
    <w:rsid w:val="0019549A"/>
    <w:rsid w:val="00195991"/>
    <w:rsid w:val="00196714"/>
    <w:rsid w:val="001A0EEB"/>
    <w:rsid w:val="001A1760"/>
    <w:rsid w:val="001A21B3"/>
    <w:rsid w:val="001A5347"/>
    <w:rsid w:val="001A730B"/>
    <w:rsid w:val="001A79FF"/>
    <w:rsid w:val="001B1704"/>
    <w:rsid w:val="001B2C77"/>
    <w:rsid w:val="001B428F"/>
    <w:rsid w:val="001B5864"/>
    <w:rsid w:val="001B58C3"/>
    <w:rsid w:val="001B61AB"/>
    <w:rsid w:val="001C100C"/>
    <w:rsid w:val="001C3DAF"/>
    <w:rsid w:val="001C5D24"/>
    <w:rsid w:val="001C6944"/>
    <w:rsid w:val="001C7265"/>
    <w:rsid w:val="001D1501"/>
    <w:rsid w:val="001D200F"/>
    <w:rsid w:val="001D29EC"/>
    <w:rsid w:val="001D5408"/>
    <w:rsid w:val="001D5FF3"/>
    <w:rsid w:val="001D6BFF"/>
    <w:rsid w:val="001D78A4"/>
    <w:rsid w:val="001D7E58"/>
    <w:rsid w:val="001E3B9E"/>
    <w:rsid w:val="001E5562"/>
    <w:rsid w:val="001E7F8A"/>
    <w:rsid w:val="001F0201"/>
    <w:rsid w:val="001F09C7"/>
    <w:rsid w:val="001F0B24"/>
    <w:rsid w:val="001F352A"/>
    <w:rsid w:val="001F4406"/>
    <w:rsid w:val="001F5D70"/>
    <w:rsid w:val="001F6B6F"/>
    <w:rsid w:val="00200F44"/>
    <w:rsid w:val="002010C2"/>
    <w:rsid w:val="00201372"/>
    <w:rsid w:val="002023EB"/>
    <w:rsid w:val="00202773"/>
    <w:rsid w:val="00202B28"/>
    <w:rsid w:val="00202EE0"/>
    <w:rsid w:val="00204B58"/>
    <w:rsid w:val="00205045"/>
    <w:rsid w:val="00211C58"/>
    <w:rsid w:val="00214525"/>
    <w:rsid w:val="00217C9F"/>
    <w:rsid w:val="00220D98"/>
    <w:rsid w:val="002235A2"/>
    <w:rsid w:val="0022421F"/>
    <w:rsid w:val="00224E9F"/>
    <w:rsid w:val="0022640A"/>
    <w:rsid w:val="00230D4B"/>
    <w:rsid w:val="002315F2"/>
    <w:rsid w:val="00231E43"/>
    <w:rsid w:val="00233E82"/>
    <w:rsid w:val="00235425"/>
    <w:rsid w:val="002371FD"/>
    <w:rsid w:val="00237B79"/>
    <w:rsid w:val="002471D5"/>
    <w:rsid w:val="0025361D"/>
    <w:rsid w:val="00253C26"/>
    <w:rsid w:val="00253E92"/>
    <w:rsid w:val="00255055"/>
    <w:rsid w:val="00255DD0"/>
    <w:rsid w:val="00257188"/>
    <w:rsid w:val="002576F6"/>
    <w:rsid w:val="002578B4"/>
    <w:rsid w:val="002629BD"/>
    <w:rsid w:val="002642B5"/>
    <w:rsid w:val="00272074"/>
    <w:rsid w:val="002732BB"/>
    <w:rsid w:val="0027409B"/>
    <w:rsid w:val="0027456E"/>
    <w:rsid w:val="00275EF8"/>
    <w:rsid w:val="00276339"/>
    <w:rsid w:val="00276A6F"/>
    <w:rsid w:val="002802F3"/>
    <w:rsid w:val="002816D2"/>
    <w:rsid w:val="002824BE"/>
    <w:rsid w:val="00283FC8"/>
    <w:rsid w:val="00285647"/>
    <w:rsid w:val="002A2EA3"/>
    <w:rsid w:val="002A4852"/>
    <w:rsid w:val="002A57E3"/>
    <w:rsid w:val="002B0CD9"/>
    <w:rsid w:val="002B317F"/>
    <w:rsid w:val="002B684C"/>
    <w:rsid w:val="002B6C81"/>
    <w:rsid w:val="002B75A7"/>
    <w:rsid w:val="002B78B3"/>
    <w:rsid w:val="002C0FE5"/>
    <w:rsid w:val="002C13B9"/>
    <w:rsid w:val="002C25AF"/>
    <w:rsid w:val="002C3D13"/>
    <w:rsid w:val="002D1213"/>
    <w:rsid w:val="002D207A"/>
    <w:rsid w:val="002D251B"/>
    <w:rsid w:val="002E120B"/>
    <w:rsid w:val="002E20D6"/>
    <w:rsid w:val="002E24F7"/>
    <w:rsid w:val="002E79C6"/>
    <w:rsid w:val="002F0B1D"/>
    <w:rsid w:val="002F3DC3"/>
    <w:rsid w:val="002F5546"/>
    <w:rsid w:val="002F6EA1"/>
    <w:rsid w:val="002F6FAE"/>
    <w:rsid w:val="002F736F"/>
    <w:rsid w:val="002F7461"/>
    <w:rsid w:val="00302911"/>
    <w:rsid w:val="00303069"/>
    <w:rsid w:val="00304676"/>
    <w:rsid w:val="00306982"/>
    <w:rsid w:val="0031047C"/>
    <w:rsid w:val="00312D85"/>
    <w:rsid w:val="00324167"/>
    <w:rsid w:val="0032611B"/>
    <w:rsid w:val="00326A4C"/>
    <w:rsid w:val="00333132"/>
    <w:rsid w:val="003340A3"/>
    <w:rsid w:val="00335B35"/>
    <w:rsid w:val="00337F61"/>
    <w:rsid w:val="00342815"/>
    <w:rsid w:val="003433B7"/>
    <w:rsid w:val="003466E8"/>
    <w:rsid w:val="003466E9"/>
    <w:rsid w:val="0035227D"/>
    <w:rsid w:val="00353D14"/>
    <w:rsid w:val="00355CBF"/>
    <w:rsid w:val="003565F7"/>
    <w:rsid w:val="00361DC0"/>
    <w:rsid w:val="00365686"/>
    <w:rsid w:val="00367C61"/>
    <w:rsid w:val="003701A8"/>
    <w:rsid w:val="0037444F"/>
    <w:rsid w:val="00374D21"/>
    <w:rsid w:val="00375BBA"/>
    <w:rsid w:val="0037782E"/>
    <w:rsid w:val="003810C1"/>
    <w:rsid w:val="00381E5A"/>
    <w:rsid w:val="0038225E"/>
    <w:rsid w:val="0038302F"/>
    <w:rsid w:val="00384745"/>
    <w:rsid w:val="00385872"/>
    <w:rsid w:val="003915D1"/>
    <w:rsid w:val="0039173C"/>
    <w:rsid w:val="00394B03"/>
    <w:rsid w:val="00395CE4"/>
    <w:rsid w:val="00397B27"/>
    <w:rsid w:val="003A0C0D"/>
    <w:rsid w:val="003A0ECA"/>
    <w:rsid w:val="003A1506"/>
    <w:rsid w:val="003A185D"/>
    <w:rsid w:val="003A3F14"/>
    <w:rsid w:val="003A434B"/>
    <w:rsid w:val="003A61DC"/>
    <w:rsid w:val="003A761D"/>
    <w:rsid w:val="003A774C"/>
    <w:rsid w:val="003A7C81"/>
    <w:rsid w:val="003B276A"/>
    <w:rsid w:val="003B470D"/>
    <w:rsid w:val="003B5608"/>
    <w:rsid w:val="003B6ED7"/>
    <w:rsid w:val="003C0AA9"/>
    <w:rsid w:val="003C36E0"/>
    <w:rsid w:val="003C42DE"/>
    <w:rsid w:val="003C49EA"/>
    <w:rsid w:val="003D3510"/>
    <w:rsid w:val="003D39E0"/>
    <w:rsid w:val="003D59E8"/>
    <w:rsid w:val="003E018F"/>
    <w:rsid w:val="003E10FA"/>
    <w:rsid w:val="003E1E43"/>
    <w:rsid w:val="003E2766"/>
    <w:rsid w:val="003E4824"/>
    <w:rsid w:val="003E6D8C"/>
    <w:rsid w:val="003F428F"/>
    <w:rsid w:val="003F4292"/>
    <w:rsid w:val="003F77A8"/>
    <w:rsid w:val="00400692"/>
    <w:rsid w:val="00401244"/>
    <w:rsid w:val="004014B0"/>
    <w:rsid w:val="00401F0D"/>
    <w:rsid w:val="00405596"/>
    <w:rsid w:val="00406179"/>
    <w:rsid w:val="00406227"/>
    <w:rsid w:val="0040663B"/>
    <w:rsid w:val="00413C36"/>
    <w:rsid w:val="00414B82"/>
    <w:rsid w:val="00414DDA"/>
    <w:rsid w:val="00416440"/>
    <w:rsid w:val="004220EA"/>
    <w:rsid w:val="00423108"/>
    <w:rsid w:val="0042363E"/>
    <w:rsid w:val="00425658"/>
    <w:rsid w:val="00426AC1"/>
    <w:rsid w:val="00433A34"/>
    <w:rsid w:val="0043422D"/>
    <w:rsid w:val="004423B0"/>
    <w:rsid w:val="00444228"/>
    <w:rsid w:val="00445219"/>
    <w:rsid w:val="00446AA8"/>
    <w:rsid w:val="00453CD6"/>
    <w:rsid w:val="004542C1"/>
    <w:rsid w:val="004545DA"/>
    <w:rsid w:val="00461A8F"/>
    <w:rsid w:val="00461F92"/>
    <w:rsid w:val="00462902"/>
    <w:rsid w:val="004648AF"/>
    <w:rsid w:val="004649F8"/>
    <w:rsid w:val="004676C0"/>
    <w:rsid w:val="00471899"/>
    <w:rsid w:val="00472BA1"/>
    <w:rsid w:val="00473962"/>
    <w:rsid w:val="0047406F"/>
    <w:rsid w:val="00481B25"/>
    <w:rsid w:val="0048341F"/>
    <w:rsid w:val="00484AB9"/>
    <w:rsid w:val="004869DA"/>
    <w:rsid w:val="004958CB"/>
    <w:rsid w:val="004A1AC1"/>
    <w:rsid w:val="004A63FE"/>
    <w:rsid w:val="004B0FAC"/>
    <w:rsid w:val="004B39C5"/>
    <w:rsid w:val="004B677A"/>
    <w:rsid w:val="004B67AA"/>
    <w:rsid w:val="004C75AD"/>
    <w:rsid w:val="004D0CCC"/>
    <w:rsid w:val="004D15DE"/>
    <w:rsid w:val="004D2102"/>
    <w:rsid w:val="004D2AEB"/>
    <w:rsid w:val="004D5FA3"/>
    <w:rsid w:val="004E150E"/>
    <w:rsid w:val="004E1595"/>
    <w:rsid w:val="004E16BE"/>
    <w:rsid w:val="004E197A"/>
    <w:rsid w:val="004E237A"/>
    <w:rsid w:val="004E3EB9"/>
    <w:rsid w:val="004E59CA"/>
    <w:rsid w:val="004E61E9"/>
    <w:rsid w:val="004F3073"/>
    <w:rsid w:val="004F40C7"/>
    <w:rsid w:val="004F4986"/>
    <w:rsid w:val="004F5F61"/>
    <w:rsid w:val="004F63EB"/>
    <w:rsid w:val="004F66E1"/>
    <w:rsid w:val="004F79C1"/>
    <w:rsid w:val="004F7CE1"/>
    <w:rsid w:val="005014FA"/>
    <w:rsid w:val="00501F6D"/>
    <w:rsid w:val="00502527"/>
    <w:rsid w:val="00502F6B"/>
    <w:rsid w:val="005045E6"/>
    <w:rsid w:val="00507073"/>
    <w:rsid w:val="005071F2"/>
    <w:rsid w:val="0051068E"/>
    <w:rsid w:val="005115ED"/>
    <w:rsid w:val="00511EC4"/>
    <w:rsid w:val="00515E95"/>
    <w:rsid w:val="00516700"/>
    <w:rsid w:val="00523132"/>
    <w:rsid w:val="00523135"/>
    <w:rsid w:val="00523E26"/>
    <w:rsid w:val="00524494"/>
    <w:rsid w:val="00524F13"/>
    <w:rsid w:val="005268DE"/>
    <w:rsid w:val="00531259"/>
    <w:rsid w:val="0053287E"/>
    <w:rsid w:val="00534AB6"/>
    <w:rsid w:val="005356FD"/>
    <w:rsid w:val="00536C2A"/>
    <w:rsid w:val="00537938"/>
    <w:rsid w:val="00540A48"/>
    <w:rsid w:val="0054496A"/>
    <w:rsid w:val="005463D4"/>
    <w:rsid w:val="0054644E"/>
    <w:rsid w:val="005466D0"/>
    <w:rsid w:val="00546892"/>
    <w:rsid w:val="0054699D"/>
    <w:rsid w:val="0055050D"/>
    <w:rsid w:val="00551235"/>
    <w:rsid w:val="005521A6"/>
    <w:rsid w:val="00553258"/>
    <w:rsid w:val="005536C7"/>
    <w:rsid w:val="00554E24"/>
    <w:rsid w:val="005610F0"/>
    <w:rsid w:val="0056395A"/>
    <w:rsid w:val="00565E64"/>
    <w:rsid w:val="00567130"/>
    <w:rsid w:val="00573BC2"/>
    <w:rsid w:val="005741E5"/>
    <w:rsid w:val="00575907"/>
    <w:rsid w:val="00576C04"/>
    <w:rsid w:val="00577207"/>
    <w:rsid w:val="00577F3A"/>
    <w:rsid w:val="005805E4"/>
    <w:rsid w:val="00582912"/>
    <w:rsid w:val="00585E02"/>
    <w:rsid w:val="00586488"/>
    <w:rsid w:val="00587AA8"/>
    <w:rsid w:val="00587D48"/>
    <w:rsid w:val="00590E3C"/>
    <w:rsid w:val="00591767"/>
    <w:rsid w:val="00593E0A"/>
    <w:rsid w:val="00596322"/>
    <w:rsid w:val="00597756"/>
    <w:rsid w:val="005979F8"/>
    <w:rsid w:val="005A224E"/>
    <w:rsid w:val="005A26CF"/>
    <w:rsid w:val="005A29CA"/>
    <w:rsid w:val="005A2AD2"/>
    <w:rsid w:val="005A35D1"/>
    <w:rsid w:val="005A3D1D"/>
    <w:rsid w:val="005A5A48"/>
    <w:rsid w:val="005A636A"/>
    <w:rsid w:val="005B2B67"/>
    <w:rsid w:val="005B32D6"/>
    <w:rsid w:val="005B38DC"/>
    <w:rsid w:val="005C1D03"/>
    <w:rsid w:val="005C4053"/>
    <w:rsid w:val="005C4FB8"/>
    <w:rsid w:val="005D1D95"/>
    <w:rsid w:val="005D20FB"/>
    <w:rsid w:val="005E1350"/>
    <w:rsid w:val="005E2751"/>
    <w:rsid w:val="005E4059"/>
    <w:rsid w:val="005E4B45"/>
    <w:rsid w:val="005E4B7D"/>
    <w:rsid w:val="005E6673"/>
    <w:rsid w:val="005F0D0D"/>
    <w:rsid w:val="005F1778"/>
    <w:rsid w:val="005F7DC9"/>
    <w:rsid w:val="0060333E"/>
    <w:rsid w:val="00603B49"/>
    <w:rsid w:val="006042F4"/>
    <w:rsid w:val="00604DAF"/>
    <w:rsid w:val="00611488"/>
    <w:rsid w:val="00611B15"/>
    <w:rsid w:val="00617145"/>
    <w:rsid w:val="0061732C"/>
    <w:rsid w:val="00617AE4"/>
    <w:rsid w:val="00617BE4"/>
    <w:rsid w:val="00620258"/>
    <w:rsid w:val="00620660"/>
    <w:rsid w:val="00620F32"/>
    <w:rsid w:val="006213E7"/>
    <w:rsid w:val="00621E38"/>
    <w:rsid w:val="0062228A"/>
    <w:rsid w:val="006422DC"/>
    <w:rsid w:val="006438BD"/>
    <w:rsid w:val="00646482"/>
    <w:rsid w:val="00646A3A"/>
    <w:rsid w:val="00650A04"/>
    <w:rsid w:val="00650B49"/>
    <w:rsid w:val="00651F6B"/>
    <w:rsid w:val="00652C0B"/>
    <w:rsid w:val="0065503D"/>
    <w:rsid w:val="006610BA"/>
    <w:rsid w:val="00662527"/>
    <w:rsid w:val="006629E0"/>
    <w:rsid w:val="0066351B"/>
    <w:rsid w:val="0066480D"/>
    <w:rsid w:val="0067065E"/>
    <w:rsid w:val="00674479"/>
    <w:rsid w:val="00674599"/>
    <w:rsid w:val="00675185"/>
    <w:rsid w:val="006776EA"/>
    <w:rsid w:val="00680F62"/>
    <w:rsid w:val="00681B31"/>
    <w:rsid w:val="00683971"/>
    <w:rsid w:val="0068645F"/>
    <w:rsid w:val="00686D43"/>
    <w:rsid w:val="0069021A"/>
    <w:rsid w:val="006909AD"/>
    <w:rsid w:val="00692440"/>
    <w:rsid w:val="006927F6"/>
    <w:rsid w:val="00695E26"/>
    <w:rsid w:val="00697E5C"/>
    <w:rsid w:val="006A03CF"/>
    <w:rsid w:val="006A10AC"/>
    <w:rsid w:val="006A1BA5"/>
    <w:rsid w:val="006A48B7"/>
    <w:rsid w:val="006A55B6"/>
    <w:rsid w:val="006B02BD"/>
    <w:rsid w:val="006B3AEE"/>
    <w:rsid w:val="006B4985"/>
    <w:rsid w:val="006B4F10"/>
    <w:rsid w:val="006C02E8"/>
    <w:rsid w:val="006C11F5"/>
    <w:rsid w:val="006C2772"/>
    <w:rsid w:val="006C2A91"/>
    <w:rsid w:val="006C2E3B"/>
    <w:rsid w:val="006C362B"/>
    <w:rsid w:val="006C37B0"/>
    <w:rsid w:val="006C3EB5"/>
    <w:rsid w:val="006C420B"/>
    <w:rsid w:val="006C7EB8"/>
    <w:rsid w:val="006D0D32"/>
    <w:rsid w:val="006D1046"/>
    <w:rsid w:val="006D77BE"/>
    <w:rsid w:val="006E0C48"/>
    <w:rsid w:val="006E3940"/>
    <w:rsid w:val="006E57C8"/>
    <w:rsid w:val="006E79C9"/>
    <w:rsid w:val="006E7D9F"/>
    <w:rsid w:val="006F56C6"/>
    <w:rsid w:val="006F5BA2"/>
    <w:rsid w:val="006F74AF"/>
    <w:rsid w:val="007016D6"/>
    <w:rsid w:val="00702908"/>
    <w:rsid w:val="00704E42"/>
    <w:rsid w:val="00706323"/>
    <w:rsid w:val="00706D94"/>
    <w:rsid w:val="007071B4"/>
    <w:rsid w:val="00710152"/>
    <w:rsid w:val="007112FC"/>
    <w:rsid w:val="00711CCD"/>
    <w:rsid w:val="007132AE"/>
    <w:rsid w:val="00713CF2"/>
    <w:rsid w:val="00715487"/>
    <w:rsid w:val="0071655E"/>
    <w:rsid w:val="00716FEB"/>
    <w:rsid w:val="00727D3E"/>
    <w:rsid w:val="00730F00"/>
    <w:rsid w:val="007323C3"/>
    <w:rsid w:val="0073319E"/>
    <w:rsid w:val="00733F7E"/>
    <w:rsid w:val="00734C6D"/>
    <w:rsid w:val="00740ADC"/>
    <w:rsid w:val="0074301C"/>
    <w:rsid w:val="00743023"/>
    <w:rsid w:val="00743FF7"/>
    <w:rsid w:val="00746BC0"/>
    <w:rsid w:val="00750829"/>
    <w:rsid w:val="00750EE5"/>
    <w:rsid w:val="0075136F"/>
    <w:rsid w:val="00753705"/>
    <w:rsid w:val="00753B98"/>
    <w:rsid w:val="00755AE8"/>
    <w:rsid w:val="007607C0"/>
    <w:rsid w:val="00761F8F"/>
    <w:rsid w:val="00762938"/>
    <w:rsid w:val="007638CF"/>
    <w:rsid w:val="0076605C"/>
    <w:rsid w:val="00767035"/>
    <w:rsid w:val="0077109C"/>
    <w:rsid w:val="0077489F"/>
    <w:rsid w:val="007838F5"/>
    <w:rsid w:val="007844D3"/>
    <w:rsid w:val="00785921"/>
    <w:rsid w:val="007872AB"/>
    <w:rsid w:val="00792410"/>
    <w:rsid w:val="00792684"/>
    <w:rsid w:val="0079304C"/>
    <w:rsid w:val="007939EF"/>
    <w:rsid w:val="00794F1D"/>
    <w:rsid w:val="007A3270"/>
    <w:rsid w:val="007A6FF5"/>
    <w:rsid w:val="007B2866"/>
    <w:rsid w:val="007C43A3"/>
    <w:rsid w:val="007D06DC"/>
    <w:rsid w:val="007D40C4"/>
    <w:rsid w:val="007E13E6"/>
    <w:rsid w:val="007E2C59"/>
    <w:rsid w:val="007E383B"/>
    <w:rsid w:val="007E3B62"/>
    <w:rsid w:val="007E4520"/>
    <w:rsid w:val="007E4BC7"/>
    <w:rsid w:val="007E6D15"/>
    <w:rsid w:val="007E7230"/>
    <w:rsid w:val="007F23A3"/>
    <w:rsid w:val="007F2ECE"/>
    <w:rsid w:val="007F7D80"/>
    <w:rsid w:val="008075D5"/>
    <w:rsid w:val="00811230"/>
    <w:rsid w:val="0082338B"/>
    <w:rsid w:val="00824C34"/>
    <w:rsid w:val="00826EF1"/>
    <w:rsid w:val="008300E4"/>
    <w:rsid w:val="0083067B"/>
    <w:rsid w:val="00841726"/>
    <w:rsid w:val="00845EC4"/>
    <w:rsid w:val="00846C73"/>
    <w:rsid w:val="008470C6"/>
    <w:rsid w:val="00847517"/>
    <w:rsid w:val="00850AEF"/>
    <w:rsid w:val="008552BC"/>
    <w:rsid w:val="00855F0B"/>
    <w:rsid w:val="008577A0"/>
    <w:rsid w:val="008579A7"/>
    <w:rsid w:val="00861E76"/>
    <w:rsid w:val="0086302A"/>
    <w:rsid w:val="00864136"/>
    <w:rsid w:val="008649B8"/>
    <w:rsid w:val="00872075"/>
    <w:rsid w:val="00873E84"/>
    <w:rsid w:val="00884B66"/>
    <w:rsid w:val="008923DA"/>
    <w:rsid w:val="008929EA"/>
    <w:rsid w:val="008930C3"/>
    <w:rsid w:val="00893734"/>
    <w:rsid w:val="00896B87"/>
    <w:rsid w:val="008A14A2"/>
    <w:rsid w:val="008A29FB"/>
    <w:rsid w:val="008A36AB"/>
    <w:rsid w:val="008A6FB6"/>
    <w:rsid w:val="008A71A0"/>
    <w:rsid w:val="008A78DA"/>
    <w:rsid w:val="008B187F"/>
    <w:rsid w:val="008B2524"/>
    <w:rsid w:val="008B386F"/>
    <w:rsid w:val="008B4B40"/>
    <w:rsid w:val="008C2FC9"/>
    <w:rsid w:val="008D3BE2"/>
    <w:rsid w:val="008D3D86"/>
    <w:rsid w:val="008D521B"/>
    <w:rsid w:val="008D5D0E"/>
    <w:rsid w:val="008D6177"/>
    <w:rsid w:val="008D71B0"/>
    <w:rsid w:val="008D7FF0"/>
    <w:rsid w:val="008E1B87"/>
    <w:rsid w:val="008E2A12"/>
    <w:rsid w:val="008E3CD1"/>
    <w:rsid w:val="008E5441"/>
    <w:rsid w:val="008E6832"/>
    <w:rsid w:val="008F284F"/>
    <w:rsid w:val="008F2D4D"/>
    <w:rsid w:val="008F5294"/>
    <w:rsid w:val="008F54F7"/>
    <w:rsid w:val="008F7023"/>
    <w:rsid w:val="008F75D7"/>
    <w:rsid w:val="00901E88"/>
    <w:rsid w:val="00901F82"/>
    <w:rsid w:val="00906137"/>
    <w:rsid w:val="00906DD5"/>
    <w:rsid w:val="00911089"/>
    <w:rsid w:val="00917FB3"/>
    <w:rsid w:val="00926774"/>
    <w:rsid w:val="0092719A"/>
    <w:rsid w:val="00930C3D"/>
    <w:rsid w:val="00932B9F"/>
    <w:rsid w:val="009334B3"/>
    <w:rsid w:val="009339AF"/>
    <w:rsid w:val="00937EA4"/>
    <w:rsid w:val="00941FA3"/>
    <w:rsid w:val="0094510B"/>
    <w:rsid w:val="00947363"/>
    <w:rsid w:val="00947B43"/>
    <w:rsid w:val="00947C06"/>
    <w:rsid w:val="00950796"/>
    <w:rsid w:val="00950E0F"/>
    <w:rsid w:val="009518C4"/>
    <w:rsid w:val="00951A7E"/>
    <w:rsid w:val="00954625"/>
    <w:rsid w:val="009549B6"/>
    <w:rsid w:val="0096156C"/>
    <w:rsid w:val="00961F52"/>
    <w:rsid w:val="00962A57"/>
    <w:rsid w:val="009639E0"/>
    <w:rsid w:val="00965468"/>
    <w:rsid w:val="00967D57"/>
    <w:rsid w:val="00970392"/>
    <w:rsid w:val="00970F39"/>
    <w:rsid w:val="00972ED6"/>
    <w:rsid w:val="00975D77"/>
    <w:rsid w:val="0097667C"/>
    <w:rsid w:val="00980117"/>
    <w:rsid w:val="00980D4E"/>
    <w:rsid w:val="00981740"/>
    <w:rsid w:val="00983786"/>
    <w:rsid w:val="00986576"/>
    <w:rsid w:val="009866F0"/>
    <w:rsid w:val="00991283"/>
    <w:rsid w:val="00993930"/>
    <w:rsid w:val="009A0410"/>
    <w:rsid w:val="009A0D5B"/>
    <w:rsid w:val="009A14D3"/>
    <w:rsid w:val="009A47A2"/>
    <w:rsid w:val="009A56BE"/>
    <w:rsid w:val="009A5778"/>
    <w:rsid w:val="009A5B8C"/>
    <w:rsid w:val="009A5F91"/>
    <w:rsid w:val="009A6AAC"/>
    <w:rsid w:val="009A7334"/>
    <w:rsid w:val="009B2293"/>
    <w:rsid w:val="009B26E8"/>
    <w:rsid w:val="009B52ED"/>
    <w:rsid w:val="009B5C6C"/>
    <w:rsid w:val="009B6118"/>
    <w:rsid w:val="009C061B"/>
    <w:rsid w:val="009C06F0"/>
    <w:rsid w:val="009C36BA"/>
    <w:rsid w:val="009C3D0B"/>
    <w:rsid w:val="009C6891"/>
    <w:rsid w:val="009C7F00"/>
    <w:rsid w:val="009D0064"/>
    <w:rsid w:val="009D20D2"/>
    <w:rsid w:val="009D5674"/>
    <w:rsid w:val="009E0255"/>
    <w:rsid w:val="009E369F"/>
    <w:rsid w:val="009F279B"/>
    <w:rsid w:val="009F79BB"/>
    <w:rsid w:val="00A009FF"/>
    <w:rsid w:val="00A00B7A"/>
    <w:rsid w:val="00A01D3A"/>
    <w:rsid w:val="00A035A3"/>
    <w:rsid w:val="00A06CB2"/>
    <w:rsid w:val="00A07160"/>
    <w:rsid w:val="00A104C3"/>
    <w:rsid w:val="00A11C33"/>
    <w:rsid w:val="00A16046"/>
    <w:rsid w:val="00A225DB"/>
    <w:rsid w:val="00A2287A"/>
    <w:rsid w:val="00A27221"/>
    <w:rsid w:val="00A306FA"/>
    <w:rsid w:val="00A335F2"/>
    <w:rsid w:val="00A366E4"/>
    <w:rsid w:val="00A3778F"/>
    <w:rsid w:val="00A4062B"/>
    <w:rsid w:val="00A453F2"/>
    <w:rsid w:val="00A465F3"/>
    <w:rsid w:val="00A46DED"/>
    <w:rsid w:val="00A4775F"/>
    <w:rsid w:val="00A502DA"/>
    <w:rsid w:val="00A513C4"/>
    <w:rsid w:val="00A542B9"/>
    <w:rsid w:val="00A5456B"/>
    <w:rsid w:val="00A57C1B"/>
    <w:rsid w:val="00A57D5D"/>
    <w:rsid w:val="00A6044D"/>
    <w:rsid w:val="00A6137B"/>
    <w:rsid w:val="00A626E0"/>
    <w:rsid w:val="00A641DE"/>
    <w:rsid w:val="00A6542C"/>
    <w:rsid w:val="00A704DB"/>
    <w:rsid w:val="00A71FE1"/>
    <w:rsid w:val="00A735A3"/>
    <w:rsid w:val="00A7445A"/>
    <w:rsid w:val="00A74F7E"/>
    <w:rsid w:val="00A77CDB"/>
    <w:rsid w:val="00A8214A"/>
    <w:rsid w:val="00A8371C"/>
    <w:rsid w:val="00A8513B"/>
    <w:rsid w:val="00A868C4"/>
    <w:rsid w:val="00A9018B"/>
    <w:rsid w:val="00A903C3"/>
    <w:rsid w:val="00A91785"/>
    <w:rsid w:val="00A93020"/>
    <w:rsid w:val="00A9407A"/>
    <w:rsid w:val="00A95A39"/>
    <w:rsid w:val="00AA106D"/>
    <w:rsid w:val="00AA1AEA"/>
    <w:rsid w:val="00AA4381"/>
    <w:rsid w:val="00AA599C"/>
    <w:rsid w:val="00AB1541"/>
    <w:rsid w:val="00AB190D"/>
    <w:rsid w:val="00AB1927"/>
    <w:rsid w:val="00AB358B"/>
    <w:rsid w:val="00AB372F"/>
    <w:rsid w:val="00AB3821"/>
    <w:rsid w:val="00AC1E7A"/>
    <w:rsid w:val="00AC2DD5"/>
    <w:rsid w:val="00AC3A4C"/>
    <w:rsid w:val="00AC4D7C"/>
    <w:rsid w:val="00AC628F"/>
    <w:rsid w:val="00AD5D22"/>
    <w:rsid w:val="00AD6074"/>
    <w:rsid w:val="00AD615F"/>
    <w:rsid w:val="00AD7BF9"/>
    <w:rsid w:val="00AD7D7F"/>
    <w:rsid w:val="00AE0AC5"/>
    <w:rsid w:val="00AE43BE"/>
    <w:rsid w:val="00AE667F"/>
    <w:rsid w:val="00AF25E1"/>
    <w:rsid w:val="00AF5A03"/>
    <w:rsid w:val="00AF7A24"/>
    <w:rsid w:val="00B00286"/>
    <w:rsid w:val="00B0039C"/>
    <w:rsid w:val="00B02398"/>
    <w:rsid w:val="00B034F7"/>
    <w:rsid w:val="00B0416F"/>
    <w:rsid w:val="00B05C8A"/>
    <w:rsid w:val="00B05D9E"/>
    <w:rsid w:val="00B06C02"/>
    <w:rsid w:val="00B10B0D"/>
    <w:rsid w:val="00B12422"/>
    <w:rsid w:val="00B1377C"/>
    <w:rsid w:val="00B14684"/>
    <w:rsid w:val="00B14E40"/>
    <w:rsid w:val="00B1523B"/>
    <w:rsid w:val="00B1733E"/>
    <w:rsid w:val="00B22596"/>
    <w:rsid w:val="00B26D73"/>
    <w:rsid w:val="00B27061"/>
    <w:rsid w:val="00B3661A"/>
    <w:rsid w:val="00B37433"/>
    <w:rsid w:val="00B40192"/>
    <w:rsid w:val="00B40AF4"/>
    <w:rsid w:val="00B46E3B"/>
    <w:rsid w:val="00B474D9"/>
    <w:rsid w:val="00B54322"/>
    <w:rsid w:val="00B54D74"/>
    <w:rsid w:val="00B62918"/>
    <w:rsid w:val="00B6763D"/>
    <w:rsid w:val="00B701B5"/>
    <w:rsid w:val="00B714C0"/>
    <w:rsid w:val="00B71AC6"/>
    <w:rsid w:val="00B72104"/>
    <w:rsid w:val="00B767BB"/>
    <w:rsid w:val="00B80449"/>
    <w:rsid w:val="00B82F1B"/>
    <w:rsid w:val="00B83C27"/>
    <w:rsid w:val="00B84384"/>
    <w:rsid w:val="00B84465"/>
    <w:rsid w:val="00B875AF"/>
    <w:rsid w:val="00B87FF2"/>
    <w:rsid w:val="00B9072C"/>
    <w:rsid w:val="00B930AC"/>
    <w:rsid w:val="00B93F32"/>
    <w:rsid w:val="00B947D2"/>
    <w:rsid w:val="00BA0BE6"/>
    <w:rsid w:val="00BA154E"/>
    <w:rsid w:val="00BA1CC9"/>
    <w:rsid w:val="00BA4DD3"/>
    <w:rsid w:val="00BA4F4B"/>
    <w:rsid w:val="00BA53E8"/>
    <w:rsid w:val="00BA765D"/>
    <w:rsid w:val="00BA7883"/>
    <w:rsid w:val="00BB0DC4"/>
    <w:rsid w:val="00BB5544"/>
    <w:rsid w:val="00BC1B4D"/>
    <w:rsid w:val="00BC2098"/>
    <w:rsid w:val="00BC7A5D"/>
    <w:rsid w:val="00BD01D9"/>
    <w:rsid w:val="00BD0C75"/>
    <w:rsid w:val="00BD0EBB"/>
    <w:rsid w:val="00BD149B"/>
    <w:rsid w:val="00BD18B1"/>
    <w:rsid w:val="00BD2884"/>
    <w:rsid w:val="00BD3AA2"/>
    <w:rsid w:val="00BD59D7"/>
    <w:rsid w:val="00BE096F"/>
    <w:rsid w:val="00BE55C6"/>
    <w:rsid w:val="00BF06B3"/>
    <w:rsid w:val="00BF374F"/>
    <w:rsid w:val="00BF610D"/>
    <w:rsid w:val="00BF720B"/>
    <w:rsid w:val="00C04511"/>
    <w:rsid w:val="00C0646F"/>
    <w:rsid w:val="00C07CF1"/>
    <w:rsid w:val="00C120B3"/>
    <w:rsid w:val="00C12F1B"/>
    <w:rsid w:val="00C159BA"/>
    <w:rsid w:val="00C16846"/>
    <w:rsid w:val="00C20731"/>
    <w:rsid w:val="00C2153F"/>
    <w:rsid w:val="00C2311B"/>
    <w:rsid w:val="00C238F5"/>
    <w:rsid w:val="00C25616"/>
    <w:rsid w:val="00C25737"/>
    <w:rsid w:val="00C30A67"/>
    <w:rsid w:val="00C32565"/>
    <w:rsid w:val="00C341F3"/>
    <w:rsid w:val="00C430C6"/>
    <w:rsid w:val="00C43888"/>
    <w:rsid w:val="00C439BE"/>
    <w:rsid w:val="00C470D6"/>
    <w:rsid w:val="00C47580"/>
    <w:rsid w:val="00C52D1E"/>
    <w:rsid w:val="00C548BF"/>
    <w:rsid w:val="00C54CFB"/>
    <w:rsid w:val="00C5780B"/>
    <w:rsid w:val="00C60285"/>
    <w:rsid w:val="00C6627E"/>
    <w:rsid w:val="00C71396"/>
    <w:rsid w:val="00C73415"/>
    <w:rsid w:val="00C7395D"/>
    <w:rsid w:val="00C7703B"/>
    <w:rsid w:val="00C77966"/>
    <w:rsid w:val="00C779E4"/>
    <w:rsid w:val="00C77ECB"/>
    <w:rsid w:val="00C80590"/>
    <w:rsid w:val="00C80E21"/>
    <w:rsid w:val="00C80FE3"/>
    <w:rsid w:val="00C82928"/>
    <w:rsid w:val="00C83D62"/>
    <w:rsid w:val="00C938C1"/>
    <w:rsid w:val="00C976F3"/>
    <w:rsid w:val="00CA0C39"/>
    <w:rsid w:val="00CA33B8"/>
    <w:rsid w:val="00CA38C9"/>
    <w:rsid w:val="00CA428E"/>
    <w:rsid w:val="00CA4E93"/>
    <w:rsid w:val="00CA65A0"/>
    <w:rsid w:val="00CB1C43"/>
    <w:rsid w:val="00CB3394"/>
    <w:rsid w:val="00CB5F2E"/>
    <w:rsid w:val="00CB617D"/>
    <w:rsid w:val="00CC1C62"/>
    <w:rsid w:val="00CC6C27"/>
    <w:rsid w:val="00CC719B"/>
    <w:rsid w:val="00CC7DDA"/>
    <w:rsid w:val="00CC7E0B"/>
    <w:rsid w:val="00CD7B99"/>
    <w:rsid w:val="00CD7C7E"/>
    <w:rsid w:val="00CE3355"/>
    <w:rsid w:val="00CE40BB"/>
    <w:rsid w:val="00CE4F75"/>
    <w:rsid w:val="00CF1782"/>
    <w:rsid w:val="00CF2597"/>
    <w:rsid w:val="00CF36EA"/>
    <w:rsid w:val="00CF6871"/>
    <w:rsid w:val="00CF7365"/>
    <w:rsid w:val="00CF78EF"/>
    <w:rsid w:val="00D00B30"/>
    <w:rsid w:val="00D03896"/>
    <w:rsid w:val="00D0648B"/>
    <w:rsid w:val="00D0720C"/>
    <w:rsid w:val="00D10091"/>
    <w:rsid w:val="00D133EB"/>
    <w:rsid w:val="00D157CE"/>
    <w:rsid w:val="00D22C9A"/>
    <w:rsid w:val="00D2304D"/>
    <w:rsid w:val="00D31F48"/>
    <w:rsid w:val="00D36206"/>
    <w:rsid w:val="00D409A0"/>
    <w:rsid w:val="00D4153A"/>
    <w:rsid w:val="00D44B82"/>
    <w:rsid w:val="00D5128E"/>
    <w:rsid w:val="00D53A54"/>
    <w:rsid w:val="00D550C4"/>
    <w:rsid w:val="00D56429"/>
    <w:rsid w:val="00D60EBD"/>
    <w:rsid w:val="00D6289F"/>
    <w:rsid w:val="00D628EF"/>
    <w:rsid w:val="00D63292"/>
    <w:rsid w:val="00D64281"/>
    <w:rsid w:val="00D64AAB"/>
    <w:rsid w:val="00D704FF"/>
    <w:rsid w:val="00D75657"/>
    <w:rsid w:val="00D80532"/>
    <w:rsid w:val="00D80807"/>
    <w:rsid w:val="00D820F8"/>
    <w:rsid w:val="00D83C63"/>
    <w:rsid w:val="00D8575C"/>
    <w:rsid w:val="00D8766E"/>
    <w:rsid w:val="00D87904"/>
    <w:rsid w:val="00D90B8A"/>
    <w:rsid w:val="00D92E12"/>
    <w:rsid w:val="00D9476C"/>
    <w:rsid w:val="00D95974"/>
    <w:rsid w:val="00D9683B"/>
    <w:rsid w:val="00DA0273"/>
    <w:rsid w:val="00DA3015"/>
    <w:rsid w:val="00DA41BB"/>
    <w:rsid w:val="00DA686F"/>
    <w:rsid w:val="00DB6324"/>
    <w:rsid w:val="00DB7A0C"/>
    <w:rsid w:val="00DC1485"/>
    <w:rsid w:val="00DC27E7"/>
    <w:rsid w:val="00DC32A3"/>
    <w:rsid w:val="00DC5942"/>
    <w:rsid w:val="00DC5B26"/>
    <w:rsid w:val="00DD036A"/>
    <w:rsid w:val="00DD26B1"/>
    <w:rsid w:val="00DE0A8F"/>
    <w:rsid w:val="00DE0C05"/>
    <w:rsid w:val="00DE14CB"/>
    <w:rsid w:val="00DE2118"/>
    <w:rsid w:val="00DE3D7D"/>
    <w:rsid w:val="00DE3EC6"/>
    <w:rsid w:val="00DF10EF"/>
    <w:rsid w:val="00DF23FC"/>
    <w:rsid w:val="00DF29E4"/>
    <w:rsid w:val="00DF37A9"/>
    <w:rsid w:val="00DF39CD"/>
    <w:rsid w:val="00DF3B30"/>
    <w:rsid w:val="00DF4C84"/>
    <w:rsid w:val="00DF4F88"/>
    <w:rsid w:val="00DF7846"/>
    <w:rsid w:val="00DF7F38"/>
    <w:rsid w:val="00E024EA"/>
    <w:rsid w:val="00E02C57"/>
    <w:rsid w:val="00E032F4"/>
    <w:rsid w:val="00E033F6"/>
    <w:rsid w:val="00E04477"/>
    <w:rsid w:val="00E07D45"/>
    <w:rsid w:val="00E07FB8"/>
    <w:rsid w:val="00E11B8D"/>
    <w:rsid w:val="00E11BFC"/>
    <w:rsid w:val="00E12128"/>
    <w:rsid w:val="00E140E4"/>
    <w:rsid w:val="00E14413"/>
    <w:rsid w:val="00E20102"/>
    <w:rsid w:val="00E224C4"/>
    <w:rsid w:val="00E24590"/>
    <w:rsid w:val="00E275BA"/>
    <w:rsid w:val="00E313E9"/>
    <w:rsid w:val="00E33424"/>
    <w:rsid w:val="00E350E8"/>
    <w:rsid w:val="00E35AD7"/>
    <w:rsid w:val="00E36718"/>
    <w:rsid w:val="00E376E3"/>
    <w:rsid w:val="00E42FCB"/>
    <w:rsid w:val="00E50C87"/>
    <w:rsid w:val="00E51FB8"/>
    <w:rsid w:val="00E521B4"/>
    <w:rsid w:val="00E53CED"/>
    <w:rsid w:val="00E542ED"/>
    <w:rsid w:val="00E54571"/>
    <w:rsid w:val="00E5552F"/>
    <w:rsid w:val="00E556D1"/>
    <w:rsid w:val="00E56E57"/>
    <w:rsid w:val="00E5739B"/>
    <w:rsid w:val="00E623BB"/>
    <w:rsid w:val="00E657C9"/>
    <w:rsid w:val="00E67950"/>
    <w:rsid w:val="00E7609D"/>
    <w:rsid w:val="00E83936"/>
    <w:rsid w:val="00E83C20"/>
    <w:rsid w:val="00E900EB"/>
    <w:rsid w:val="00E91163"/>
    <w:rsid w:val="00E930F5"/>
    <w:rsid w:val="00E97FCB"/>
    <w:rsid w:val="00EA36BF"/>
    <w:rsid w:val="00EA4CBA"/>
    <w:rsid w:val="00EA6527"/>
    <w:rsid w:val="00EA656F"/>
    <w:rsid w:val="00EB1336"/>
    <w:rsid w:val="00EB3ADA"/>
    <w:rsid w:val="00EB5921"/>
    <w:rsid w:val="00EC08B9"/>
    <w:rsid w:val="00EC16C1"/>
    <w:rsid w:val="00EC6350"/>
    <w:rsid w:val="00EC6F99"/>
    <w:rsid w:val="00EE0792"/>
    <w:rsid w:val="00EE3215"/>
    <w:rsid w:val="00EE4316"/>
    <w:rsid w:val="00EF013D"/>
    <w:rsid w:val="00EF0779"/>
    <w:rsid w:val="00EF0E82"/>
    <w:rsid w:val="00EF19AF"/>
    <w:rsid w:val="00EF2642"/>
    <w:rsid w:val="00EF3681"/>
    <w:rsid w:val="00EF3ABE"/>
    <w:rsid w:val="00EF4C72"/>
    <w:rsid w:val="00EF5E87"/>
    <w:rsid w:val="00EF693F"/>
    <w:rsid w:val="00EF6BA4"/>
    <w:rsid w:val="00F02035"/>
    <w:rsid w:val="00F03CC5"/>
    <w:rsid w:val="00F0715F"/>
    <w:rsid w:val="00F114D5"/>
    <w:rsid w:val="00F15EBE"/>
    <w:rsid w:val="00F20226"/>
    <w:rsid w:val="00F20B32"/>
    <w:rsid w:val="00F20BC2"/>
    <w:rsid w:val="00F22C92"/>
    <w:rsid w:val="00F25B25"/>
    <w:rsid w:val="00F26849"/>
    <w:rsid w:val="00F27DBC"/>
    <w:rsid w:val="00F302AC"/>
    <w:rsid w:val="00F31DF7"/>
    <w:rsid w:val="00F34255"/>
    <w:rsid w:val="00F342E4"/>
    <w:rsid w:val="00F356BC"/>
    <w:rsid w:val="00F36293"/>
    <w:rsid w:val="00F42334"/>
    <w:rsid w:val="00F502DF"/>
    <w:rsid w:val="00F5039E"/>
    <w:rsid w:val="00F508AB"/>
    <w:rsid w:val="00F5160E"/>
    <w:rsid w:val="00F53C03"/>
    <w:rsid w:val="00F53D7A"/>
    <w:rsid w:val="00F54444"/>
    <w:rsid w:val="00F54C9D"/>
    <w:rsid w:val="00F559DD"/>
    <w:rsid w:val="00F5625B"/>
    <w:rsid w:val="00F56F5D"/>
    <w:rsid w:val="00F607E1"/>
    <w:rsid w:val="00F632E3"/>
    <w:rsid w:val="00F6358B"/>
    <w:rsid w:val="00F6694B"/>
    <w:rsid w:val="00F67F30"/>
    <w:rsid w:val="00F7094E"/>
    <w:rsid w:val="00F725F7"/>
    <w:rsid w:val="00F74219"/>
    <w:rsid w:val="00F77CA2"/>
    <w:rsid w:val="00F85BE7"/>
    <w:rsid w:val="00F8664E"/>
    <w:rsid w:val="00F86FF8"/>
    <w:rsid w:val="00F90C7C"/>
    <w:rsid w:val="00F91F22"/>
    <w:rsid w:val="00F946E0"/>
    <w:rsid w:val="00F94814"/>
    <w:rsid w:val="00F97163"/>
    <w:rsid w:val="00FB1C68"/>
    <w:rsid w:val="00FB1FB3"/>
    <w:rsid w:val="00FB26C7"/>
    <w:rsid w:val="00FB341B"/>
    <w:rsid w:val="00FB4823"/>
    <w:rsid w:val="00FB4EC6"/>
    <w:rsid w:val="00FB56C5"/>
    <w:rsid w:val="00FB604C"/>
    <w:rsid w:val="00FB6A46"/>
    <w:rsid w:val="00FC394F"/>
    <w:rsid w:val="00FC48AA"/>
    <w:rsid w:val="00FC525F"/>
    <w:rsid w:val="00FC57F6"/>
    <w:rsid w:val="00FC6C56"/>
    <w:rsid w:val="00FC790C"/>
    <w:rsid w:val="00FD4A6E"/>
    <w:rsid w:val="00FD5319"/>
    <w:rsid w:val="00FD57B4"/>
    <w:rsid w:val="00FD7B1D"/>
    <w:rsid w:val="00FE0070"/>
    <w:rsid w:val="00FE4C68"/>
    <w:rsid w:val="00FE5410"/>
    <w:rsid w:val="00FE6E96"/>
    <w:rsid w:val="00FE7FCA"/>
    <w:rsid w:val="00FF6434"/>
    <w:rsid w:val="00FF74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B27EF7"/>
  <w15:docId w15:val="{D460273E-89C7-4D65-AB7D-65CDFC933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ECA"/>
    <w:pPr>
      <w:tabs>
        <w:tab w:val="left" w:pos="567"/>
        <w:tab w:val="left" w:pos="1134"/>
        <w:tab w:val="left" w:pos="1701"/>
        <w:tab w:val="left" w:pos="2268"/>
        <w:tab w:val="left" w:pos="2835"/>
      </w:tabs>
      <w:overflowPunct w:val="0"/>
      <w:autoSpaceDE w:val="0"/>
      <w:autoSpaceDN w:val="0"/>
      <w:bidi/>
      <w:adjustRightInd w:val="0"/>
      <w:spacing w:before="120" w:line="192" w:lineRule="auto"/>
      <w:jc w:val="both"/>
      <w:textAlignment w:val="baseline"/>
    </w:pPr>
    <w:rPr>
      <w:rFonts w:ascii="Dubai" w:hAnsi="Dubai" w:cs="Dubai"/>
      <w:sz w:val="22"/>
      <w:szCs w:val="22"/>
      <w:lang w:val="en-GB" w:eastAsia="en-US" w:bidi="ar-EG"/>
    </w:rPr>
  </w:style>
  <w:style w:type="paragraph" w:styleId="Heading1">
    <w:name w:val="heading 1"/>
    <w:basedOn w:val="Normal"/>
    <w:next w:val="Normal"/>
    <w:link w:val="Heading1Char"/>
    <w:qFormat/>
    <w:rsid w:val="00A626E0"/>
    <w:pPr>
      <w:keepNext/>
      <w:keepLines/>
      <w:spacing w:before="480"/>
      <w:ind w:left="567" w:hanging="567"/>
      <w:outlineLvl w:val="0"/>
    </w:pPr>
    <w:rPr>
      <w:b/>
      <w:bCs/>
      <w:sz w:val="26"/>
      <w:szCs w:val="26"/>
    </w:rPr>
  </w:style>
  <w:style w:type="paragraph" w:styleId="Heading2">
    <w:name w:val="heading 2"/>
    <w:basedOn w:val="Heading1"/>
    <w:next w:val="Normal"/>
    <w:link w:val="Heading2Char"/>
    <w:qFormat/>
    <w:rsid w:val="00A626E0"/>
    <w:pPr>
      <w:spacing w:before="320"/>
      <w:outlineLvl w:val="1"/>
    </w:pPr>
    <w:rPr>
      <w:position w:val="2"/>
      <w:sz w:val="24"/>
      <w:szCs w:val="24"/>
    </w:rPr>
  </w:style>
  <w:style w:type="paragraph" w:styleId="Heading3">
    <w:name w:val="heading 3"/>
    <w:basedOn w:val="Heading1"/>
    <w:next w:val="Normal"/>
    <w:link w:val="Heading3Char"/>
    <w:qFormat/>
    <w:rsid w:val="00A626E0"/>
    <w:pPr>
      <w:spacing w:before="200"/>
      <w:outlineLvl w:val="2"/>
    </w:pPr>
    <w:rPr>
      <w:sz w:val="22"/>
      <w:szCs w:val="22"/>
    </w:rPr>
  </w:style>
  <w:style w:type="paragraph" w:styleId="Heading4">
    <w:name w:val="heading 4"/>
    <w:basedOn w:val="Heading3"/>
    <w:next w:val="Normal"/>
    <w:link w:val="Heading4Char"/>
    <w:qFormat/>
    <w:rsid w:val="00A626E0"/>
    <w:pPr>
      <w:outlineLvl w:val="3"/>
    </w:pPr>
  </w:style>
  <w:style w:type="paragraph" w:styleId="Heading5">
    <w:name w:val="heading 5"/>
    <w:basedOn w:val="Heading4"/>
    <w:next w:val="Normal"/>
    <w:link w:val="Heading5Char"/>
    <w:qFormat/>
    <w:rsid w:val="00057CBE"/>
    <w:pPr>
      <w:outlineLvl w:val="4"/>
    </w:pPr>
  </w:style>
  <w:style w:type="paragraph" w:styleId="Heading6">
    <w:name w:val="heading 6"/>
    <w:basedOn w:val="Heading4"/>
    <w:next w:val="Normal"/>
    <w:link w:val="Heading6Char"/>
    <w:qFormat/>
    <w:rsid w:val="00057CBE"/>
    <w:pPr>
      <w:outlineLvl w:val="5"/>
    </w:pPr>
  </w:style>
  <w:style w:type="paragraph" w:styleId="Heading7">
    <w:name w:val="heading 7"/>
    <w:basedOn w:val="Heading4"/>
    <w:next w:val="Normal"/>
    <w:link w:val="Heading7Char"/>
    <w:qFormat/>
    <w:rsid w:val="00057CBE"/>
    <w:pPr>
      <w:ind w:left="1701" w:hanging="1701"/>
      <w:outlineLvl w:val="6"/>
    </w:pPr>
  </w:style>
  <w:style w:type="paragraph" w:styleId="Heading8">
    <w:name w:val="heading 8"/>
    <w:basedOn w:val="Heading4"/>
    <w:next w:val="Normal"/>
    <w:link w:val="Heading8Char"/>
    <w:qFormat/>
    <w:rsid w:val="00057CBE"/>
    <w:pPr>
      <w:ind w:left="1701" w:hanging="1701"/>
      <w:outlineLvl w:val="7"/>
    </w:pPr>
  </w:style>
  <w:style w:type="paragraph" w:styleId="Heading9">
    <w:name w:val="heading 9"/>
    <w:basedOn w:val="Heading4"/>
    <w:next w:val="Normal"/>
    <w:link w:val="Heading9Char"/>
    <w:qFormat/>
    <w:rsid w:val="00057CBE"/>
    <w:pPr>
      <w:ind w:left="1701" w:hanging="1701"/>
      <w:outlineLvl w:val="8"/>
    </w:pPr>
    <w:rPr>
      <w:positio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26E0"/>
    <w:rPr>
      <w:rFonts w:ascii="Dubai" w:hAnsi="Dubai" w:cs="Dubai"/>
      <w:b/>
      <w:bCs/>
      <w:sz w:val="26"/>
      <w:szCs w:val="26"/>
      <w:lang w:val="en-GB" w:eastAsia="en-US" w:bidi="ar-EG"/>
    </w:rPr>
  </w:style>
  <w:style w:type="character" w:customStyle="1" w:styleId="Heading2Char">
    <w:name w:val="Heading 2 Char"/>
    <w:basedOn w:val="DefaultParagraphFont"/>
    <w:link w:val="Heading2"/>
    <w:rsid w:val="00A626E0"/>
    <w:rPr>
      <w:rFonts w:ascii="Dubai" w:hAnsi="Dubai" w:cs="Dubai"/>
      <w:b/>
      <w:bCs/>
      <w:position w:val="2"/>
      <w:sz w:val="24"/>
      <w:szCs w:val="24"/>
      <w:lang w:val="en-GB" w:eastAsia="en-US" w:bidi="ar-EG"/>
    </w:rPr>
  </w:style>
  <w:style w:type="character" w:customStyle="1" w:styleId="Heading3Char">
    <w:name w:val="Heading 3 Char"/>
    <w:basedOn w:val="Heading1Char"/>
    <w:link w:val="Heading3"/>
    <w:rsid w:val="00A626E0"/>
    <w:rPr>
      <w:rFonts w:ascii="Dubai" w:hAnsi="Dubai" w:cs="Dubai"/>
      <w:b/>
      <w:bCs/>
      <w:sz w:val="22"/>
      <w:szCs w:val="22"/>
      <w:lang w:val="en-GB" w:eastAsia="en-US" w:bidi="ar-EG"/>
    </w:rPr>
  </w:style>
  <w:style w:type="character" w:customStyle="1" w:styleId="Heading4Char">
    <w:name w:val="Heading 4 Char"/>
    <w:basedOn w:val="Heading3Char"/>
    <w:link w:val="Heading4"/>
    <w:rsid w:val="00A626E0"/>
    <w:rPr>
      <w:rFonts w:ascii="Dubai" w:hAnsi="Dubai" w:cs="Dubai"/>
      <w:b/>
      <w:bCs/>
      <w:sz w:val="22"/>
      <w:szCs w:val="22"/>
      <w:lang w:val="en-GB" w:eastAsia="en-US" w:bidi="ar-EG"/>
    </w:rPr>
  </w:style>
  <w:style w:type="character" w:customStyle="1" w:styleId="Heading5Char">
    <w:name w:val="Heading 5 Char"/>
    <w:basedOn w:val="Heading4Char"/>
    <w:link w:val="Heading5"/>
    <w:uiPriority w:val="99"/>
    <w:rsid w:val="00057CBE"/>
    <w:rPr>
      <w:rFonts w:ascii="Calibri" w:hAnsi="Calibri" w:cs="Traditional Arabic"/>
      <w:b/>
      <w:bCs/>
      <w:sz w:val="22"/>
      <w:szCs w:val="30"/>
      <w:lang w:val="en-GB" w:eastAsia="en-US" w:bidi="ar-EG"/>
    </w:rPr>
  </w:style>
  <w:style w:type="character" w:customStyle="1" w:styleId="Heading6Char">
    <w:name w:val="Heading 6 Char"/>
    <w:basedOn w:val="Heading4Char"/>
    <w:link w:val="Heading6"/>
    <w:uiPriority w:val="99"/>
    <w:rsid w:val="00057CBE"/>
    <w:rPr>
      <w:rFonts w:ascii="Calibri" w:hAnsi="Calibri" w:cs="Traditional Arabic"/>
      <w:b/>
      <w:bCs/>
      <w:sz w:val="22"/>
      <w:szCs w:val="30"/>
      <w:lang w:val="en-GB" w:eastAsia="en-US" w:bidi="ar-EG"/>
    </w:rPr>
  </w:style>
  <w:style w:type="character" w:customStyle="1" w:styleId="Heading7Char">
    <w:name w:val="Heading 7 Char"/>
    <w:basedOn w:val="Heading4Char"/>
    <w:link w:val="Heading7"/>
    <w:uiPriority w:val="99"/>
    <w:rsid w:val="00057CBE"/>
    <w:rPr>
      <w:rFonts w:ascii="Calibri" w:hAnsi="Calibri" w:cs="Traditional Arabic"/>
      <w:b/>
      <w:bCs/>
      <w:sz w:val="22"/>
      <w:szCs w:val="30"/>
      <w:lang w:val="en-GB" w:eastAsia="en-US" w:bidi="ar-EG"/>
    </w:rPr>
  </w:style>
  <w:style w:type="character" w:customStyle="1" w:styleId="Heading8Char">
    <w:name w:val="Heading 8 Char"/>
    <w:basedOn w:val="Heading4Char"/>
    <w:link w:val="Heading8"/>
    <w:uiPriority w:val="99"/>
    <w:rsid w:val="00057CBE"/>
    <w:rPr>
      <w:rFonts w:ascii="Calibri" w:hAnsi="Calibri" w:cs="Traditional Arabic"/>
      <w:b/>
      <w:bCs/>
      <w:sz w:val="22"/>
      <w:szCs w:val="30"/>
      <w:lang w:val="en-GB" w:eastAsia="en-US" w:bidi="ar-EG"/>
    </w:rPr>
  </w:style>
  <w:style w:type="character" w:customStyle="1" w:styleId="Heading9Char">
    <w:name w:val="Heading 9 Char"/>
    <w:basedOn w:val="DefaultParagraphFont"/>
    <w:link w:val="Heading9"/>
    <w:uiPriority w:val="99"/>
    <w:rsid w:val="00650A04"/>
    <w:rPr>
      <w:rFonts w:ascii="Calibri" w:hAnsi="Calibri" w:cs="Traditional Arabic"/>
      <w:b/>
      <w:bCs/>
      <w:position w:val="2"/>
      <w:sz w:val="22"/>
      <w:szCs w:val="30"/>
      <w:lang w:val="en-GB" w:eastAsia="en-US" w:bidi="ar-EG"/>
    </w:rPr>
  </w:style>
  <w:style w:type="paragraph" w:styleId="TOC8">
    <w:name w:val="toc 8"/>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TOC2"/>
    <w:next w:val="Normal"/>
    <w:rsid w:val="00057CBE"/>
    <w:pPr>
      <w:tabs>
        <w:tab w:val="left" w:pos="8789"/>
      </w:tabs>
    </w:pPr>
  </w:style>
  <w:style w:type="paragraph" w:styleId="TOC2">
    <w:name w:val="toc 2"/>
    <w:basedOn w:val="TOC1"/>
    <w:next w:val="Normal"/>
    <w:rsid w:val="00057CBE"/>
    <w:pPr>
      <w:spacing w:before="60"/>
    </w:pPr>
  </w:style>
  <w:style w:type="paragraph" w:styleId="TOC1">
    <w:name w:val="toc 1"/>
    <w:basedOn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3">
    <w:name w:val="toc 3"/>
    <w:basedOn w:val="TOC1"/>
    <w:next w:val="Normal"/>
    <w:rsid w:val="00057CBE"/>
    <w:pPr>
      <w:spacing w:before="60"/>
    </w:pPr>
  </w:style>
  <w:style w:type="paragraph" w:styleId="Header">
    <w:name w:val="header"/>
    <w:link w:val="HeaderChar"/>
    <w:rsid w:val="00057CBE"/>
    <w:pPr>
      <w:jc w:val="center"/>
    </w:pPr>
    <w:rPr>
      <w:rFonts w:ascii="Times New Roman" w:hAnsi="Times New Roman"/>
      <w:sz w:val="18"/>
      <w:szCs w:val="18"/>
      <w:lang w:val="en-GB" w:eastAsia="en-US"/>
    </w:rPr>
  </w:style>
  <w:style w:type="character" w:customStyle="1" w:styleId="HeaderChar">
    <w:name w:val="Header Char"/>
    <w:basedOn w:val="DefaultParagraphFont"/>
    <w:link w:val="Header"/>
    <w:rsid w:val="003C42DE"/>
    <w:rPr>
      <w:rFonts w:ascii="Times New Roman" w:hAnsi="Times New Roman"/>
      <w:sz w:val="18"/>
      <w:szCs w:val="18"/>
      <w:lang w:val="en-GB" w:eastAsia="en-US"/>
    </w:rPr>
  </w:style>
  <w:style w:type="paragraph" w:customStyle="1" w:styleId="Tablelegend">
    <w:name w:val="Table_legend"/>
    <w:basedOn w:val="Tabletext"/>
    <w:rsid w:val="00A626E0"/>
    <w:pPr>
      <w:spacing w:before="120"/>
    </w:pPr>
  </w:style>
  <w:style w:type="paragraph" w:customStyle="1" w:styleId="Tabletext">
    <w:name w:val="Table_text"/>
    <w:basedOn w:val="Normal"/>
    <w:qFormat/>
    <w:rsid w:val="00537938"/>
    <w:pPr>
      <w:tabs>
        <w:tab w:val="clear" w:pos="567"/>
        <w:tab w:val="clear" w:pos="1134"/>
        <w:tab w:val="clear" w:pos="1701"/>
        <w:tab w:val="clear" w:pos="2268"/>
        <w:tab w:val="clear" w:pos="2835"/>
      </w:tabs>
      <w:spacing w:before="60" w:after="60" w:line="260" w:lineRule="exact"/>
    </w:pPr>
    <w:rPr>
      <w:position w:val="2"/>
      <w:sz w:val="20"/>
      <w:szCs w:val="20"/>
    </w:rPr>
  </w:style>
  <w:style w:type="paragraph" w:customStyle="1" w:styleId="Part">
    <w:name w:val="Part"/>
    <w:basedOn w:val="Normal"/>
    <w:next w:val="Normal"/>
    <w:rsid w:val="00A626E0"/>
    <w:pPr>
      <w:tabs>
        <w:tab w:val="clear" w:pos="567"/>
        <w:tab w:val="clear" w:pos="1134"/>
        <w:tab w:val="clear" w:pos="1701"/>
        <w:tab w:val="clear" w:pos="2268"/>
        <w:tab w:val="clear" w:pos="2835"/>
      </w:tabs>
      <w:bidi w:val="0"/>
      <w:spacing w:before="600"/>
      <w:jc w:val="center"/>
    </w:pPr>
    <w:rPr>
      <w:caps/>
      <w:sz w:val="28"/>
      <w:szCs w:val="28"/>
      <w:lang w:bidi="ar-SA"/>
    </w:rPr>
  </w:style>
  <w:style w:type="paragraph" w:customStyle="1" w:styleId="TableNo">
    <w:name w:val="Table_No"/>
    <w:basedOn w:val="Normal"/>
    <w:next w:val="Normal"/>
    <w:qFormat/>
    <w:rsid w:val="00A626E0"/>
    <w:pPr>
      <w:keepNext/>
      <w:spacing w:before="240" w:after="120"/>
      <w:jc w:val="center"/>
    </w:pPr>
    <w:rPr>
      <w:caps/>
      <w:position w:val="2"/>
    </w:rPr>
  </w:style>
  <w:style w:type="paragraph" w:customStyle="1" w:styleId="enumlev1">
    <w:name w:val="enumlev1"/>
    <w:basedOn w:val="Normal"/>
    <w:link w:val="enumlev1Char"/>
    <w:qFormat/>
    <w:rsid w:val="00A626E0"/>
    <w:pPr>
      <w:spacing w:before="80"/>
      <w:ind w:left="567" w:hanging="567"/>
    </w:pPr>
  </w:style>
  <w:style w:type="character" w:customStyle="1" w:styleId="enumlev1Char">
    <w:name w:val="enumlev1 Char"/>
    <w:basedOn w:val="DefaultParagraphFont"/>
    <w:link w:val="enumlev1"/>
    <w:rsid w:val="00A626E0"/>
    <w:rPr>
      <w:rFonts w:ascii="Dubai" w:hAnsi="Dubai" w:cs="Dubai"/>
      <w:sz w:val="22"/>
      <w:szCs w:val="22"/>
      <w:lang w:val="en-GB" w:eastAsia="en-US" w:bidi="ar-EG"/>
    </w:rPr>
  </w:style>
  <w:style w:type="paragraph" w:customStyle="1" w:styleId="enumlev2">
    <w:name w:val="enumlev2"/>
    <w:basedOn w:val="enumlev1"/>
    <w:link w:val="enumlev2Char"/>
    <w:qFormat/>
    <w:rsid w:val="00AB372F"/>
    <w:pPr>
      <w:ind w:left="1134"/>
    </w:pPr>
  </w:style>
  <w:style w:type="character" w:customStyle="1" w:styleId="enumlev2Char">
    <w:name w:val="enumlev2 Char"/>
    <w:basedOn w:val="enumlev1Char"/>
    <w:link w:val="enumlev2"/>
    <w:rsid w:val="00AB372F"/>
    <w:rPr>
      <w:rFonts w:ascii="Calibri" w:hAnsi="Calibri" w:cs="Traditional Arabic"/>
      <w:sz w:val="22"/>
      <w:szCs w:val="30"/>
      <w:lang w:val="en-GB" w:eastAsia="en-US" w:bidi="ar-EG"/>
    </w:rPr>
  </w:style>
  <w:style w:type="paragraph" w:customStyle="1" w:styleId="enumlev3">
    <w:name w:val="enumlev3"/>
    <w:basedOn w:val="enumlev2"/>
    <w:link w:val="enumlev3Char"/>
    <w:qFormat/>
    <w:rsid w:val="00AB372F"/>
    <w:pPr>
      <w:ind w:left="1701"/>
    </w:pPr>
  </w:style>
  <w:style w:type="character" w:customStyle="1" w:styleId="enumlev3Char">
    <w:name w:val="enumlev3 Char"/>
    <w:basedOn w:val="enumlev2Char"/>
    <w:link w:val="enumlev3"/>
    <w:rsid w:val="00AB372F"/>
    <w:rPr>
      <w:rFonts w:ascii="Calibri" w:hAnsi="Calibri" w:cs="Traditional Arabic"/>
      <w:sz w:val="22"/>
      <w:szCs w:val="30"/>
      <w:lang w:val="en-GB" w:eastAsia="en-US" w:bidi="ar-EG"/>
    </w:rPr>
  </w:style>
  <w:style w:type="paragraph" w:customStyle="1" w:styleId="Tablehead">
    <w:name w:val="Table_head"/>
    <w:basedOn w:val="Tabletext"/>
    <w:qFormat/>
    <w:rsid w:val="00A626E0"/>
    <w:pPr>
      <w:spacing w:before="80" w:after="80"/>
      <w:jc w:val="center"/>
    </w:pPr>
    <w:rPr>
      <w:b/>
      <w:bCs/>
    </w:rPr>
  </w:style>
  <w:style w:type="paragraph" w:customStyle="1" w:styleId="Normalaftertitle">
    <w:name w:val="Normal after title"/>
    <w:basedOn w:val="Normal"/>
    <w:next w:val="Normal"/>
    <w:qFormat/>
    <w:rsid w:val="00A626E0"/>
    <w:pPr>
      <w:tabs>
        <w:tab w:val="clear" w:pos="567"/>
        <w:tab w:val="clear" w:pos="1701"/>
        <w:tab w:val="clear" w:pos="2835"/>
        <w:tab w:val="left" w:pos="1871"/>
      </w:tabs>
      <w:overflowPunct/>
      <w:autoSpaceDE/>
      <w:autoSpaceDN/>
      <w:adjustRightInd/>
      <w:spacing w:before="360"/>
      <w:textAlignment w:val="auto"/>
    </w:pPr>
    <w:rPr>
      <w:snapToGrid w:val="0"/>
      <w:lang w:val="en-US"/>
    </w:rPr>
  </w:style>
  <w:style w:type="character" w:styleId="FootnoteReference">
    <w:name w:val="footnote reference"/>
    <w:basedOn w:val="DefaultParagraphFont"/>
    <w:rsid w:val="00A626E0"/>
    <w:rPr>
      <w:rFonts w:ascii="Dubai" w:hAnsi="Dubai" w:cs="Dubai"/>
      <w:position w:val="6"/>
      <w:sz w:val="18"/>
      <w:szCs w:val="18"/>
    </w:rPr>
  </w:style>
  <w:style w:type="paragraph" w:customStyle="1" w:styleId="DecNo">
    <w:name w:val="Dec_No"/>
    <w:basedOn w:val="ResNo"/>
    <w:next w:val="Normal"/>
    <w:qFormat/>
    <w:rsid w:val="00A626E0"/>
  </w:style>
  <w:style w:type="paragraph" w:customStyle="1" w:styleId="Annexref">
    <w:name w:val="Annex_ref"/>
    <w:basedOn w:val="Normal"/>
    <w:next w:val="Normal"/>
    <w:rsid w:val="00057CBE"/>
    <w:pPr>
      <w:jc w:val="center"/>
    </w:pPr>
  </w:style>
  <w:style w:type="paragraph" w:customStyle="1" w:styleId="AnnexNoS2">
    <w:name w:val="Annex_No_S2"/>
    <w:basedOn w:val="AppendixNoS2"/>
    <w:next w:val="Normal"/>
    <w:qFormat/>
    <w:rsid w:val="003A0ECA"/>
    <w:pPr>
      <w:spacing w:before="720"/>
    </w:pPr>
  </w:style>
  <w:style w:type="paragraph" w:customStyle="1" w:styleId="AppendixNoS2">
    <w:name w:val="Appendix_No_S2"/>
    <w:basedOn w:val="SectionNoS2"/>
    <w:next w:val="Normal"/>
    <w:rsid w:val="00CA65A0"/>
    <w:pPr>
      <w:spacing w:before="300" w:after="0" w:line="240" w:lineRule="exact"/>
    </w:pPr>
  </w:style>
  <w:style w:type="paragraph" w:customStyle="1" w:styleId="SectionNoS2">
    <w:name w:val="Section_No_S2"/>
    <w:basedOn w:val="Normal"/>
    <w:qFormat/>
    <w:rsid w:val="00B40192"/>
    <w:pPr>
      <w:keepNext/>
      <w:keepLines/>
      <w:tabs>
        <w:tab w:val="clear" w:pos="567"/>
        <w:tab w:val="clear" w:pos="1134"/>
        <w:tab w:val="clear" w:pos="1701"/>
        <w:tab w:val="clear" w:pos="2268"/>
        <w:tab w:val="clear" w:pos="2835"/>
      </w:tabs>
      <w:spacing w:before="100" w:after="80" w:line="260" w:lineRule="exact"/>
      <w:jc w:val="left"/>
    </w:pPr>
    <w:rPr>
      <w:b/>
      <w:bCs/>
      <w:lang w:val="en-US" w:bidi="ar-SA"/>
    </w:rPr>
  </w:style>
  <w:style w:type="paragraph" w:customStyle="1" w:styleId="AnnexrefS2">
    <w:name w:val="Annex_ref_S2"/>
    <w:basedOn w:val="AppendixrefS2"/>
    <w:next w:val="Normal"/>
    <w:qFormat/>
    <w:rsid w:val="003E018F"/>
  </w:style>
  <w:style w:type="paragraph" w:customStyle="1" w:styleId="AppendixrefS2">
    <w:name w:val="Appendix_ref_S2"/>
    <w:basedOn w:val="Appendixref"/>
    <w:next w:val="AnnextitleS2"/>
    <w:rsid w:val="00F5039E"/>
    <w:pPr>
      <w:tabs>
        <w:tab w:val="clear" w:pos="567"/>
        <w:tab w:val="clear" w:pos="1134"/>
        <w:tab w:val="clear" w:pos="1701"/>
        <w:tab w:val="clear" w:pos="2268"/>
        <w:tab w:val="clear" w:pos="2835"/>
        <w:tab w:val="left" w:pos="851"/>
      </w:tabs>
      <w:jc w:val="left"/>
    </w:pPr>
    <w:rPr>
      <w:rFonts w:asciiTheme="minorHAnsi" w:hAnsiTheme="minorHAnsi"/>
      <w:b/>
      <w:bCs/>
    </w:rPr>
  </w:style>
  <w:style w:type="paragraph" w:customStyle="1" w:styleId="Appendixref">
    <w:name w:val="Appendix_ref"/>
    <w:basedOn w:val="Annexref"/>
    <w:next w:val="Normal"/>
    <w:rsid w:val="00057CBE"/>
  </w:style>
  <w:style w:type="paragraph" w:customStyle="1" w:styleId="AnnextitleS2">
    <w:name w:val="Annex_title_S2"/>
    <w:basedOn w:val="Normal"/>
    <w:next w:val="Normal"/>
    <w:rsid w:val="00B40192"/>
    <w:pPr>
      <w:keepNext/>
      <w:keepLines/>
      <w:tabs>
        <w:tab w:val="clear" w:pos="567"/>
        <w:tab w:val="clear" w:pos="1134"/>
        <w:tab w:val="clear" w:pos="1701"/>
        <w:tab w:val="clear" w:pos="2268"/>
        <w:tab w:val="clear" w:pos="2835"/>
      </w:tabs>
      <w:spacing w:before="240" w:after="240" w:line="280" w:lineRule="exact"/>
      <w:jc w:val="left"/>
    </w:pPr>
    <w:rPr>
      <w:b/>
      <w:bCs/>
      <w:lang w:val="en-US" w:bidi="ar-SA"/>
    </w:rPr>
  </w:style>
  <w:style w:type="paragraph" w:customStyle="1" w:styleId="Dectitle">
    <w:name w:val="Dec_title"/>
    <w:basedOn w:val="Restitle"/>
    <w:qFormat/>
    <w:rsid w:val="00A626E0"/>
    <w:pPr>
      <w:tabs>
        <w:tab w:val="clear" w:pos="567"/>
        <w:tab w:val="clear" w:pos="1134"/>
        <w:tab w:val="clear" w:pos="1701"/>
        <w:tab w:val="clear" w:pos="2268"/>
        <w:tab w:val="clear" w:pos="2835"/>
      </w:tabs>
      <w:overflowPunct/>
      <w:autoSpaceDE/>
      <w:autoSpaceDN/>
      <w:adjustRightInd/>
      <w:textAlignment w:val="auto"/>
    </w:pPr>
    <w:rPr>
      <w:w w:val="125"/>
      <w:position w:val="6"/>
    </w:rPr>
  </w:style>
  <w:style w:type="paragraph" w:customStyle="1" w:styleId="enumlev1S2">
    <w:name w:val="enumlev1_S2"/>
    <w:basedOn w:val="Normal"/>
    <w:link w:val="enumlev1S2Char"/>
    <w:autoRedefine/>
    <w:qFormat/>
    <w:rsid w:val="00A626E0"/>
    <w:pPr>
      <w:spacing w:before="80"/>
    </w:pPr>
    <w:rPr>
      <w:b/>
      <w:bCs/>
    </w:rPr>
  </w:style>
  <w:style w:type="character" w:customStyle="1" w:styleId="enumlev1S2Char">
    <w:name w:val="enumlev1_S2 Char"/>
    <w:basedOn w:val="enumlev1Char"/>
    <w:link w:val="enumlev1S2"/>
    <w:rsid w:val="00A626E0"/>
    <w:rPr>
      <w:rFonts w:ascii="Dubai" w:hAnsi="Dubai" w:cs="Dubai"/>
      <w:b/>
      <w:bCs/>
      <w:sz w:val="22"/>
      <w:szCs w:val="22"/>
      <w:lang w:val="en-GB" w:eastAsia="en-US" w:bidi="ar-EG"/>
    </w:rPr>
  </w:style>
  <w:style w:type="paragraph" w:customStyle="1" w:styleId="ArtNo">
    <w:name w:val="Art_No"/>
    <w:basedOn w:val="Normal"/>
    <w:next w:val="Normal"/>
    <w:link w:val="ArtNoChar"/>
    <w:qFormat/>
    <w:rsid w:val="003A0ECA"/>
    <w:pPr>
      <w:keepNext/>
      <w:keepLines/>
      <w:tabs>
        <w:tab w:val="clear" w:pos="567"/>
        <w:tab w:val="clear" w:pos="1134"/>
        <w:tab w:val="clear" w:pos="1701"/>
        <w:tab w:val="clear" w:pos="2268"/>
        <w:tab w:val="clear" w:pos="2835"/>
      </w:tabs>
      <w:spacing w:before="360" w:after="120"/>
      <w:jc w:val="center"/>
    </w:pPr>
    <w:rPr>
      <w:sz w:val="28"/>
      <w:szCs w:val="28"/>
    </w:rPr>
  </w:style>
  <w:style w:type="character" w:customStyle="1" w:styleId="ArtNoChar">
    <w:name w:val="Art_No Char"/>
    <w:basedOn w:val="DefaultParagraphFont"/>
    <w:link w:val="ArtNo"/>
    <w:rsid w:val="003A0ECA"/>
    <w:rPr>
      <w:rFonts w:ascii="Dubai" w:hAnsi="Dubai" w:cs="Dubai"/>
      <w:sz w:val="28"/>
      <w:szCs w:val="28"/>
      <w:lang w:val="en-GB" w:eastAsia="en-US" w:bidi="ar-EG"/>
    </w:rPr>
  </w:style>
  <w:style w:type="paragraph" w:customStyle="1" w:styleId="Reftitle">
    <w:name w:val="Ref_title"/>
    <w:basedOn w:val="Normal"/>
    <w:next w:val="Reftext"/>
    <w:rsid w:val="00A626E0"/>
    <w:pPr>
      <w:spacing w:before="480"/>
      <w:jc w:val="center"/>
    </w:pPr>
    <w:rPr>
      <w:caps/>
      <w:sz w:val="28"/>
      <w:szCs w:val="28"/>
    </w:rPr>
  </w:style>
  <w:style w:type="paragraph" w:customStyle="1" w:styleId="Reftext">
    <w:name w:val="Ref_text"/>
    <w:basedOn w:val="Normal"/>
    <w:rsid w:val="00057CBE"/>
    <w:pPr>
      <w:ind w:left="567" w:hanging="567"/>
    </w:pPr>
  </w:style>
  <w:style w:type="paragraph" w:customStyle="1" w:styleId="Rectitle">
    <w:name w:val="Rec_title"/>
    <w:basedOn w:val="Restitle"/>
    <w:next w:val="Heading1"/>
    <w:link w:val="RectitleChar"/>
    <w:rsid w:val="00A626E0"/>
  </w:style>
  <w:style w:type="character" w:customStyle="1" w:styleId="RectitleChar">
    <w:name w:val="Rec_title Char"/>
    <w:basedOn w:val="DefaultParagraphFont"/>
    <w:link w:val="Rectitle"/>
    <w:rsid w:val="00A626E0"/>
    <w:rPr>
      <w:rFonts w:ascii="Dubai" w:hAnsi="Dubai" w:cs="Dubai"/>
      <w:b/>
      <w:bCs/>
      <w:sz w:val="28"/>
      <w:szCs w:val="28"/>
      <w:lang w:eastAsia="en-US"/>
    </w:rPr>
  </w:style>
  <w:style w:type="paragraph" w:customStyle="1" w:styleId="Call">
    <w:name w:val="Call"/>
    <w:basedOn w:val="Normal"/>
    <w:next w:val="Normal"/>
    <w:link w:val="CallChar"/>
    <w:autoRedefine/>
    <w:qFormat/>
    <w:rsid w:val="00E542ED"/>
    <w:pPr>
      <w:keepNext/>
      <w:keepLines/>
      <w:tabs>
        <w:tab w:val="clear" w:pos="1134"/>
        <w:tab w:val="clear" w:pos="1701"/>
        <w:tab w:val="clear" w:pos="2268"/>
        <w:tab w:val="clear" w:pos="2835"/>
      </w:tabs>
      <w:spacing w:before="160"/>
      <w:ind w:left="567"/>
    </w:pPr>
    <w:rPr>
      <w:i/>
      <w:iCs/>
    </w:rPr>
  </w:style>
  <w:style w:type="character" w:customStyle="1" w:styleId="CallChar">
    <w:name w:val="Call Char"/>
    <w:basedOn w:val="DefaultParagraphFont"/>
    <w:link w:val="Call"/>
    <w:locked/>
    <w:rsid w:val="00E542ED"/>
    <w:rPr>
      <w:rFonts w:ascii="Dubai" w:hAnsi="Dubai" w:cs="Dubai"/>
      <w:i/>
      <w:iCs/>
      <w:sz w:val="22"/>
      <w:szCs w:val="22"/>
      <w:lang w:val="en-GB" w:eastAsia="en-US" w:bidi="ar-EG"/>
    </w:rPr>
  </w:style>
  <w:style w:type="paragraph" w:customStyle="1" w:styleId="RecNo">
    <w:name w:val="Rec_No"/>
    <w:basedOn w:val="Normal"/>
    <w:next w:val="Normal"/>
    <w:rsid w:val="00A626E0"/>
    <w:pPr>
      <w:keepNext/>
      <w:spacing w:before="720"/>
      <w:jc w:val="center"/>
    </w:pPr>
    <w:rPr>
      <w:sz w:val="28"/>
      <w:szCs w:val="28"/>
    </w:rPr>
  </w:style>
  <w:style w:type="paragraph" w:customStyle="1" w:styleId="toc0">
    <w:name w:val="toc 0"/>
    <w:basedOn w:val="Normal"/>
    <w:next w:val="TOC1"/>
    <w:rsid w:val="00537938"/>
    <w:pPr>
      <w:tabs>
        <w:tab w:val="clear" w:pos="567"/>
        <w:tab w:val="clear" w:pos="1134"/>
        <w:tab w:val="clear" w:pos="1701"/>
        <w:tab w:val="clear" w:pos="2268"/>
        <w:tab w:val="clear" w:pos="2835"/>
        <w:tab w:val="right" w:pos="9781"/>
      </w:tabs>
    </w:pPr>
    <w:rPr>
      <w:b/>
      <w:bCs/>
    </w:rPr>
  </w:style>
  <w:style w:type="paragraph" w:customStyle="1" w:styleId="Note">
    <w:name w:val="Note"/>
    <w:basedOn w:val="Normal"/>
    <w:qFormat/>
    <w:rsid w:val="00A626E0"/>
    <w:pPr>
      <w:tabs>
        <w:tab w:val="clear" w:pos="567"/>
        <w:tab w:val="left" w:pos="851"/>
      </w:tabs>
    </w:pPr>
    <w:rPr>
      <w:sz w:val="20"/>
      <w:szCs w:val="20"/>
      <w:lang w:val="en-US"/>
    </w:rPr>
  </w:style>
  <w:style w:type="paragraph" w:customStyle="1" w:styleId="Title3">
    <w:name w:val="Title 3"/>
    <w:basedOn w:val="Title2"/>
    <w:next w:val="Normal"/>
    <w:rsid w:val="00537938"/>
    <w:rPr>
      <w:lang w:val="en-US"/>
    </w:rPr>
  </w:style>
  <w:style w:type="paragraph" w:customStyle="1" w:styleId="Title2">
    <w:name w:val="Title 2"/>
    <w:basedOn w:val="Normal"/>
    <w:next w:val="Normal"/>
    <w:rsid w:val="00537938"/>
    <w:pPr>
      <w:tabs>
        <w:tab w:val="clear" w:pos="567"/>
        <w:tab w:val="clear" w:pos="1134"/>
        <w:tab w:val="clear" w:pos="1701"/>
        <w:tab w:val="clear" w:pos="2268"/>
        <w:tab w:val="clear" w:pos="2835"/>
        <w:tab w:val="left" w:pos="794"/>
        <w:tab w:val="left" w:pos="1191"/>
        <w:tab w:val="left" w:pos="1588"/>
        <w:tab w:val="left" w:pos="1985"/>
      </w:tabs>
      <w:spacing w:before="240"/>
      <w:jc w:val="center"/>
    </w:pPr>
    <w:rPr>
      <w:w w:val="120"/>
      <w:sz w:val="28"/>
      <w:szCs w:val="28"/>
      <w:lang w:bidi="ar-SA"/>
    </w:rPr>
  </w:style>
  <w:style w:type="paragraph" w:customStyle="1" w:styleId="Source">
    <w:name w:val="Source"/>
    <w:basedOn w:val="Normal"/>
    <w:next w:val="Normal"/>
    <w:rsid w:val="00A626E0"/>
    <w:pPr>
      <w:keepNext/>
      <w:tabs>
        <w:tab w:val="clear" w:pos="567"/>
        <w:tab w:val="clear" w:pos="1134"/>
        <w:tab w:val="clear" w:pos="1701"/>
        <w:tab w:val="clear" w:pos="2268"/>
        <w:tab w:val="clear" w:pos="2835"/>
        <w:tab w:val="left" w:pos="794"/>
        <w:tab w:val="left" w:pos="1191"/>
        <w:tab w:val="left" w:pos="1588"/>
        <w:tab w:val="left" w:pos="1985"/>
      </w:tabs>
      <w:spacing w:before="840" w:after="240"/>
      <w:jc w:val="center"/>
    </w:pPr>
    <w:rPr>
      <w:b/>
      <w:bCs/>
      <w:w w:val="120"/>
      <w:sz w:val="28"/>
      <w:szCs w:val="28"/>
      <w:lang w:val="en-US" w:bidi="ar-SA"/>
    </w:rPr>
  </w:style>
  <w:style w:type="paragraph" w:customStyle="1" w:styleId="Title1">
    <w:name w:val="Title 1"/>
    <w:basedOn w:val="Normal"/>
    <w:next w:val="Normal"/>
    <w:rsid w:val="00537938"/>
    <w:pPr>
      <w:tabs>
        <w:tab w:val="clear" w:pos="567"/>
        <w:tab w:val="clear" w:pos="1134"/>
        <w:tab w:val="clear" w:pos="1701"/>
        <w:tab w:val="clear" w:pos="2268"/>
        <w:tab w:val="clear" w:pos="2835"/>
        <w:tab w:val="left" w:pos="794"/>
        <w:tab w:val="left" w:pos="1191"/>
        <w:tab w:val="left" w:pos="1588"/>
        <w:tab w:val="left" w:pos="1985"/>
      </w:tabs>
      <w:spacing w:before="240"/>
      <w:jc w:val="center"/>
    </w:pPr>
    <w:rPr>
      <w:w w:val="120"/>
      <w:sz w:val="28"/>
      <w:szCs w:val="28"/>
      <w:lang w:val="en-US"/>
    </w:rPr>
  </w:style>
  <w:style w:type="paragraph" w:customStyle="1" w:styleId="Arttitle">
    <w:name w:val="Art_title"/>
    <w:basedOn w:val="Normal"/>
    <w:next w:val="Normal"/>
    <w:link w:val="ArttitleChar"/>
    <w:autoRedefine/>
    <w:qFormat/>
    <w:rsid w:val="003A0ECA"/>
    <w:pPr>
      <w:keepNext/>
      <w:tabs>
        <w:tab w:val="clear" w:pos="567"/>
        <w:tab w:val="clear" w:pos="1134"/>
        <w:tab w:val="clear" w:pos="1701"/>
        <w:tab w:val="clear" w:pos="2268"/>
        <w:tab w:val="clear" w:pos="2835"/>
      </w:tabs>
      <w:spacing w:after="240"/>
      <w:jc w:val="center"/>
    </w:pPr>
    <w:rPr>
      <w:b/>
      <w:bCs/>
      <w:sz w:val="28"/>
      <w:szCs w:val="28"/>
    </w:rPr>
  </w:style>
  <w:style w:type="character" w:customStyle="1" w:styleId="ArttitleChar">
    <w:name w:val="Art_title Char"/>
    <w:basedOn w:val="DefaultParagraphFont"/>
    <w:link w:val="Arttitle"/>
    <w:rsid w:val="003A0ECA"/>
    <w:rPr>
      <w:rFonts w:ascii="Dubai" w:hAnsi="Dubai" w:cs="Dubai"/>
      <w:b/>
      <w:bCs/>
      <w:sz w:val="28"/>
      <w:szCs w:val="28"/>
      <w:lang w:val="en-GB" w:eastAsia="en-US" w:bidi="ar-EG"/>
    </w:rPr>
  </w:style>
  <w:style w:type="paragraph" w:customStyle="1" w:styleId="ChapNo">
    <w:name w:val="Chap_No"/>
    <w:basedOn w:val="ArtNo"/>
    <w:next w:val="Normal"/>
    <w:link w:val="ChapNoChar"/>
    <w:autoRedefine/>
    <w:qFormat/>
    <w:rsid w:val="003A0ECA"/>
  </w:style>
  <w:style w:type="character" w:customStyle="1" w:styleId="ChapNoChar">
    <w:name w:val="Chap_No Char"/>
    <w:basedOn w:val="ArtNoChar"/>
    <w:link w:val="ChapNo"/>
    <w:rsid w:val="003A0ECA"/>
    <w:rPr>
      <w:rFonts w:ascii="Dubai" w:hAnsi="Dubai" w:cs="Dubai"/>
      <w:sz w:val="28"/>
      <w:szCs w:val="28"/>
      <w:lang w:val="en-GB" w:eastAsia="en-US" w:bidi="ar-EG"/>
    </w:rPr>
  </w:style>
  <w:style w:type="paragraph" w:customStyle="1" w:styleId="Chaptitle">
    <w:name w:val="Chap_title"/>
    <w:basedOn w:val="Arttitle"/>
    <w:next w:val="Normal"/>
    <w:rsid w:val="00A626E0"/>
    <w:pPr>
      <w:framePr w:wrap="around" w:hAnchor="text"/>
    </w:pPr>
  </w:style>
  <w:style w:type="paragraph" w:customStyle="1" w:styleId="Reasons">
    <w:name w:val="Reasons"/>
    <w:basedOn w:val="Normal"/>
    <w:link w:val="ReasonsChar"/>
    <w:autoRedefine/>
    <w:qFormat/>
    <w:rsid w:val="00A626E0"/>
    <w:rPr>
      <w:b/>
      <w:bCs/>
    </w:rPr>
  </w:style>
  <w:style w:type="character" w:customStyle="1" w:styleId="ReasonsChar">
    <w:name w:val="Reasons Char"/>
    <w:basedOn w:val="DefaultParagraphFont"/>
    <w:link w:val="Reasons"/>
    <w:rsid w:val="00A626E0"/>
    <w:rPr>
      <w:rFonts w:ascii="Dubai" w:hAnsi="Dubai" w:cs="Dubai"/>
      <w:b/>
      <w:bCs/>
      <w:sz w:val="22"/>
      <w:szCs w:val="22"/>
      <w:lang w:val="en-GB" w:eastAsia="en-US" w:bidi="ar-EG"/>
    </w:rPr>
  </w:style>
  <w:style w:type="paragraph" w:customStyle="1" w:styleId="ResNo">
    <w:name w:val="Res_No"/>
    <w:basedOn w:val="Normal"/>
    <w:next w:val="Normal"/>
    <w:link w:val="ResNoChar"/>
    <w:rsid w:val="00A626E0"/>
    <w:pPr>
      <w:keepNext/>
      <w:spacing w:before="720"/>
      <w:jc w:val="center"/>
    </w:pPr>
    <w:rPr>
      <w:position w:val="2"/>
      <w:sz w:val="28"/>
      <w:szCs w:val="28"/>
      <w:lang w:val="en-US"/>
    </w:rPr>
  </w:style>
  <w:style w:type="character" w:customStyle="1" w:styleId="ResNoChar">
    <w:name w:val="Res_No Char"/>
    <w:basedOn w:val="DefaultParagraphFont"/>
    <w:link w:val="ResNo"/>
    <w:locked/>
    <w:rsid w:val="00A626E0"/>
    <w:rPr>
      <w:rFonts w:ascii="Dubai" w:hAnsi="Dubai" w:cs="Dubai"/>
      <w:position w:val="2"/>
      <w:sz w:val="28"/>
      <w:szCs w:val="28"/>
      <w:lang w:eastAsia="en-US" w:bidi="ar-EG"/>
    </w:rPr>
  </w:style>
  <w:style w:type="paragraph" w:customStyle="1" w:styleId="Restitle">
    <w:name w:val="Res_title"/>
    <w:basedOn w:val="Normal"/>
    <w:next w:val="Normal"/>
    <w:link w:val="RestitleChar"/>
    <w:rsid w:val="00A626E0"/>
    <w:pPr>
      <w:keepNext/>
      <w:spacing w:before="240"/>
      <w:jc w:val="center"/>
    </w:pPr>
    <w:rPr>
      <w:b/>
      <w:bCs/>
      <w:sz w:val="28"/>
      <w:szCs w:val="28"/>
      <w:lang w:val="en-US" w:bidi="ar-SA"/>
    </w:rPr>
  </w:style>
  <w:style w:type="character" w:customStyle="1" w:styleId="RestitleChar">
    <w:name w:val="Res_title Char"/>
    <w:basedOn w:val="DefaultParagraphFont"/>
    <w:link w:val="Restitle"/>
    <w:rsid w:val="00A626E0"/>
    <w:rPr>
      <w:rFonts w:ascii="Dubai" w:hAnsi="Dubai" w:cs="Dubai"/>
      <w:b/>
      <w:bCs/>
      <w:sz w:val="28"/>
      <w:szCs w:val="28"/>
      <w:lang w:eastAsia="en-US"/>
    </w:rPr>
  </w:style>
  <w:style w:type="paragraph" w:customStyle="1" w:styleId="Section1">
    <w:name w:val="Section 1"/>
    <w:basedOn w:val="ChapNo"/>
    <w:next w:val="Normal"/>
    <w:link w:val="Section1Char"/>
    <w:autoRedefine/>
    <w:qFormat/>
    <w:rsid w:val="003915D1"/>
    <w:pPr>
      <w:framePr w:wrap="around" w:hAnchor="text"/>
      <w:spacing w:before="480"/>
    </w:pPr>
  </w:style>
  <w:style w:type="character" w:customStyle="1" w:styleId="Section1Char">
    <w:name w:val="Section 1 Char"/>
    <w:basedOn w:val="ChapNoChar"/>
    <w:link w:val="Section1"/>
    <w:rsid w:val="003915D1"/>
    <w:rPr>
      <w:rFonts w:ascii="Calibri" w:hAnsi="Calibri" w:cs="Traditional Arabic"/>
      <w:sz w:val="28"/>
      <w:szCs w:val="40"/>
      <w:lang w:val="en-GB" w:eastAsia="en-US" w:bidi="ar-EG"/>
    </w:rPr>
  </w:style>
  <w:style w:type="paragraph" w:customStyle="1" w:styleId="Section2">
    <w:name w:val="Section 2"/>
    <w:basedOn w:val="Section1"/>
    <w:next w:val="Normal"/>
    <w:rsid w:val="00A626E0"/>
    <w:pPr>
      <w:framePr w:wrap="around"/>
      <w:spacing w:before="240"/>
    </w:pPr>
    <w:rPr>
      <w:b/>
      <w:bCs/>
      <w:i/>
      <w:iCs/>
      <w:caps/>
      <w:position w:val="2"/>
    </w:rPr>
  </w:style>
  <w:style w:type="paragraph" w:customStyle="1" w:styleId="ArtNoS2">
    <w:name w:val="Art_No_S2"/>
    <w:basedOn w:val="ChaptitleS2"/>
    <w:next w:val="Normal"/>
    <w:rsid w:val="003E018F"/>
    <w:pPr>
      <w:keepNext w:val="0"/>
      <w:framePr w:wrap="around"/>
      <w:spacing w:before="600" w:after="80" w:line="260" w:lineRule="exact"/>
    </w:pPr>
    <w:rPr>
      <w:rFonts w:asciiTheme="minorHAnsi" w:hAnsiTheme="minorHAnsi"/>
    </w:rPr>
  </w:style>
  <w:style w:type="paragraph" w:customStyle="1" w:styleId="ChaptitleS2">
    <w:name w:val="Chap_title_S2"/>
    <w:basedOn w:val="Chaptitle"/>
    <w:next w:val="Normal"/>
    <w:rsid w:val="003E018F"/>
    <w:pPr>
      <w:framePr w:wrap="around"/>
      <w:tabs>
        <w:tab w:val="left" w:pos="851"/>
      </w:tabs>
      <w:spacing w:line="240" w:lineRule="exact"/>
      <w:jc w:val="left"/>
    </w:pPr>
    <w:rPr>
      <w:sz w:val="22"/>
      <w:szCs w:val="30"/>
      <w:lang w:val="en-US" w:bidi="ar-SA"/>
    </w:rPr>
  </w:style>
  <w:style w:type="paragraph" w:customStyle="1" w:styleId="ArttitleS2">
    <w:name w:val="Art_title_S2"/>
    <w:basedOn w:val="ArtNoS2"/>
    <w:next w:val="Normal"/>
    <w:rsid w:val="008A71A0"/>
    <w:pPr>
      <w:keepNext/>
      <w:keepLines/>
      <w:framePr w:wrap="around"/>
      <w:spacing w:before="300" w:after="0" w:line="280" w:lineRule="exact"/>
    </w:pPr>
  </w:style>
  <w:style w:type="paragraph" w:customStyle="1" w:styleId="ChapNoS2">
    <w:name w:val="Chap_No_S2"/>
    <w:basedOn w:val="ChapNo"/>
    <w:next w:val="Normal"/>
    <w:rsid w:val="0022421F"/>
    <w:pPr>
      <w:framePr w:wrap="around" w:hAnchor="text"/>
      <w:tabs>
        <w:tab w:val="left" w:pos="851"/>
      </w:tabs>
      <w:spacing w:after="0"/>
      <w:jc w:val="left"/>
    </w:pPr>
    <w:rPr>
      <w:b/>
      <w:bCs/>
      <w:position w:val="2"/>
      <w:sz w:val="22"/>
      <w:szCs w:val="22"/>
      <w:lang w:val="en-US" w:bidi="ar-SA"/>
    </w:rPr>
  </w:style>
  <w:style w:type="paragraph" w:customStyle="1" w:styleId="enumlev2S2">
    <w:name w:val="enumlev2_S2"/>
    <w:basedOn w:val="enumlev1S2"/>
    <w:link w:val="enumlev2S2Char"/>
    <w:rsid w:val="004E150E"/>
    <w:pPr>
      <w:framePr w:wrap="around" w:hAnchor="text"/>
    </w:pPr>
  </w:style>
  <w:style w:type="character" w:customStyle="1" w:styleId="enumlev2S2Char">
    <w:name w:val="enumlev2_S2 Char"/>
    <w:basedOn w:val="enumlev2Char"/>
    <w:link w:val="enumlev2S2"/>
    <w:uiPriority w:val="99"/>
    <w:rsid w:val="004E150E"/>
    <w:rPr>
      <w:rFonts w:ascii="Times New Roman Bold" w:hAnsi="Times New Roman Bold" w:cs="Traditional Arabic"/>
      <w:b/>
      <w:bCs/>
      <w:sz w:val="22"/>
      <w:szCs w:val="30"/>
      <w:lang w:val="en-GB" w:eastAsia="en-US" w:bidi="ar-EG"/>
    </w:rPr>
  </w:style>
  <w:style w:type="paragraph" w:customStyle="1" w:styleId="enumlev3S2">
    <w:name w:val="enumlev3_S2"/>
    <w:basedOn w:val="enumlev1S2"/>
    <w:rsid w:val="000171F8"/>
    <w:pPr>
      <w:framePr w:wrap="around" w:hAnchor="text"/>
    </w:pPr>
  </w:style>
  <w:style w:type="paragraph" w:customStyle="1" w:styleId="NormalS2">
    <w:name w:val="Normal_S2"/>
    <w:basedOn w:val="Normal"/>
    <w:next w:val="Normal"/>
    <w:autoRedefine/>
    <w:qFormat/>
    <w:rsid w:val="00202773"/>
    <w:pPr>
      <w:jc w:val="left"/>
    </w:pPr>
    <w:rPr>
      <w:b/>
      <w:bCs/>
      <w:lang w:val="en-US"/>
    </w:rPr>
  </w:style>
  <w:style w:type="paragraph" w:customStyle="1" w:styleId="ReasonsS2">
    <w:name w:val="Reasons_S2"/>
    <w:basedOn w:val="Reasons"/>
    <w:rsid w:val="00A626E0"/>
    <w:pPr>
      <w:tabs>
        <w:tab w:val="clear" w:pos="567"/>
        <w:tab w:val="clear" w:pos="1134"/>
        <w:tab w:val="clear" w:pos="1701"/>
        <w:tab w:val="clear" w:pos="2268"/>
        <w:tab w:val="clear" w:pos="2835"/>
        <w:tab w:val="left" w:pos="851"/>
      </w:tabs>
    </w:pPr>
    <w:rPr>
      <w:b w:val="0"/>
      <w:bCs w:val="0"/>
      <w:position w:val="2"/>
      <w:lang w:val="en-US" w:bidi="ar-SA"/>
    </w:rPr>
  </w:style>
  <w:style w:type="paragraph" w:customStyle="1" w:styleId="RecNoS2">
    <w:name w:val="Rec_No_S2"/>
    <w:basedOn w:val="Normal"/>
    <w:next w:val="Normal"/>
    <w:rsid w:val="005F0D0D"/>
    <w:pPr>
      <w:tabs>
        <w:tab w:val="clear" w:pos="567"/>
        <w:tab w:val="clear" w:pos="1134"/>
        <w:tab w:val="clear" w:pos="1701"/>
        <w:tab w:val="clear" w:pos="2268"/>
        <w:tab w:val="clear" w:pos="2835"/>
        <w:tab w:val="left" w:pos="851"/>
      </w:tabs>
      <w:spacing w:before="100" w:after="80" w:line="260" w:lineRule="exact"/>
      <w:jc w:val="left"/>
    </w:pPr>
    <w:rPr>
      <w:rFonts w:asciiTheme="minorHAnsi" w:hAnsiTheme="minorHAnsi"/>
      <w:b/>
      <w:bCs/>
      <w:position w:val="2"/>
      <w:lang w:val="en-US" w:bidi="ar-SA"/>
    </w:rPr>
  </w:style>
  <w:style w:type="paragraph" w:customStyle="1" w:styleId="RectitleS2">
    <w:name w:val="Rec_title_S2"/>
    <w:basedOn w:val="Rectitle"/>
    <w:next w:val="Normal"/>
    <w:link w:val="RectitleS2Char"/>
    <w:rsid w:val="00057CBE"/>
    <w:pPr>
      <w:tabs>
        <w:tab w:val="clear" w:pos="567"/>
        <w:tab w:val="clear" w:pos="1134"/>
        <w:tab w:val="clear" w:pos="1701"/>
        <w:tab w:val="clear" w:pos="2268"/>
        <w:tab w:val="clear" w:pos="2835"/>
        <w:tab w:val="left" w:pos="851"/>
      </w:tabs>
      <w:jc w:val="left"/>
    </w:pPr>
    <w:rPr>
      <w:b w:val="0"/>
      <w:bCs w:val="0"/>
      <w:caps/>
    </w:rPr>
  </w:style>
  <w:style w:type="character" w:customStyle="1" w:styleId="RectitleS2Char">
    <w:name w:val="Rec_title_S2 Char"/>
    <w:basedOn w:val="RectitleChar"/>
    <w:link w:val="RectitleS2"/>
    <w:uiPriority w:val="99"/>
    <w:rsid w:val="00057CBE"/>
    <w:rPr>
      <w:rFonts w:ascii="Times New Roman Bold" w:hAnsi="Times New Roman Bold" w:cs="Traditional Arabic"/>
      <w:b/>
      <w:bCs/>
      <w:caps/>
      <w:position w:val="2"/>
      <w:sz w:val="26"/>
      <w:szCs w:val="36"/>
      <w:lang w:val="en-GB" w:eastAsia="en-US" w:bidi="ar-SA"/>
    </w:rPr>
  </w:style>
  <w:style w:type="paragraph" w:customStyle="1" w:styleId="ReftextS2">
    <w:name w:val="Ref_text_S2"/>
    <w:basedOn w:val="Reftext"/>
    <w:rsid w:val="00057CBE"/>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057CBE"/>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Normal"/>
    <w:next w:val="Normal"/>
    <w:rsid w:val="005F0D0D"/>
    <w:pPr>
      <w:keepNext/>
      <w:keepLines/>
      <w:tabs>
        <w:tab w:val="clear" w:pos="567"/>
        <w:tab w:val="clear" w:pos="1134"/>
        <w:tab w:val="clear" w:pos="1701"/>
        <w:tab w:val="clear" w:pos="2268"/>
        <w:tab w:val="clear" w:pos="2835"/>
        <w:tab w:val="left" w:pos="851"/>
      </w:tabs>
      <w:spacing w:before="100" w:after="80" w:line="260" w:lineRule="exact"/>
      <w:jc w:val="left"/>
    </w:pPr>
    <w:rPr>
      <w:rFonts w:asciiTheme="minorHAnsi" w:hAnsiTheme="minorHAnsi"/>
      <w:b/>
      <w:bCs/>
      <w:position w:val="2"/>
      <w:lang w:val="en-US" w:bidi="ar-SA"/>
    </w:rPr>
  </w:style>
  <w:style w:type="paragraph" w:customStyle="1" w:styleId="Section1S2">
    <w:name w:val="Section 1_S2"/>
    <w:basedOn w:val="Section1"/>
    <w:next w:val="NormalS2"/>
    <w:rsid w:val="0022421F"/>
    <w:pPr>
      <w:framePr w:wrap="around"/>
      <w:tabs>
        <w:tab w:val="left" w:pos="851"/>
      </w:tabs>
      <w:spacing w:after="0" w:line="260" w:lineRule="exact"/>
      <w:jc w:val="left"/>
    </w:pPr>
    <w:rPr>
      <w:rFonts w:asciiTheme="minorHAnsi" w:hAnsiTheme="minorHAnsi"/>
      <w:b/>
      <w:bCs/>
      <w:position w:val="2"/>
      <w:sz w:val="22"/>
      <w:szCs w:val="22"/>
      <w:lang w:bidi="ar-SA"/>
    </w:rPr>
  </w:style>
  <w:style w:type="paragraph" w:customStyle="1" w:styleId="Section2S2">
    <w:name w:val="Section 2_S2"/>
    <w:basedOn w:val="Section2"/>
    <w:next w:val="NormalS2"/>
    <w:rsid w:val="00057CBE"/>
    <w:pPr>
      <w:framePr w:wrap="around"/>
      <w:tabs>
        <w:tab w:val="left" w:pos="851"/>
      </w:tabs>
      <w:jc w:val="left"/>
    </w:pPr>
    <w:rPr>
      <w:sz w:val="24"/>
    </w:rPr>
  </w:style>
  <w:style w:type="paragraph" w:customStyle="1" w:styleId="TableNoS2">
    <w:name w:val="Table_No_S2"/>
    <w:basedOn w:val="TableNo"/>
    <w:next w:val="Normal"/>
    <w:rsid w:val="00057CBE"/>
    <w:pPr>
      <w:keepNext w:val="0"/>
      <w:tabs>
        <w:tab w:val="clear" w:pos="567"/>
        <w:tab w:val="clear" w:pos="1134"/>
        <w:tab w:val="clear" w:pos="1701"/>
        <w:tab w:val="clear" w:pos="2268"/>
        <w:tab w:val="clear" w:pos="2835"/>
        <w:tab w:val="left" w:pos="851"/>
      </w:tabs>
      <w:jc w:val="left"/>
    </w:pPr>
    <w:rPr>
      <w:b/>
    </w:rPr>
  </w:style>
  <w:style w:type="paragraph" w:customStyle="1" w:styleId="TablelegendS2">
    <w:name w:val="Table_legend_S2"/>
    <w:basedOn w:val="Tablelegend"/>
    <w:rsid w:val="00A626E0"/>
    <w:pPr>
      <w:tabs>
        <w:tab w:val="left" w:pos="851"/>
      </w:tabs>
      <w:spacing w:before="80" w:after="40"/>
    </w:pPr>
    <w:rPr>
      <w:b/>
      <w:bCs/>
    </w:rPr>
  </w:style>
  <w:style w:type="paragraph" w:customStyle="1" w:styleId="TabletextS2">
    <w:name w:val="Table_text_S2"/>
    <w:basedOn w:val="Tabletext"/>
    <w:rsid w:val="00A626E0"/>
    <w:pPr>
      <w:tabs>
        <w:tab w:val="left" w:pos="851"/>
      </w:tabs>
    </w:pPr>
    <w:rPr>
      <w:b/>
      <w:bCs/>
    </w:rPr>
  </w:style>
  <w:style w:type="paragraph" w:customStyle="1" w:styleId="Artheading">
    <w:name w:val="Art_heading"/>
    <w:basedOn w:val="Normal"/>
    <w:next w:val="Normal"/>
    <w:link w:val="ArtheadingChar"/>
    <w:rsid w:val="003A0ECA"/>
    <w:pPr>
      <w:tabs>
        <w:tab w:val="clear" w:pos="567"/>
        <w:tab w:val="clear" w:pos="1134"/>
        <w:tab w:val="clear" w:pos="1701"/>
        <w:tab w:val="clear" w:pos="2268"/>
        <w:tab w:val="clear" w:pos="2835"/>
      </w:tabs>
      <w:spacing w:before="480"/>
      <w:jc w:val="center"/>
    </w:pPr>
    <w:rPr>
      <w:b/>
      <w:bCs/>
      <w:sz w:val="24"/>
      <w:szCs w:val="24"/>
    </w:rPr>
  </w:style>
  <w:style w:type="character" w:customStyle="1" w:styleId="ArtheadingChar">
    <w:name w:val="Art_heading Char"/>
    <w:basedOn w:val="DefaultParagraphFont"/>
    <w:link w:val="Artheading"/>
    <w:rsid w:val="003A0ECA"/>
    <w:rPr>
      <w:rFonts w:ascii="Dubai" w:hAnsi="Dubai" w:cs="Dubai"/>
      <w:b/>
      <w:bCs/>
      <w:sz w:val="24"/>
      <w:szCs w:val="24"/>
      <w:lang w:val="en-GB" w:eastAsia="en-US" w:bidi="ar-EG"/>
    </w:rPr>
  </w:style>
  <w:style w:type="paragraph" w:customStyle="1" w:styleId="ArtheadingS2">
    <w:name w:val="Art_heading_S2"/>
    <w:basedOn w:val="Artheading"/>
    <w:next w:val="Normal"/>
    <w:rsid w:val="003A0ECA"/>
    <w:pPr>
      <w:tabs>
        <w:tab w:val="left" w:pos="851"/>
      </w:tabs>
      <w:jc w:val="left"/>
    </w:pPr>
  </w:style>
  <w:style w:type="paragraph" w:customStyle="1" w:styleId="Headingb">
    <w:name w:val="Heading_b"/>
    <w:basedOn w:val="Heading3"/>
    <w:next w:val="Normal"/>
    <w:rsid w:val="00A626E0"/>
    <w:pPr>
      <w:outlineLvl w:val="0"/>
    </w:pPr>
    <w:rPr>
      <w:position w:val="2"/>
      <w:sz w:val="24"/>
      <w:szCs w:val="24"/>
    </w:rPr>
  </w:style>
  <w:style w:type="paragraph" w:customStyle="1" w:styleId="HeadingiS2">
    <w:name w:val="Headingi_S2"/>
    <w:basedOn w:val="Headingi"/>
    <w:next w:val="Normal"/>
    <w:rsid w:val="00A626E0"/>
    <w:pPr>
      <w:tabs>
        <w:tab w:val="clear" w:pos="567"/>
        <w:tab w:val="clear" w:pos="1134"/>
        <w:tab w:val="clear" w:pos="1701"/>
        <w:tab w:val="clear" w:pos="2268"/>
        <w:tab w:val="clear" w:pos="2835"/>
        <w:tab w:val="left" w:pos="851"/>
      </w:tabs>
    </w:pPr>
  </w:style>
  <w:style w:type="paragraph" w:customStyle="1" w:styleId="Headingi">
    <w:name w:val="Heading_i"/>
    <w:basedOn w:val="Heading3"/>
    <w:next w:val="Normal"/>
    <w:qFormat/>
    <w:rsid w:val="00A626E0"/>
    <w:pPr>
      <w:spacing w:before="160"/>
      <w:outlineLvl w:val="0"/>
    </w:pPr>
    <w:rPr>
      <w:b w:val="0"/>
      <w:bCs w:val="0"/>
      <w:i/>
      <w:iCs/>
      <w:position w:val="2"/>
    </w:rPr>
  </w:style>
  <w:style w:type="paragraph" w:customStyle="1" w:styleId="FirstFooter">
    <w:name w:val="FirstFooter"/>
    <w:basedOn w:val="Normal"/>
    <w:link w:val="FirstFooterChar"/>
    <w:rsid w:val="00FE7FCA"/>
    <w:pPr>
      <w:bidi w:val="0"/>
      <w:jc w:val="center"/>
    </w:pPr>
    <w:rPr>
      <w:sz w:val="18"/>
    </w:rPr>
  </w:style>
  <w:style w:type="character" w:customStyle="1" w:styleId="FirstFooterChar">
    <w:name w:val="FirstFooter Char"/>
    <w:basedOn w:val="DefaultParagraphFont"/>
    <w:link w:val="FirstFooter"/>
    <w:uiPriority w:val="99"/>
    <w:rsid w:val="00FE7FCA"/>
    <w:rPr>
      <w:rFonts w:ascii="Calibri" w:eastAsia="SimSun" w:hAnsi="Calibri" w:cs="Traditional Arabic"/>
      <w:sz w:val="18"/>
      <w:szCs w:val="30"/>
      <w:lang w:val="en-GB" w:eastAsia="en-US" w:bidi="ar-EG"/>
    </w:rPr>
  </w:style>
  <w:style w:type="character" w:styleId="PageNumber">
    <w:name w:val="page number"/>
    <w:basedOn w:val="DefaultParagraphFont"/>
    <w:rsid w:val="00057CBE"/>
    <w:rPr>
      <w:rFonts w:ascii="Times New Roman" w:hAnsi="Times New Roman" w:cs="Times New Roman"/>
      <w:color w:val="auto"/>
      <w:sz w:val="18"/>
      <w:szCs w:val="18"/>
      <w:u w:val="none"/>
    </w:rPr>
  </w:style>
  <w:style w:type="character" w:styleId="Hyperlink">
    <w:name w:val="Hyperlink"/>
    <w:basedOn w:val="DefaultParagraphFont"/>
    <w:rsid w:val="00057CBE"/>
    <w:rPr>
      <w:color w:val="0000FF"/>
      <w:u w:val="single"/>
    </w:rPr>
  </w:style>
  <w:style w:type="paragraph" w:styleId="Date">
    <w:name w:val="Date"/>
    <w:basedOn w:val="Normal"/>
    <w:link w:val="DateChar"/>
    <w:uiPriority w:val="99"/>
    <w:rsid w:val="00A626E0"/>
    <w:pPr>
      <w:tabs>
        <w:tab w:val="clear" w:pos="2268"/>
        <w:tab w:val="left" w:pos="1843"/>
        <w:tab w:val="left" w:pos="2269"/>
        <w:tab w:val="left" w:pos="3544"/>
        <w:tab w:val="left" w:pos="3969"/>
      </w:tabs>
      <w:jc w:val="center"/>
    </w:pPr>
    <w:rPr>
      <w:sz w:val="20"/>
      <w:szCs w:val="20"/>
    </w:rPr>
  </w:style>
  <w:style w:type="character" w:customStyle="1" w:styleId="DateChar">
    <w:name w:val="Date Char"/>
    <w:basedOn w:val="DefaultParagraphFont"/>
    <w:link w:val="Date"/>
    <w:uiPriority w:val="99"/>
    <w:rsid w:val="00A626E0"/>
    <w:rPr>
      <w:rFonts w:ascii="Dubai" w:hAnsi="Dubai" w:cs="Dubai"/>
      <w:lang w:val="en-GB" w:eastAsia="en-US" w:bidi="ar-EG"/>
    </w:rPr>
  </w:style>
  <w:style w:type="paragraph" w:customStyle="1" w:styleId="DectitleS2">
    <w:name w:val="Dec_title_S2"/>
    <w:basedOn w:val="Normal"/>
    <w:next w:val="Normal"/>
    <w:qFormat/>
    <w:rsid w:val="00B40192"/>
    <w:pPr>
      <w:tabs>
        <w:tab w:val="clear" w:pos="567"/>
        <w:tab w:val="clear" w:pos="1134"/>
        <w:tab w:val="clear" w:pos="1701"/>
        <w:tab w:val="clear" w:pos="2268"/>
        <w:tab w:val="clear" w:pos="2835"/>
        <w:tab w:val="left" w:pos="851"/>
      </w:tabs>
      <w:bidi w:val="0"/>
      <w:spacing w:before="240" w:after="240" w:line="240" w:lineRule="auto"/>
      <w:jc w:val="left"/>
    </w:pPr>
    <w:rPr>
      <w:rFonts w:cs="Times New Roman"/>
      <w:b/>
      <w:sz w:val="24"/>
      <w:szCs w:val="20"/>
      <w:lang w:bidi="ar-SA"/>
    </w:rPr>
  </w:style>
  <w:style w:type="character" w:styleId="EndnoteReference">
    <w:name w:val="endnote reference"/>
    <w:basedOn w:val="DefaultParagraphFont"/>
    <w:semiHidden/>
    <w:rsid w:val="00057CBE"/>
    <w:rPr>
      <w:vertAlign w:val="superscript"/>
    </w:rPr>
  </w:style>
  <w:style w:type="paragraph" w:customStyle="1" w:styleId="Figurelegend">
    <w:name w:val="Figure_legend"/>
    <w:basedOn w:val="Normal"/>
    <w:rsid w:val="00A626E0"/>
    <w:pPr>
      <w:keepNext/>
      <w:keepLines/>
      <w:tabs>
        <w:tab w:val="clear" w:pos="567"/>
        <w:tab w:val="clear" w:pos="1134"/>
        <w:tab w:val="clear" w:pos="1701"/>
        <w:tab w:val="clear" w:pos="2268"/>
        <w:tab w:val="clear" w:pos="2835"/>
      </w:tabs>
      <w:spacing w:before="60" w:after="60"/>
    </w:pPr>
    <w:rPr>
      <w:sz w:val="20"/>
      <w:szCs w:val="20"/>
    </w:rPr>
  </w:style>
  <w:style w:type="paragraph" w:customStyle="1" w:styleId="Recdate">
    <w:name w:val="Rec_date"/>
    <w:basedOn w:val="Normal"/>
    <w:next w:val="Normal"/>
    <w:rsid w:val="00057CBE"/>
    <w:pPr>
      <w:keepNext/>
      <w:keepLines/>
      <w:jc w:val="right"/>
    </w:pPr>
    <w:rPr>
      <w:i/>
    </w:rPr>
  </w:style>
  <w:style w:type="character" w:customStyle="1" w:styleId="Recdef">
    <w:name w:val="Rec_def"/>
    <w:basedOn w:val="DefaultParagraphFont"/>
    <w:uiPriority w:val="99"/>
    <w:rsid w:val="00F5039E"/>
    <w:rPr>
      <w:rFonts w:asciiTheme="minorHAnsi" w:hAnsiTheme="minorHAnsi"/>
      <w:b/>
    </w:rPr>
  </w:style>
  <w:style w:type="paragraph" w:customStyle="1" w:styleId="Resdate">
    <w:name w:val="Res_date"/>
    <w:basedOn w:val="Recdate"/>
    <w:next w:val="Normal"/>
    <w:rsid w:val="00057CBE"/>
  </w:style>
  <w:style w:type="paragraph" w:customStyle="1" w:styleId="Resref">
    <w:name w:val="Res_ref"/>
    <w:basedOn w:val="Normal"/>
    <w:next w:val="Resdate"/>
    <w:rsid w:val="00353D14"/>
    <w:pPr>
      <w:keepNext/>
      <w:keepLines/>
      <w:jc w:val="center"/>
    </w:pPr>
    <w:rPr>
      <w:i/>
      <w:iCs/>
    </w:rPr>
  </w:style>
  <w:style w:type="paragraph" w:customStyle="1" w:styleId="SectionNo">
    <w:name w:val="Section_No"/>
    <w:basedOn w:val="Normal"/>
    <w:next w:val="Normal"/>
    <w:rsid w:val="00A626E0"/>
    <w:pPr>
      <w:keepNext/>
      <w:spacing w:before="360"/>
      <w:jc w:val="center"/>
    </w:pPr>
    <w:rPr>
      <w:sz w:val="28"/>
      <w:szCs w:val="28"/>
    </w:rPr>
  </w:style>
  <w:style w:type="table" w:styleId="TableGrid">
    <w:name w:val="Table Grid"/>
    <w:basedOn w:val="TableNormal"/>
    <w:uiPriority w:val="59"/>
    <w:rsid w:val="00057CBE"/>
    <w:pPr>
      <w:overflowPunct w:val="0"/>
      <w:autoSpaceDE w:val="0"/>
      <w:autoSpaceDN w:val="0"/>
      <w:bidi/>
      <w:adjustRightInd w:val="0"/>
      <w:spacing w:before="120" w:line="192"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ref">
    <w:name w:val="Table_ref"/>
    <w:basedOn w:val="Normal"/>
    <w:next w:val="Normal"/>
    <w:rsid w:val="00057CBE"/>
    <w:pPr>
      <w:keepNext/>
      <w:spacing w:before="0" w:after="120"/>
      <w:jc w:val="center"/>
    </w:pPr>
  </w:style>
  <w:style w:type="paragraph" w:customStyle="1" w:styleId="Title4">
    <w:name w:val="Title 4"/>
    <w:basedOn w:val="Title3"/>
    <w:next w:val="Heading1"/>
    <w:rsid w:val="00537938"/>
    <w:rPr>
      <w:b/>
      <w:bCs/>
      <w:sz w:val="24"/>
      <w:szCs w:val="24"/>
    </w:rPr>
  </w:style>
  <w:style w:type="paragraph" w:customStyle="1" w:styleId="SectiontitleS2">
    <w:name w:val="Section_title_S2"/>
    <w:basedOn w:val="SectionNoS2"/>
    <w:qFormat/>
    <w:rsid w:val="008A71A0"/>
    <w:pPr>
      <w:spacing w:before="300" w:after="0" w:line="280" w:lineRule="exact"/>
    </w:pPr>
  </w:style>
  <w:style w:type="paragraph" w:customStyle="1" w:styleId="HeadingbS2">
    <w:name w:val="Heading_b_S2"/>
    <w:basedOn w:val="Normal"/>
    <w:uiPriority w:val="99"/>
    <w:qFormat/>
    <w:rsid w:val="00A626E0"/>
    <w:pPr>
      <w:keepNext/>
      <w:keepLines/>
      <w:tabs>
        <w:tab w:val="clear" w:pos="567"/>
        <w:tab w:val="clear" w:pos="1134"/>
        <w:tab w:val="clear" w:pos="1701"/>
        <w:tab w:val="clear" w:pos="2268"/>
        <w:tab w:val="clear" w:pos="2835"/>
        <w:tab w:val="left" w:pos="851"/>
      </w:tabs>
      <w:spacing w:before="200" w:after="40"/>
      <w:outlineLvl w:val="0"/>
    </w:pPr>
    <w:rPr>
      <w:b/>
      <w:bCs/>
      <w:position w:val="2"/>
      <w:lang w:val="en-US"/>
    </w:rPr>
  </w:style>
  <w:style w:type="paragraph" w:customStyle="1" w:styleId="NormalendS2">
    <w:name w:val="Normal_end_S2"/>
    <w:basedOn w:val="Normal"/>
    <w:qFormat/>
    <w:rsid w:val="00A626E0"/>
    <w:rPr>
      <w:lang w:val="en-US" w:eastAsia="zh-CN" w:bidi="ar-SA"/>
    </w:rPr>
  </w:style>
  <w:style w:type="paragraph" w:customStyle="1" w:styleId="Proposal">
    <w:name w:val="Proposal"/>
    <w:basedOn w:val="Normal"/>
    <w:autoRedefine/>
    <w:qFormat/>
    <w:rsid w:val="00A626E0"/>
    <w:pPr>
      <w:tabs>
        <w:tab w:val="clear" w:pos="567"/>
        <w:tab w:val="clear" w:pos="1701"/>
        <w:tab w:val="clear" w:pos="2268"/>
        <w:tab w:val="clear" w:pos="2835"/>
      </w:tabs>
      <w:spacing w:before="240"/>
    </w:pPr>
    <w:rPr>
      <w:b/>
      <w:bCs/>
      <w:lang w:val="en-US" w:bidi="ar-SA"/>
    </w:rPr>
  </w:style>
  <w:style w:type="paragraph" w:customStyle="1" w:styleId="AnnexNo">
    <w:name w:val="Annex_No"/>
    <w:basedOn w:val="Normal"/>
    <w:next w:val="Normal"/>
    <w:link w:val="AnnexNoChar"/>
    <w:rsid w:val="003A0ECA"/>
    <w:pPr>
      <w:spacing w:before="720"/>
      <w:jc w:val="center"/>
    </w:pPr>
    <w:rPr>
      <w:caps/>
      <w:sz w:val="26"/>
      <w:szCs w:val="26"/>
    </w:rPr>
  </w:style>
  <w:style w:type="character" w:customStyle="1" w:styleId="AnnexNoChar">
    <w:name w:val="Annex_No Char"/>
    <w:basedOn w:val="DefaultParagraphFont"/>
    <w:link w:val="AnnexNo"/>
    <w:rsid w:val="003A0ECA"/>
    <w:rPr>
      <w:rFonts w:ascii="Dubai" w:hAnsi="Dubai" w:cs="Dubai"/>
      <w:caps/>
      <w:sz w:val="26"/>
      <w:szCs w:val="26"/>
      <w:lang w:val="en-GB" w:eastAsia="en-US" w:bidi="ar-EG"/>
    </w:rPr>
  </w:style>
  <w:style w:type="paragraph" w:customStyle="1" w:styleId="Annextitle">
    <w:name w:val="Annex_title"/>
    <w:basedOn w:val="Normal"/>
    <w:next w:val="Normal"/>
    <w:link w:val="AnnextitleChar"/>
    <w:rsid w:val="003A0ECA"/>
    <w:pPr>
      <w:spacing w:before="240" w:after="240"/>
      <w:jc w:val="center"/>
    </w:pPr>
    <w:rPr>
      <w:b/>
      <w:bCs/>
      <w:sz w:val="28"/>
      <w:szCs w:val="28"/>
    </w:rPr>
  </w:style>
  <w:style w:type="character" w:customStyle="1" w:styleId="AnnextitleChar">
    <w:name w:val="Annex_title Char"/>
    <w:basedOn w:val="DefaultParagraphFont"/>
    <w:link w:val="Annextitle"/>
    <w:rsid w:val="003A0ECA"/>
    <w:rPr>
      <w:rFonts w:ascii="Dubai" w:hAnsi="Dubai" w:cs="Dubai"/>
      <w:b/>
      <w:bCs/>
      <w:sz w:val="28"/>
      <w:szCs w:val="28"/>
      <w:lang w:val="en-GB" w:eastAsia="en-US" w:bidi="ar-EG"/>
    </w:rPr>
  </w:style>
  <w:style w:type="paragraph" w:customStyle="1" w:styleId="Tabletitle">
    <w:name w:val="Table_title"/>
    <w:basedOn w:val="TableNo"/>
    <w:next w:val="Tabletext"/>
    <w:rsid w:val="00537938"/>
    <w:pPr>
      <w:tabs>
        <w:tab w:val="clear" w:pos="567"/>
        <w:tab w:val="clear" w:pos="1134"/>
        <w:tab w:val="clear" w:pos="1701"/>
        <w:tab w:val="clear" w:pos="2268"/>
        <w:tab w:val="clear" w:pos="2835"/>
        <w:tab w:val="left" w:pos="2948"/>
        <w:tab w:val="left" w:pos="4082"/>
      </w:tabs>
      <w:spacing w:before="0"/>
    </w:pPr>
    <w:rPr>
      <w:b/>
      <w:bCs/>
      <w:caps w:val="0"/>
    </w:rPr>
  </w:style>
  <w:style w:type="paragraph" w:customStyle="1" w:styleId="AppendixNo">
    <w:name w:val="Appendix_No"/>
    <w:basedOn w:val="AnnexNo"/>
    <w:next w:val="Normal"/>
    <w:link w:val="AppendixNoChar"/>
    <w:rsid w:val="003A0ECA"/>
  </w:style>
  <w:style w:type="character" w:customStyle="1" w:styleId="AppendixNoChar">
    <w:name w:val="Appendix_No Char"/>
    <w:basedOn w:val="AnnexNoChar"/>
    <w:link w:val="AppendixNo"/>
    <w:rsid w:val="003A0ECA"/>
    <w:rPr>
      <w:rFonts w:ascii="Dubai" w:hAnsi="Dubai" w:cs="Dubai"/>
      <w:caps/>
      <w:sz w:val="26"/>
      <w:szCs w:val="26"/>
      <w:lang w:val="en-GB" w:eastAsia="en-US" w:bidi="ar-EG"/>
    </w:rPr>
  </w:style>
  <w:style w:type="paragraph" w:customStyle="1" w:styleId="Appendixtitle">
    <w:name w:val="Appendix_title"/>
    <w:basedOn w:val="Annextitle"/>
    <w:next w:val="Normal"/>
    <w:rsid w:val="00650A04"/>
    <w:rPr>
      <w:sz w:val="26"/>
      <w:szCs w:val="36"/>
    </w:rPr>
  </w:style>
  <w:style w:type="paragraph" w:customStyle="1" w:styleId="AppendixtitleS2">
    <w:name w:val="Appendix_title_S2"/>
    <w:basedOn w:val="Appendixtitle"/>
    <w:next w:val="Normal"/>
    <w:rsid w:val="00650A04"/>
    <w:pPr>
      <w:tabs>
        <w:tab w:val="clear" w:pos="567"/>
        <w:tab w:val="clear" w:pos="1134"/>
        <w:tab w:val="clear" w:pos="1701"/>
        <w:tab w:val="clear" w:pos="2268"/>
        <w:tab w:val="clear" w:pos="2835"/>
        <w:tab w:val="left" w:pos="851"/>
      </w:tabs>
      <w:jc w:val="left"/>
    </w:pPr>
    <w:rPr>
      <w:sz w:val="24"/>
      <w:szCs w:val="32"/>
    </w:rPr>
  </w:style>
  <w:style w:type="paragraph" w:customStyle="1" w:styleId="Heading1S2">
    <w:name w:val="Heading 1_S2"/>
    <w:basedOn w:val="Heading1"/>
    <w:next w:val="Normal"/>
    <w:rsid w:val="00A626E0"/>
    <w:pPr>
      <w:tabs>
        <w:tab w:val="clear" w:pos="567"/>
        <w:tab w:val="clear" w:pos="1134"/>
        <w:tab w:val="clear" w:pos="1701"/>
        <w:tab w:val="clear" w:pos="2268"/>
        <w:tab w:val="clear" w:pos="2835"/>
        <w:tab w:val="left" w:pos="851"/>
      </w:tabs>
      <w:ind w:left="0" w:firstLine="0"/>
      <w:outlineLvl w:val="9"/>
    </w:pPr>
    <w:rPr>
      <w:position w:val="2"/>
      <w:sz w:val="22"/>
      <w:szCs w:val="22"/>
    </w:rPr>
  </w:style>
  <w:style w:type="paragraph" w:customStyle="1" w:styleId="Heading2S2">
    <w:name w:val="Heading 2_S2"/>
    <w:basedOn w:val="Heading2"/>
    <w:next w:val="Normal"/>
    <w:rsid w:val="00A626E0"/>
    <w:pPr>
      <w:tabs>
        <w:tab w:val="clear" w:pos="567"/>
        <w:tab w:val="clear" w:pos="1134"/>
        <w:tab w:val="clear" w:pos="1701"/>
        <w:tab w:val="clear" w:pos="2268"/>
        <w:tab w:val="clear" w:pos="2835"/>
        <w:tab w:val="left" w:pos="851"/>
      </w:tabs>
    </w:pPr>
    <w:rPr>
      <w:sz w:val="22"/>
      <w:szCs w:val="22"/>
    </w:rPr>
  </w:style>
  <w:style w:type="paragraph" w:customStyle="1" w:styleId="Heading3S2">
    <w:name w:val="Heading 3_S2"/>
    <w:basedOn w:val="Heading3"/>
    <w:next w:val="Normal"/>
    <w:link w:val="Heading3S2Char"/>
    <w:rsid w:val="00A626E0"/>
    <w:pPr>
      <w:tabs>
        <w:tab w:val="clear" w:pos="567"/>
        <w:tab w:val="clear" w:pos="1134"/>
        <w:tab w:val="clear" w:pos="1701"/>
        <w:tab w:val="clear" w:pos="2268"/>
        <w:tab w:val="clear" w:pos="2835"/>
        <w:tab w:val="left" w:pos="851"/>
      </w:tabs>
    </w:pPr>
  </w:style>
  <w:style w:type="character" w:customStyle="1" w:styleId="Heading3S2Char">
    <w:name w:val="Heading 3_S2 Char"/>
    <w:basedOn w:val="Heading3Char"/>
    <w:link w:val="Heading3S2"/>
    <w:rsid w:val="00A626E0"/>
    <w:rPr>
      <w:rFonts w:ascii="Dubai" w:hAnsi="Dubai" w:cs="Dubai"/>
      <w:b/>
      <w:bCs/>
      <w:sz w:val="22"/>
      <w:szCs w:val="22"/>
      <w:lang w:val="en-GB" w:eastAsia="en-US" w:bidi="ar-EG"/>
    </w:rPr>
  </w:style>
  <w:style w:type="paragraph" w:customStyle="1" w:styleId="Heading4S2">
    <w:name w:val="Heading 4_S2"/>
    <w:basedOn w:val="Heading4"/>
    <w:next w:val="Normal"/>
    <w:link w:val="Heading4S2Char"/>
    <w:rsid w:val="00F5039E"/>
    <w:pPr>
      <w:tabs>
        <w:tab w:val="clear" w:pos="567"/>
        <w:tab w:val="clear" w:pos="1134"/>
        <w:tab w:val="clear" w:pos="1701"/>
        <w:tab w:val="clear" w:pos="2268"/>
        <w:tab w:val="clear" w:pos="2835"/>
        <w:tab w:val="left" w:pos="851"/>
      </w:tabs>
    </w:pPr>
    <w:rPr>
      <w:rFonts w:asciiTheme="minorHAnsi" w:hAnsiTheme="minorHAnsi"/>
    </w:rPr>
  </w:style>
  <w:style w:type="character" w:customStyle="1" w:styleId="Heading4S2Char">
    <w:name w:val="Heading 4_S2 Char"/>
    <w:basedOn w:val="Heading4Char"/>
    <w:link w:val="Heading4S2"/>
    <w:rsid w:val="00F5039E"/>
    <w:rPr>
      <w:rFonts w:asciiTheme="minorHAnsi" w:hAnsiTheme="minorHAnsi" w:cs="Traditional Arabic"/>
      <w:b/>
      <w:bCs/>
      <w:sz w:val="22"/>
      <w:szCs w:val="30"/>
      <w:lang w:val="en-GB" w:eastAsia="en-US" w:bidi="ar-EG"/>
    </w:rPr>
  </w:style>
  <w:style w:type="paragraph" w:customStyle="1" w:styleId="Heading5S2">
    <w:name w:val="Heading 5_S2"/>
    <w:basedOn w:val="Heading5"/>
    <w:next w:val="NormalS2"/>
    <w:rsid w:val="00F5039E"/>
    <w:pPr>
      <w:tabs>
        <w:tab w:val="clear" w:pos="567"/>
        <w:tab w:val="clear" w:pos="1134"/>
        <w:tab w:val="clear" w:pos="1701"/>
        <w:tab w:val="clear" w:pos="2268"/>
        <w:tab w:val="clear" w:pos="2835"/>
        <w:tab w:val="left" w:pos="851"/>
      </w:tabs>
    </w:pPr>
    <w:rPr>
      <w:rFonts w:asciiTheme="minorHAnsi" w:hAnsiTheme="minorHAnsi"/>
      <w:position w:val="2"/>
    </w:rPr>
  </w:style>
  <w:style w:type="paragraph" w:customStyle="1" w:styleId="Heading6S2">
    <w:name w:val="Heading 6_S2"/>
    <w:basedOn w:val="Heading6"/>
    <w:next w:val="Normal"/>
    <w:rsid w:val="00F5039E"/>
    <w:pPr>
      <w:tabs>
        <w:tab w:val="clear" w:pos="567"/>
        <w:tab w:val="clear" w:pos="1134"/>
        <w:tab w:val="clear" w:pos="1701"/>
        <w:tab w:val="clear" w:pos="2268"/>
        <w:tab w:val="clear" w:pos="2835"/>
        <w:tab w:val="left" w:pos="851"/>
      </w:tabs>
    </w:pPr>
    <w:rPr>
      <w:rFonts w:asciiTheme="minorHAnsi" w:hAnsiTheme="minorHAnsi"/>
    </w:rPr>
  </w:style>
  <w:style w:type="paragraph" w:customStyle="1" w:styleId="Heading7S2">
    <w:name w:val="Heading 7_S2"/>
    <w:basedOn w:val="Heading7"/>
    <w:next w:val="Normal"/>
    <w:rsid w:val="00A626E0"/>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
    <w:rsid w:val="00F5039E"/>
    <w:pPr>
      <w:tabs>
        <w:tab w:val="clear" w:pos="567"/>
        <w:tab w:val="clear" w:pos="1134"/>
        <w:tab w:val="clear" w:pos="1701"/>
        <w:tab w:val="clear" w:pos="2268"/>
        <w:tab w:val="clear" w:pos="2835"/>
        <w:tab w:val="left" w:pos="851"/>
      </w:tabs>
    </w:pPr>
    <w:rPr>
      <w:rFonts w:asciiTheme="minorHAnsi" w:hAnsiTheme="minorHAnsi"/>
    </w:rPr>
  </w:style>
  <w:style w:type="paragraph" w:customStyle="1" w:styleId="Heading9S2">
    <w:name w:val="Heading 9_S2"/>
    <w:basedOn w:val="Heading9"/>
    <w:next w:val="Normal"/>
    <w:rsid w:val="00A626E0"/>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
    <w:next w:val="Normal"/>
    <w:autoRedefine/>
    <w:qFormat/>
    <w:rsid w:val="00620F32"/>
    <w:pPr>
      <w:keepNext/>
      <w:keepLines/>
      <w:tabs>
        <w:tab w:val="clear" w:pos="567"/>
        <w:tab w:val="clear" w:pos="1134"/>
        <w:tab w:val="clear" w:pos="1701"/>
        <w:tab w:val="clear" w:pos="2268"/>
        <w:tab w:val="clear" w:pos="2835"/>
        <w:tab w:val="left" w:pos="851"/>
      </w:tabs>
      <w:spacing w:before="360"/>
    </w:pPr>
    <w:rPr>
      <w:b/>
      <w:bCs/>
      <w:position w:val="2"/>
    </w:rPr>
  </w:style>
  <w:style w:type="paragraph" w:customStyle="1" w:styleId="TabletitleS2">
    <w:name w:val="Table_title_S2"/>
    <w:basedOn w:val="Tabletitle"/>
    <w:next w:val="TabletextS2"/>
    <w:rsid w:val="00650A04"/>
    <w:pPr>
      <w:keepNext w:val="0"/>
      <w:tabs>
        <w:tab w:val="clear" w:pos="2948"/>
        <w:tab w:val="clear" w:pos="4082"/>
        <w:tab w:val="left" w:pos="851"/>
      </w:tabs>
      <w:jc w:val="left"/>
    </w:pPr>
  </w:style>
  <w:style w:type="paragraph" w:customStyle="1" w:styleId="NoteS2">
    <w:name w:val="Note_S2"/>
    <w:basedOn w:val="Note"/>
    <w:rsid w:val="00A626E0"/>
    <w:pPr>
      <w:tabs>
        <w:tab w:val="clear" w:pos="1134"/>
        <w:tab w:val="clear" w:pos="1701"/>
        <w:tab w:val="clear" w:pos="2268"/>
        <w:tab w:val="clear" w:pos="2835"/>
      </w:tabs>
    </w:pPr>
    <w:rPr>
      <w:b/>
      <w:bCs/>
      <w:sz w:val="22"/>
      <w:szCs w:val="22"/>
      <w:lang w:val="en-GB"/>
    </w:rPr>
  </w:style>
  <w:style w:type="paragraph" w:customStyle="1" w:styleId="Heading1cS2">
    <w:name w:val="Heading 1c_S2"/>
    <w:basedOn w:val="Normal"/>
    <w:next w:val="Normal"/>
    <w:rsid w:val="00A626E0"/>
    <w:pPr>
      <w:keepNext/>
      <w:keepLines/>
      <w:tabs>
        <w:tab w:val="clear" w:pos="567"/>
        <w:tab w:val="clear" w:pos="1134"/>
        <w:tab w:val="clear" w:pos="1701"/>
        <w:tab w:val="clear" w:pos="2268"/>
        <w:tab w:val="clear" w:pos="2835"/>
        <w:tab w:val="left" w:pos="851"/>
      </w:tabs>
      <w:spacing w:before="480"/>
      <w:jc w:val="left"/>
    </w:pPr>
    <w:rPr>
      <w:b/>
      <w:bCs/>
      <w:position w:val="2"/>
    </w:rPr>
  </w:style>
  <w:style w:type="paragraph" w:customStyle="1" w:styleId="Normalpv">
    <w:name w:val="Normal pv"/>
    <w:basedOn w:val="Normal"/>
    <w:rsid w:val="00650A04"/>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Recref">
    <w:name w:val="Rec_ref"/>
    <w:basedOn w:val="Normal"/>
    <w:next w:val="Recdate"/>
    <w:rsid w:val="00650A04"/>
    <w:pPr>
      <w:keepNext/>
      <w:keepLines/>
      <w:jc w:val="center"/>
    </w:pPr>
    <w:rPr>
      <w:i/>
      <w:iCs/>
    </w:rPr>
  </w:style>
  <w:style w:type="paragraph" w:customStyle="1" w:styleId="Sectiontitle">
    <w:name w:val="Section_title"/>
    <w:basedOn w:val="Normal"/>
    <w:next w:val="Normal"/>
    <w:rsid w:val="00A626E0"/>
    <w:pPr>
      <w:spacing w:before="240" w:after="240"/>
      <w:jc w:val="center"/>
    </w:pPr>
    <w:rPr>
      <w:b/>
      <w:bCs/>
      <w:sz w:val="28"/>
      <w:szCs w:val="28"/>
    </w:rPr>
  </w:style>
  <w:style w:type="paragraph" w:styleId="ListParagraph">
    <w:name w:val="List Paragraph"/>
    <w:basedOn w:val="Normal"/>
    <w:uiPriority w:val="99"/>
    <w:qFormat/>
    <w:rsid w:val="00650A04"/>
    <w:pPr>
      <w:ind w:left="720"/>
    </w:pPr>
  </w:style>
  <w:style w:type="paragraph" w:customStyle="1" w:styleId="DecNoS2">
    <w:name w:val="Dec_No_S2"/>
    <w:basedOn w:val="Normal"/>
    <w:qFormat/>
    <w:rsid w:val="00A626E0"/>
    <w:pPr>
      <w:keepNext/>
      <w:keepLines/>
      <w:tabs>
        <w:tab w:val="clear" w:pos="567"/>
        <w:tab w:val="clear" w:pos="1134"/>
        <w:tab w:val="clear" w:pos="1701"/>
        <w:tab w:val="clear" w:pos="2268"/>
        <w:tab w:val="clear" w:pos="2835"/>
        <w:tab w:val="left" w:pos="851"/>
      </w:tabs>
      <w:spacing w:before="100" w:after="80" w:line="260" w:lineRule="exact"/>
      <w:jc w:val="left"/>
    </w:pPr>
    <w:rPr>
      <w:b/>
      <w:bCs/>
      <w:position w:val="2"/>
      <w:lang w:val="en-US" w:bidi="ar-SA"/>
    </w:rPr>
  </w:style>
  <w:style w:type="paragraph" w:customStyle="1" w:styleId="VolumeTitleS2">
    <w:name w:val="VolumeTitle_S2"/>
    <w:basedOn w:val="Normal"/>
    <w:next w:val="Normal"/>
    <w:qFormat/>
    <w:rsid w:val="00523132"/>
    <w:pPr>
      <w:bidi w:val="0"/>
      <w:spacing w:line="240" w:lineRule="auto"/>
      <w:jc w:val="center"/>
    </w:pPr>
    <w:rPr>
      <w:rFonts w:cs="Times New Roman"/>
      <w:b/>
      <w:bCs/>
      <w:sz w:val="32"/>
      <w:szCs w:val="32"/>
      <w:lang w:bidi="ar-SA"/>
    </w:rPr>
  </w:style>
  <w:style w:type="paragraph" w:customStyle="1" w:styleId="VolumeTitle">
    <w:name w:val="VolumeTitle"/>
    <w:basedOn w:val="Normal"/>
    <w:next w:val="Normal"/>
    <w:autoRedefine/>
    <w:qFormat/>
    <w:rsid w:val="00537938"/>
    <w:pPr>
      <w:keepNext/>
      <w:keepLines/>
      <w:spacing w:before="240" w:after="240"/>
      <w:jc w:val="center"/>
    </w:pPr>
    <w:rPr>
      <w:b/>
      <w:bCs/>
      <w:sz w:val="32"/>
      <w:szCs w:val="32"/>
      <w:lang w:bidi="ar-SA"/>
    </w:rPr>
  </w:style>
  <w:style w:type="paragraph" w:styleId="FootnoteText">
    <w:name w:val="footnote text"/>
    <w:basedOn w:val="Normal"/>
    <w:link w:val="FootnoteTextChar"/>
    <w:rsid w:val="00A626E0"/>
    <w:pPr>
      <w:keepLines/>
      <w:tabs>
        <w:tab w:val="clear" w:pos="567"/>
        <w:tab w:val="clear" w:pos="1701"/>
        <w:tab w:val="clear" w:pos="2835"/>
        <w:tab w:val="left" w:pos="372"/>
        <w:tab w:val="left" w:pos="1871"/>
      </w:tabs>
      <w:overflowPunct/>
      <w:autoSpaceDE/>
      <w:autoSpaceDN/>
      <w:adjustRightInd/>
      <w:spacing w:before="60" w:line="180" w:lineRule="auto"/>
      <w:ind w:left="374" w:hanging="374"/>
      <w:textAlignment w:val="auto"/>
    </w:pPr>
    <w:rPr>
      <w:sz w:val="18"/>
      <w:szCs w:val="18"/>
      <w:lang w:val="en-US"/>
    </w:rPr>
  </w:style>
  <w:style w:type="paragraph" w:styleId="Footer">
    <w:name w:val="footer"/>
    <w:basedOn w:val="Normal"/>
    <w:link w:val="FooterChar"/>
    <w:rsid w:val="00255055"/>
    <w:pPr>
      <w:tabs>
        <w:tab w:val="clear" w:pos="567"/>
        <w:tab w:val="clear" w:pos="1134"/>
        <w:tab w:val="clear" w:pos="1701"/>
        <w:tab w:val="clear" w:pos="2268"/>
        <w:tab w:val="clear" w:pos="2835"/>
        <w:tab w:val="center" w:pos="4680"/>
        <w:tab w:val="right" w:pos="9360"/>
      </w:tabs>
      <w:spacing w:before="0" w:line="240" w:lineRule="auto"/>
    </w:pPr>
  </w:style>
  <w:style w:type="character" w:customStyle="1" w:styleId="FooterChar">
    <w:name w:val="Footer Char"/>
    <w:basedOn w:val="DefaultParagraphFont"/>
    <w:link w:val="Footer"/>
    <w:rsid w:val="00255055"/>
    <w:rPr>
      <w:rFonts w:ascii="Calibri" w:hAnsi="Calibri" w:cs="Traditional Arabic"/>
      <w:sz w:val="22"/>
      <w:szCs w:val="30"/>
      <w:lang w:val="en-GB" w:eastAsia="en-US" w:bidi="ar-EG"/>
    </w:rPr>
  </w:style>
  <w:style w:type="paragraph" w:customStyle="1" w:styleId="LOGO">
    <w:name w:val="LOGO"/>
    <w:qFormat/>
    <w:rsid w:val="00620F32"/>
    <w:pPr>
      <w:bidi/>
      <w:spacing w:before="240" w:line="156" w:lineRule="auto"/>
    </w:pPr>
    <w:rPr>
      <w:rFonts w:ascii="Verdana Bold" w:hAnsi="Verdana Bold" w:cs="Traditional Arabic"/>
      <w:b/>
      <w:bCs/>
      <w:sz w:val="27"/>
      <w:szCs w:val="40"/>
      <w:lang w:eastAsia="en-US" w:bidi="ar-EG"/>
    </w:rPr>
  </w:style>
  <w:style w:type="paragraph" w:customStyle="1" w:styleId="Adress">
    <w:name w:val="Adress"/>
    <w:qFormat/>
    <w:rsid w:val="003A0ECA"/>
    <w:pPr>
      <w:bidi/>
      <w:spacing w:before="60" w:line="168" w:lineRule="auto"/>
    </w:pPr>
    <w:rPr>
      <w:rFonts w:ascii="Dubai" w:hAnsi="Dubai" w:cs="Dubai"/>
      <w:b/>
      <w:bCs/>
      <w:sz w:val="22"/>
      <w:szCs w:val="22"/>
      <w:lang w:eastAsia="en-US" w:bidi="ar-EG"/>
    </w:rPr>
  </w:style>
  <w:style w:type="paragraph" w:customStyle="1" w:styleId="Agendaitem">
    <w:name w:val="Agenda_item"/>
    <w:qFormat/>
    <w:rsid w:val="003A0ECA"/>
    <w:pPr>
      <w:bidi/>
      <w:spacing w:before="240" w:line="192" w:lineRule="auto"/>
      <w:jc w:val="center"/>
    </w:pPr>
    <w:rPr>
      <w:rFonts w:ascii="Dubai" w:hAnsi="Dubai" w:cs="Dubai"/>
      <w:sz w:val="28"/>
      <w:szCs w:val="28"/>
      <w:lang w:val="en-GB" w:eastAsia="en-US" w:bidi="ar-EG"/>
    </w:rPr>
  </w:style>
  <w:style w:type="paragraph" w:customStyle="1" w:styleId="Committee">
    <w:name w:val="Committee"/>
    <w:basedOn w:val="Normal"/>
    <w:qFormat/>
    <w:rsid w:val="003A0ECA"/>
    <w:pPr>
      <w:tabs>
        <w:tab w:val="clear" w:pos="567"/>
        <w:tab w:val="clear" w:pos="1134"/>
        <w:tab w:val="clear" w:pos="1701"/>
        <w:tab w:val="clear" w:pos="2268"/>
        <w:tab w:val="clear" w:pos="2835"/>
      </w:tabs>
      <w:overflowPunct/>
      <w:autoSpaceDE/>
      <w:autoSpaceDN/>
      <w:adjustRightInd/>
      <w:spacing w:before="20" w:after="20" w:line="300" w:lineRule="exact"/>
      <w:jc w:val="left"/>
      <w:textAlignment w:val="auto"/>
    </w:pPr>
    <w:rPr>
      <w:b/>
      <w:bCs/>
      <w:lang w:val="en-US"/>
    </w:rPr>
  </w:style>
  <w:style w:type="paragraph" w:customStyle="1" w:styleId="firstfooter0">
    <w:name w:val="firstfooter"/>
    <w:basedOn w:val="Normal"/>
    <w:rsid w:val="00255055"/>
    <w:pPr>
      <w:tabs>
        <w:tab w:val="clear" w:pos="567"/>
        <w:tab w:val="clear" w:pos="1134"/>
        <w:tab w:val="clear" w:pos="1701"/>
        <w:tab w:val="clear" w:pos="2268"/>
        <w:tab w:val="clear" w:pos="2835"/>
      </w:tabs>
      <w:overflowPunct/>
      <w:autoSpaceDE/>
      <w:autoSpaceDN/>
      <w:bidi w:val="0"/>
      <w:adjustRightInd/>
      <w:spacing w:before="100" w:beforeAutospacing="1" w:after="100" w:afterAutospacing="1" w:line="240" w:lineRule="auto"/>
      <w:jc w:val="left"/>
      <w:textAlignment w:val="auto"/>
    </w:pPr>
    <w:rPr>
      <w:rFonts w:cs="Times New Roman"/>
      <w:sz w:val="24"/>
      <w:szCs w:val="24"/>
      <w:lang w:val="en-US" w:eastAsia="zh-CN" w:bidi="ar-SA"/>
    </w:rPr>
  </w:style>
  <w:style w:type="character" w:customStyle="1" w:styleId="FootnoteTextChar">
    <w:name w:val="Footnote Text Char"/>
    <w:basedOn w:val="DefaultParagraphFont"/>
    <w:link w:val="FootnoteText"/>
    <w:rsid w:val="00A626E0"/>
    <w:rPr>
      <w:rFonts w:ascii="Dubai" w:hAnsi="Dubai" w:cs="Dubai"/>
      <w:sz w:val="18"/>
      <w:szCs w:val="18"/>
      <w:lang w:eastAsia="en-US" w:bidi="ar-EG"/>
    </w:rPr>
  </w:style>
  <w:style w:type="paragraph" w:styleId="BalloonText">
    <w:name w:val="Balloon Text"/>
    <w:basedOn w:val="Normal"/>
    <w:link w:val="BalloonTextChar"/>
    <w:rsid w:val="003A0ECA"/>
    <w:pPr>
      <w:spacing w:before="0"/>
    </w:pPr>
    <w:rPr>
      <w:sz w:val="16"/>
      <w:szCs w:val="16"/>
    </w:rPr>
  </w:style>
  <w:style w:type="character" w:customStyle="1" w:styleId="BalloonTextChar">
    <w:name w:val="Balloon Text Char"/>
    <w:basedOn w:val="DefaultParagraphFont"/>
    <w:link w:val="BalloonText"/>
    <w:rsid w:val="003A0ECA"/>
    <w:rPr>
      <w:rFonts w:ascii="Dubai" w:hAnsi="Dubai" w:cs="Dubai"/>
      <w:sz w:val="16"/>
      <w:szCs w:val="16"/>
      <w:lang w:val="en-GB" w:eastAsia="en-US" w:bidi="ar-EG"/>
    </w:rPr>
  </w:style>
  <w:style w:type="paragraph" w:customStyle="1" w:styleId="OP">
    <w:name w:val="OP"/>
    <w:basedOn w:val="Normal"/>
    <w:next w:val="Normal"/>
    <w:qFormat/>
    <w:rsid w:val="002E20D6"/>
    <w:pPr>
      <w:tabs>
        <w:tab w:val="clear" w:pos="567"/>
        <w:tab w:val="clear" w:pos="1134"/>
        <w:tab w:val="clear" w:pos="1701"/>
        <w:tab w:val="clear" w:pos="2268"/>
        <w:tab w:val="clear" w:pos="2835"/>
        <w:tab w:val="left" w:pos="720"/>
        <w:tab w:val="left" w:pos="1418"/>
      </w:tabs>
      <w:jc w:val="center"/>
    </w:pPr>
    <w:rPr>
      <w:bCs/>
      <w:szCs w:val="44"/>
      <w:lang w:val="en-US" w:eastAsia="zh-CN" w:bidi="ar-SA"/>
    </w:rPr>
  </w:style>
  <w:style w:type="paragraph" w:customStyle="1" w:styleId="OPtitle">
    <w:name w:val="OP_title"/>
    <w:basedOn w:val="Normal"/>
    <w:next w:val="Normalaftertitle"/>
    <w:qFormat/>
    <w:rsid w:val="00970392"/>
    <w:pPr>
      <w:tabs>
        <w:tab w:val="clear" w:pos="567"/>
        <w:tab w:val="clear" w:pos="1134"/>
        <w:tab w:val="clear" w:pos="1701"/>
        <w:tab w:val="clear" w:pos="2268"/>
        <w:tab w:val="clear" w:pos="2835"/>
        <w:tab w:val="left" w:pos="720"/>
        <w:tab w:val="left" w:pos="1418"/>
      </w:tabs>
      <w:spacing w:after="120"/>
      <w:jc w:val="center"/>
    </w:pPr>
    <w:rPr>
      <w:b/>
      <w:bCs/>
      <w:sz w:val="28"/>
      <w:szCs w:val="28"/>
    </w:rPr>
  </w:style>
  <w:style w:type="character" w:styleId="FollowedHyperlink">
    <w:name w:val="FollowedHyperlink"/>
    <w:basedOn w:val="DefaultParagraphFont"/>
    <w:semiHidden/>
    <w:unhideWhenUsed/>
    <w:rsid w:val="005A636A"/>
    <w:rPr>
      <w:color w:val="800080" w:themeColor="followedHyperlink"/>
      <w:u w:val="single"/>
    </w:rPr>
  </w:style>
  <w:style w:type="paragraph" w:customStyle="1" w:styleId="OpNo">
    <w:name w:val="Op_No"/>
    <w:basedOn w:val="Title1"/>
    <w:rsid w:val="00970392"/>
    <w:pPr>
      <w:framePr w:hSpace="180" w:wrap="around" w:hAnchor="text" w:y="-612"/>
      <w:spacing w:before="720" w:after="120"/>
    </w:pPr>
    <w:rPr>
      <w:lang w:eastAsia="zh-CN" w:bidi="ar-S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864543">
      <w:bodyDiv w:val="1"/>
      <w:marLeft w:val="0"/>
      <w:marRight w:val="0"/>
      <w:marTop w:val="0"/>
      <w:marBottom w:val="0"/>
      <w:divBdr>
        <w:top w:val="none" w:sz="0" w:space="0" w:color="auto"/>
        <w:left w:val="none" w:sz="0" w:space="0" w:color="auto"/>
        <w:bottom w:val="none" w:sz="0" w:space="0" w:color="auto"/>
        <w:right w:val="none" w:sz="0" w:space="0" w:color="auto"/>
      </w:divBdr>
    </w:div>
    <w:div w:id="19088819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natelb\ITU\Riz,%20Imad%20-%20Arabic%20Pool%20Drive\Templates\Arabic%20Templates%202026\SG\WTPF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WTPF26.dotx</Template>
  <TotalTime>0</TotalTime>
  <Pages>5</Pages>
  <Words>2153</Words>
  <Characters>12275</Characters>
  <Application>Microsoft Office Word</Application>
  <DocSecurity>4</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Manager/>
  <Company>ITU</Company>
  <LinksUpToDate>false</LinksUpToDate>
  <CharactersWithSpaces>14400</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Opinion 3 - Resilience of telecommunication/ICTs</dc:title>
  <dc:subject>World telecommunication/information and communication technology policy forum</dc:subject>
  <cp:keywords>WTPF, WTPF-26</cp:keywords>
  <dc:description/>
  <dcterms:created xsi:type="dcterms:W3CDTF">2026-08-20T15:23:00Z</dcterms:created>
  <dcterms:modified xsi:type="dcterms:W3CDTF">2026-08-20T15:23:00Z</dcterms:modified>
  <cp:category>Conference document</cp:category>
</cp:coreProperties>
</file>