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6946"/>
        <w:gridCol w:w="3085"/>
      </w:tblGrid>
      <w:tr w:rsidR="00BF32F2" w:rsidRPr="00037C35" w14:paraId="54DD472F" w14:textId="77777777" w:rsidTr="00DB336C">
        <w:trPr>
          <w:cantSplit/>
          <w:trHeight w:hRule="exact" w:val="1418"/>
          <w:jc w:val="center"/>
        </w:trPr>
        <w:tc>
          <w:tcPr>
            <w:tcW w:w="10031" w:type="dxa"/>
            <w:gridSpan w:val="2"/>
            <w:tcMar>
              <w:left w:w="0" w:type="dxa"/>
              <w:right w:w="0" w:type="dxa"/>
            </w:tcMar>
            <w:vAlign w:val="center"/>
          </w:tcPr>
          <w:p w14:paraId="1394F73B" w14:textId="77777777" w:rsidR="00BF32F2" w:rsidRPr="00037C35" w:rsidRDefault="00682039" w:rsidP="00BF32F2">
            <w:pPr>
              <w:spacing w:before="0" w:line="240" w:lineRule="atLeast"/>
              <w:rPr>
                <w:rFonts w:cstheme="minorHAnsi"/>
                <w:lang w:val="es-ES"/>
              </w:rPr>
            </w:pPr>
            <w:r w:rsidRPr="00037C35">
              <w:rPr>
                <w:rFonts w:cstheme="minorHAnsi"/>
                <w:noProof/>
                <w:lang w:val="es-ES"/>
              </w:rPr>
              <w:drawing>
                <wp:inline distT="0" distB="0" distL="0" distR="0" wp14:anchorId="3091070D" wp14:editId="46C84C79">
                  <wp:extent cx="6660000" cy="971793"/>
                  <wp:effectExtent l="0" t="0" r="7620" b="0"/>
                  <wp:docPr id="139456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62956" name="Picture 13945629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77985" w:rsidRPr="00037C35" w14:paraId="5CB17DF5" w14:textId="77777777" w:rsidTr="005A329F">
        <w:trPr>
          <w:cantSplit/>
          <w:trHeight w:val="283"/>
          <w:jc w:val="center"/>
        </w:trPr>
        <w:tc>
          <w:tcPr>
            <w:tcW w:w="10031" w:type="dxa"/>
            <w:gridSpan w:val="2"/>
            <w:tcBorders>
              <w:bottom w:val="single" w:sz="12" w:space="0" w:color="71716F"/>
            </w:tcBorders>
          </w:tcPr>
          <w:p w14:paraId="4800AB1E" w14:textId="77777777" w:rsidR="00277985" w:rsidRPr="00037C35" w:rsidRDefault="00277985" w:rsidP="00BF32F2">
            <w:pPr>
              <w:spacing w:before="0" w:line="240" w:lineRule="atLeast"/>
              <w:rPr>
                <w:rFonts w:cstheme="minorHAnsi"/>
                <w:b/>
                <w:smallCaps/>
                <w:szCs w:val="24"/>
                <w:lang w:val="es-ES"/>
              </w:rPr>
            </w:pPr>
            <w:bookmarkStart w:id="0" w:name="dhead"/>
          </w:p>
        </w:tc>
      </w:tr>
      <w:tr w:rsidR="00255FA1" w:rsidRPr="00037C35" w14:paraId="69B53B1E" w14:textId="77777777" w:rsidTr="00DB336C">
        <w:trPr>
          <w:cantSplit/>
          <w:trHeight w:val="255"/>
          <w:jc w:val="center"/>
        </w:trPr>
        <w:tc>
          <w:tcPr>
            <w:tcW w:w="6946" w:type="dxa"/>
            <w:tcBorders>
              <w:top w:val="single" w:sz="12" w:space="0" w:color="71716F"/>
            </w:tcBorders>
          </w:tcPr>
          <w:p w14:paraId="2039F49A" w14:textId="77777777" w:rsidR="00255FA1" w:rsidRPr="00037C35" w:rsidRDefault="00255FA1" w:rsidP="003C1B77">
            <w:pPr>
              <w:spacing w:before="0"/>
              <w:rPr>
                <w:b/>
                <w:bCs/>
                <w:lang w:val="es-ES"/>
              </w:rPr>
            </w:pPr>
          </w:p>
        </w:tc>
        <w:tc>
          <w:tcPr>
            <w:tcW w:w="3085" w:type="dxa"/>
            <w:tcBorders>
              <w:top w:val="single" w:sz="12" w:space="0" w:color="71716F"/>
            </w:tcBorders>
          </w:tcPr>
          <w:p w14:paraId="6A696E31" w14:textId="77777777" w:rsidR="00255FA1" w:rsidRPr="00037C35" w:rsidRDefault="00255FA1" w:rsidP="00BF32F2">
            <w:pPr>
              <w:spacing w:before="0"/>
              <w:rPr>
                <w:lang w:val="es-ES"/>
              </w:rPr>
            </w:pPr>
          </w:p>
        </w:tc>
      </w:tr>
      <w:bookmarkEnd w:id="0"/>
      <w:tr w:rsidR="00075113" w:rsidRPr="00037C35" w14:paraId="235C9686" w14:textId="77777777" w:rsidTr="00DB336C">
        <w:trPr>
          <w:cantSplit/>
          <w:jc w:val="center"/>
        </w:trPr>
        <w:tc>
          <w:tcPr>
            <w:tcW w:w="6946" w:type="dxa"/>
          </w:tcPr>
          <w:p w14:paraId="68A9EEA0" w14:textId="77777777" w:rsidR="00075113" w:rsidRPr="00037C35" w:rsidRDefault="00075113" w:rsidP="00075113">
            <w:pPr>
              <w:pStyle w:val="Committee"/>
              <w:framePr w:hSpace="0" w:wrap="auto" w:hAnchor="text" w:yAlign="inline"/>
              <w:spacing w:after="0" w:line="240" w:lineRule="auto"/>
              <w:rPr>
                <w:lang w:val="es-ES"/>
              </w:rPr>
            </w:pPr>
          </w:p>
        </w:tc>
        <w:tc>
          <w:tcPr>
            <w:tcW w:w="3085" w:type="dxa"/>
          </w:tcPr>
          <w:p w14:paraId="5A344C36" w14:textId="0B22AE8F" w:rsidR="00075113" w:rsidRPr="00037C35" w:rsidRDefault="00075113" w:rsidP="003C1B77">
            <w:pPr>
              <w:spacing w:before="0"/>
              <w:rPr>
                <w:lang w:val="es-ES"/>
              </w:rPr>
            </w:pPr>
          </w:p>
        </w:tc>
      </w:tr>
      <w:tr w:rsidR="00075113" w:rsidRPr="00037C35" w14:paraId="78004F6B" w14:textId="77777777" w:rsidTr="00DB336C">
        <w:trPr>
          <w:cantSplit/>
          <w:jc w:val="center"/>
        </w:trPr>
        <w:tc>
          <w:tcPr>
            <w:tcW w:w="6946" w:type="dxa"/>
          </w:tcPr>
          <w:p w14:paraId="32076387" w14:textId="77777777" w:rsidR="00075113" w:rsidRPr="00037C35" w:rsidRDefault="00075113" w:rsidP="00075113">
            <w:pPr>
              <w:spacing w:before="0"/>
              <w:rPr>
                <w:b/>
                <w:bCs/>
                <w:lang w:val="es-ES"/>
              </w:rPr>
            </w:pPr>
          </w:p>
        </w:tc>
        <w:tc>
          <w:tcPr>
            <w:tcW w:w="3085" w:type="dxa"/>
          </w:tcPr>
          <w:p w14:paraId="60820B81" w14:textId="4E0E06AB" w:rsidR="00075113" w:rsidRPr="00037C35" w:rsidRDefault="003C1B77" w:rsidP="00075113">
            <w:pPr>
              <w:spacing w:before="0"/>
              <w:rPr>
                <w:b/>
                <w:bCs/>
                <w:lang w:val="es-ES"/>
              </w:rPr>
            </w:pPr>
            <w:r w:rsidRPr="00037C35">
              <w:rPr>
                <w:b/>
                <w:bCs/>
                <w:lang w:val="es-ES"/>
              </w:rPr>
              <w:t>29 de abril de 2026</w:t>
            </w:r>
          </w:p>
        </w:tc>
      </w:tr>
      <w:tr w:rsidR="00075113" w:rsidRPr="00037C35" w14:paraId="3963BB5D" w14:textId="77777777" w:rsidTr="00DB336C">
        <w:trPr>
          <w:cantSplit/>
          <w:jc w:val="center"/>
        </w:trPr>
        <w:tc>
          <w:tcPr>
            <w:tcW w:w="6946" w:type="dxa"/>
          </w:tcPr>
          <w:p w14:paraId="3EF3A9DE" w14:textId="77777777" w:rsidR="00075113" w:rsidRPr="00037C35" w:rsidRDefault="00075113" w:rsidP="00075113">
            <w:pPr>
              <w:spacing w:before="0"/>
              <w:rPr>
                <w:b/>
                <w:bCs/>
                <w:lang w:val="es-ES"/>
              </w:rPr>
            </w:pPr>
          </w:p>
        </w:tc>
        <w:tc>
          <w:tcPr>
            <w:tcW w:w="3085" w:type="dxa"/>
          </w:tcPr>
          <w:p w14:paraId="24C87601" w14:textId="77777777" w:rsidR="00075113" w:rsidRPr="00037C35" w:rsidRDefault="00075113" w:rsidP="003C1B77">
            <w:pPr>
              <w:spacing w:before="0"/>
              <w:rPr>
                <w:b/>
                <w:bCs/>
                <w:lang w:val="es-ES"/>
              </w:rPr>
            </w:pPr>
            <w:r w:rsidRPr="00037C35">
              <w:rPr>
                <w:b/>
                <w:bCs/>
                <w:lang w:val="es-ES"/>
              </w:rPr>
              <w:t>Original: inglés</w:t>
            </w:r>
          </w:p>
        </w:tc>
      </w:tr>
      <w:tr w:rsidR="00075113" w:rsidRPr="00037C35" w14:paraId="1F30108C" w14:textId="77777777" w:rsidTr="005A329F">
        <w:trPr>
          <w:cantSplit/>
          <w:jc w:val="center"/>
        </w:trPr>
        <w:tc>
          <w:tcPr>
            <w:tcW w:w="10031" w:type="dxa"/>
            <w:gridSpan w:val="2"/>
          </w:tcPr>
          <w:p w14:paraId="42179EB3" w14:textId="77777777" w:rsidR="00075113" w:rsidRPr="00037C35" w:rsidRDefault="00075113" w:rsidP="003C1B77">
            <w:pPr>
              <w:spacing w:before="0"/>
              <w:rPr>
                <w:b/>
                <w:bCs/>
                <w:lang w:val="es-ES"/>
              </w:rPr>
            </w:pPr>
          </w:p>
        </w:tc>
      </w:tr>
    </w:tbl>
    <w:p w14:paraId="3F326A0E" w14:textId="77777777" w:rsidR="0010462A" w:rsidRPr="00037C35" w:rsidRDefault="0010462A" w:rsidP="00037C35">
      <w:pPr>
        <w:pStyle w:val="OpNo"/>
        <w:rPr>
          <w:lang w:val="es-ES"/>
        </w:rPr>
      </w:pPr>
      <w:r w:rsidRPr="00037C35">
        <w:rPr>
          <w:lang w:val="es-ES"/>
        </w:rPr>
        <w:t>PROYECTO DE OPINIÓN 2</w:t>
      </w:r>
    </w:p>
    <w:p w14:paraId="0C1B765A" w14:textId="4F47B839" w:rsidR="0010462A" w:rsidRPr="00037C35" w:rsidRDefault="0010462A" w:rsidP="00037C35">
      <w:pPr>
        <w:pStyle w:val="Optitle0"/>
        <w:rPr>
          <w:lang w:val="es-ES"/>
        </w:rPr>
      </w:pPr>
      <w:r w:rsidRPr="00037C35">
        <w:rPr>
          <w:lang w:val="es-ES"/>
        </w:rPr>
        <w:t xml:space="preserve">La transformación digital ecológica: el cambio climático </w:t>
      </w:r>
      <w:r w:rsidR="00037C35" w:rsidRPr="00037C35">
        <w:rPr>
          <w:lang w:val="es-ES"/>
        </w:rPr>
        <w:br/>
      </w:r>
      <w:r w:rsidRPr="00037C35">
        <w:rPr>
          <w:lang w:val="es-ES"/>
        </w:rPr>
        <w:t>y la sostenibilidad medioambiental</w:t>
      </w:r>
    </w:p>
    <w:p w14:paraId="14981751" w14:textId="77777777" w:rsidR="0010462A" w:rsidRPr="00037C35" w:rsidRDefault="0010462A" w:rsidP="00037C35">
      <w:pPr>
        <w:pStyle w:val="Normalaftertitle"/>
        <w:rPr>
          <w:lang w:val="es-ES"/>
        </w:rPr>
      </w:pPr>
      <w:r w:rsidRPr="00037C35">
        <w:rPr>
          <w:lang w:val="es-ES"/>
        </w:rPr>
        <w:t>El séptimo Foro Mundial de Política de Telecomunicaciones/TIC (Nassau, 2026),</w:t>
      </w:r>
    </w:p>
    <w:p w14:paraId="29C32FE1" w14:textId="77777777" w:rsidR="0010462A" w:rsidRPr="00037C35" w:rsidRDefault="0010462A" w:rsidP="00037C35">
      <w:pPr>
        <w:pStyle w:val="Call"/>
        <w:rPr>
          <w:lang w:val="es-ES"/>
        </w:rPr>
      </w:pPr>
      <w:r w:rsidRPr="00037C35">
        <w:rPr>
          <w:lang w:val="es-ES"/>
        </w:rPr>
        <w:t>recordando</w:t>
      </w:r>
    </w:p>
    <w:p w14:paraId="4010A015" w14:textId="41780A49" w:rsidR="0010462A" w:rsidRPr="0010462A" w:rsidRDefault="0010462A" w:rsidP="007078BF">
      <w:pPr>
        <w:jc w:val="both"/>
        <w:rPr>
          <w:lang w:val="es-ES"/>
        </w:rPr>
      </w:pPr>
      <w:r w:rsidRPr="0010462A">
        <w:rPr>
          <w:i/>
          <w:iCs/>
          <w:lang w:val="es-ES"/>
        </w:rPr>
        <w:t>a)</w:t>
      </w:r>
      <w:r w:rsidRPr="0010462A">
        <w:rPr>
          <w:lang w:val="es-ES"/>
        </w:rPr>
        <w:tab/>
        <w:t>la Resolución</w:t>
      </w:r>
      <w:r w:rsidR="00037C35">
        <w:rPr>
          <w:lang w:val="es-ES"/>
        </w:rPr>
        <w:t> </w:t>
      </w:r>
      <w:r w:rsidRPr="0010462A">
        <w:rPr>
          <w:lang w:val="es-ES"/>
        </w:rPr>
        <w:t xml:space="preserve">70/1 de la Asamblea General de las Naciones Unidas (AGNU), </w:t>
      </w:r>
      <w:r w:rsidRPr="0010462A">
        <w:rPr>
          <w:i/>
          <w:iCs/>
          <w:lang w:val="es-ES"/>
        </w:rPr>
        <w:t>Transformar nuestro mundo: la Agenda 2030 para el Desarrollo Sostenible</w:t>
      </w:r>
      <w:r w:rsidRPr="0010462A">
        <w:rPr>
          <w:lang w:val="es-ES"/>
        </w:rPr>
        <w:t>, en particular los Objetivos de Desarrollo Sostenible</w:t>
      </w:r>
      <w:r w:rsidR="00037C35">
        <w:rPr>
          <w:lang w:val="es-ES"/>
        </w:rPr>
        <w:t> </w:t>
      </w:r>
      <w:r w:rsidRPr="0010462A">
        <w:rPr>
          <w:lang w:val="es-ES"/>
        </w:rPr>
        <w:t xml:space="preserve">12, sobre </w:t>
      </w:r>
      <w:r w:rsidR="00D12E6B">
        <w:rPr>
          <w:lang w:val="es-ES"/>
        </w:rPr>
        <w:t>garantizar modalidades de consumo y producción sostenibles</w:t>
      </w:r>
      <w:r w:rsidRPr="0010462A">
        <w:rPr>
          <w:lang w:val="es-ES"/>
        </w:rPr>
        <w:t xml:space="preserve">, y 13, sobre </w:t>
      </w:r>
      <w:r w:rsidR="00D12E6B">
        <w:rPr>
          <w:lang w:val="es-ES"/>
        </w:rPr>
        <w:t>adoptar medidas urgentes para combatir el cambio climático y sus efectos</w:t>
      </w:r>
      <w:r w:rsidRPr="0010462A">
        <w:rPr>
          <w:lang w:val="es-ES"/>
        </w:rPr>
        <w:t>;</w:t>
      </w:r>
    </w:p>
    <w:p w14:paraId="58DA1B32" w14:textId="352F79C6" w:rsidR="0010462A" w:rsidRPr="0010462A" w:rsidRDefault="0010462A" w:rsidP="007078BF">
      <w:pPr>
        <w:jc w:val="both"/>
        <w:rPr>
          <w:lang w:val="es-ES"/>
        </w:rPr>
      </w:pPr>
      <w:r w:rsidRPr="0010462A">
        <w:rPr>
          <w:i/>
          <w:iCs/>
          <w:lang w:val="es-ES"/>
        </w:rPr>
        <w:t>b)</w:t>
      </w:r>
      <w:r w:rsidRPr="0010462A">
        <w:rPr>
          <w:lang w:val="es-ES"/>
        </w:rPr>
        <w:tab/>
        <w:t>la Resolución</w:t>
      </w:r>
      <w:r w:rsidR="00037C35">
        <w:rPr>
          <w:lang w:val="es-ES"/>
        </w:rPr>
        <w:t> </w:t>
      </w:r>
      <w:r w:rsidRPr="0010462A">
        <w:rPr>
          <w:lang w:val="es-ES"/>
        </w:rPr>
        <w:t>80/173 de la</w:t>
      </w:r>
      <w:r w:rsidR="00037C35">
        <w:rPr>
          <w:lang w:val="es-ES"/>
        </w:rPr>
        <w:t> </w:t>
      </w:r>
      <w:r w:rsidRPr="0010462A">
        <w:rPr>
          <w:lang w:val="es-ES"/>
        </w:rPr>
        <w:t>AGNU, sobre el documento final de la reunión de alto nivel sobre el examen general de la aplicación de los resultados de la Cumbre Mundial sobre la Sociedad de la Información (CMSI+20);</w:t>
      </w:r>
    </w:p>
    <w:p w14:paraId="425237A3" w14:textId="6D90BD98" w:rsidR="0010462A" w:rsidRPr="0010462A" w:rsidRDefault="0010462A" w:rsidP="007078BF">
      <w:pPr>
        <w:jc w:val="both"/>
        <w:rPr>
          <w:lang w:val="es-ES"/>
        </w:rPr>
      </w:pPr>
      <w:r w:rsidRPr="0010462A">
        <w:rPr>
          <w:i/>
          <w:iCs/>
          <w:lang w:val="es-ES"/>
        </w:rPr>
        <w:t>c)</w:t>
      </w:r>
      <w:r w:rsidRPr="0010462A">
        <w:rPr>
          <w:lang w:val="es-ES"/>
        </w:rPr>
        <w:tab/>
        <w:t>la Resolución</w:t>
      </w:r>
      <w:r w:rsidR="00037C35">
        <w:rPr>
          <w:lang w:val="es-ES"/>
        </w:rPr>
        <w:t> </w:t>
      </w:r>
      <w:r w:rsidRPr="0010462A">
        <w:rPr>
          <w:lang w:val="es-ES"/>
        </w:rPr>
        <w:t>182 (Rev.</w:t>
      </w:r>
      <w:r w:rsidR="00037C35">
        <w:rPr>
          <w:lang w:val="es-ES"/>
        </w:rPr>
        <w:t> </w:t>
      </w:r>
      <w:r w:rsidRPr="0010462A">
        <w:rPr>
          <w:lang w:val="es-ES"/>
        </w:rPr>
        <w:t>Bucarest,</w:t>
      </w:r>
      <w:r w:rsidR="00037C35">
        <w:rPr>
          <w:lang w:val="es-ES"/>
        </w:rPr>
        <w:t> </w:t>
      </w:r>
      <w:r w:rsidRPr="0010462A">
        <w:rPr>
          <w:lang w:val="es-ES"/>
        </w:rPr>
        <w:t>2022) de la Conferencia de Plenipotenciarios, sobre el papel de las telecomunicaciones/tecnologías de la información y la comunicación (TIC) en el cambio climático y la protección del medio ambiente;</w:t>
      </w:r>
    </w:p>
    <w:p w14:paraId="672D4653" w14:textId="6EAD8980" w:rsidR="0010462A" w:rsidRPr="0010462A" w:rsidRDefault="0010462A" w:rsidP="007078BF">
      <w:pPr>
        <w:jc w:val="both"/>
        <w:rPr>
          <w:lang w:val="es-ES"/>
        </w:rPr>
      </w:pPr>
      <w:r w:rsidRPr="0010462A">
        <w:rPr>
          <w:i/>
          <w:iCs/>
          <w:lang w:val="es-ES"/>
        </w:rPr>
        <w:t>d)</w:t>
      </w:r>
      <w:r w:rsidRPr="0010462A">
        <w:rPr>
          <w:lang w:val="es-ES"/>
        </w:rPr>
        <w:tab/>
        <w:t>la Resolución</w:t>
      </w:r>
      <w:r w:rsidR="00037C35">
        <w:rPr>
          <w:lang w:val="es-ES"/>
        </w:rPr>
        <w:t> </w:t>
      </w:r>
      <w:r w:rsidRPr="0010462A">
        <w:rPr>
          <w:lang w:val="es-ES"/>
        </w:rPr>
        <w:t>1429 del Consejo de la</w:t>
      </w:r>
      <w:r w:rsidR="00037C35">
        <w:rPr>
          <w:lang w:val="es-ES"/>
        </w:rPr>
        <w:t> </w:t>
      </w:r>
      <w:r w:rsidRPr="0010462A">
        <w:rPr>
          <w:lang w:val="es-ES"/>
        </w:rPr>
        <w:t>UIT, adoptada en su reunión de</w:t>
      </w:r>
      <w:r w:rsidR="00037C35">
        <w:rPr>
          <w:lang w:val="es-ES"/>
        </w:rPr>
        <w:t> </w:t>
      </w:r>
      <w:r w:rsidRPr="0010462A">
        <w:rPr>
          <w:lang w:val="es-ES"/>
        </w:rPr>
        <w:t>2024, sobre la función de la</w:t>
      </w:r>
      <w:r w:rsidR="00037C35">
        <w:rPr>
          <w:lang w:val="es-ES"/>
        </w:rPr>
        <w:t> </w:t>
      </w:r>
      <w:r w:rsidRPr="0010462A">
        <w:rPr>
          <w:lang w:val="es-ES"/>
        </w:rPr>
        <w:t>UIT en la facilitación de la contribución de las TIC a la sostenibilidad y a la acción por el clima;</w:t>
      </w:r>
    </w:p>
    <w:p w14:paraId="4EEFBD63" w14:textId="7F970F26" w:rsidR="0010462A" w:rsidRPr="0010462A" w:rsidRDefault="0010462A" w:rsidP="007078BF">
      <w:pPr>
        <w:jc w:val="both"/>
        <w:rPr>
          <w:lang w:val="es-ES"/>
        </w:rPr>
      </w:pPr>
      <w:r w:rsidRPr="0010462A">
        <w:rPr>
          <w:i/>
          <w:iCs/>
          <w:lang w:val="es-ES"/>
        </w:rPr>
        <w:t>e)</w:t>
      </w:r>
      <w:r w:rsidRPr="0010462A">
        <w:rPr>
          <w:lang w:val="es-ES"/>
        </w:rPr>
        <w:tab/>
        <w:t>la Resolución</w:t>
      </w:r>
      <w:r w:rsidR="00037C35">
        <w:rPr>
          <w:lang w:val="es-ES"/>
        </w:rPr>
        <w:t> </w:t>
      </w:r>
      <w:r w:rsidRPr="0010462A">
        <w:rPr>
          <w:lang w:val="es-ES"/>
        </w:rPr>
        <w:t>73 (Rev.</w:t>
      </w:r>
      <w:r w:rsidR="00037C35">
        <w:rPr>
          <w:lang w:val="es-ES"/>
        </w:rPr>
        <w:t> </w:t>
      </w:r>
      <w:r w:rsidRPr="0010462A">
        <w:rPr>
          <w:lang w:val="es-ES"/>
        </w:rPr>
        <w:t>Nueva</w:t>
      </w:r>
      <w:r w:rsidR="00037C35">
        <w:rPr>
          <w:lang w:val="es-ES"/>
        </w:rPr>
        <w:t> </w:t>
      </w:r>
      <w:r w:rsidRPr="0010462A">
        <w:rPr>
          <w:lang w:val="es-ES"/>
        </w:rPr>
        <w:t>Delhi,</w:t>
      </w:r>
      <w:r w:rsidR="00037C35">
        <w:rPr>
          <w:lang w:val="es-ES"/>
        </w:rPr>
        <w:t> </w:t>
      </w:r>
      <w:r w:rsidRPr="0010462A">
        <w:rPr>
          <w:lang w:val="es-ES"/>
        </w:rPr>
        <w:t>2024) de la Asamblea Mundial de Normalización de las Telecomunicaciones (AMNT), sobre las</w:t>
      </w:r>
      <w:r w:rsidR="00037C35">
        <w:rPr>
          <w:lang w:val="es-ES"/>
        </w:rPr>
        <w:t> </w:t>
      </w:r>
      <w:r w:rsidRPr="0010462A">
        <w:rPr>
          <w:lang w:val="es-ES"/>
        </w:rPr>
        <w:t>TIC, el medio ambiente, el cambio climático y la economía circular;</w:t>
      </w:r>
    </w:p>
    <w:p w14:paraId="5E4153A2" w14:textId="4E70323E" w:rsidR="0010462A" w:rsidRPr="0010462A" w:rsidRDefault="0010462A" w:rsidP="007078BF">
      <w:pPr>
        <w:jc w:val="both"/>
        <w:rPr>
          <w:lang w:val="es-ES"/>
        </w:rPr>
      </w:pPr>
      <w:r w:rsidRPr="0010462A">
        <w:rPr>
          <w:i/>
          <w:iCs/>
          <w:lang w:val="es-ES"/>
        </w:rPr>
        <w:t>f)</w:t>
      </w:r>
      <w:r w:rsidRPr="0010462A">
        <w:rPr>
          <w:lang w:val="es-ES"/>
        </w:rPr>
        <w:tab/>
        <w:t>la Resolución</w:t>
      </w:r>
      <w:r w:rsidR="00037C35">
        <w:rPr>
          <w:lang w:val="es-ES"/>
        </w:rPr>
        <w:t> </w:t>
      </w:r>
      <w:r w:rsidRPr="0010462A">
        <w:rPr>
          <w:lang w:val="es-ES"/>
        </w:rPr>
        <w:t>79 (Rev.</w:t>
      </w:r>
      <w:r w:rsidR="00037C35">
        <w:rPr>
          <w:lang w:val="es-ES"/>
        </w:rPr>
        <w:t> </w:t>
      </w:r>
      <w:r w:rsidRPr="0010462A">
        <w:rPr>
          <w:lang w:val="es-ES"/>
        </w:rPr>
        <w:t>Nueva</w:t>
      </w:r>
      <w:r w:rsidR="00037C35">
        <w:rPr>
          <w:lang w:val="es-ES"/>
        </w:rPr>
        <w:t> </w:t>
      </w:r>
      <w:r w:rsidRPr="0010462A">
        <w:rPr>
          <w:lang w:val="es-ES"/>
        </w:rPr>
        <w:t>Delhi,</w:t>
      </w:r>
      <w:r w:rsidR="00037C35">
        <w:rPr>
          <w:lang w:val="es-ES"/>
        </w:rPr>
        <w:t> </w:t>
      </w:r>
      <w:r w:rsidRPr="0010462A">
        <w:rPr>
          <w:lang w:val="es-ES"/>
        </w:rPr>
        <w:t>2024) de la</w:t>
      </w:r>
      <w:r w:rsidR="00037C35">
        <w:rPr>
          <w:lang w:val="es-ES"/>
        </w:rPr>
        <w:t> </w:t>
      </w:r>
      <w:r w:rsidRPr="0010462A">
        <w:rPr>
          <w:lang w:val="es-ES"/>
        </w:rPr>
        <w:t>AMNT, sobre la función de las telecomunicaciones/TIC en el tratamiento y el control de los residuos electrónicos de equipos de telecomunicaciones y tecnologías de la información, y métodos para tratamiento de dichos residuos;</w:t>
      </w:r>
    </w:p>
    <w:p w14:paraId="0B32516F" w14:textId="1C9B60DC" w:rsidR="0010462A" w:rsidRPr="0010462A" w:rsidRDefault="0010462A" w:rsidP="007078BF">
      <w:pPr>
        <w:jc w:val="both"/>
        <w:rPr>
          <w:lang w:val="es-ES"/>
        </w:rPr>
      </w:pPr>
      <w:r w:rsidRPr="0010462A">
        <w:rPr>
          <w:i/>
          <w:iCs/>
          <w:lang w:val="es-ES"/>
        </w:rPr>
        <w:t>g)</w:t>
      </w:r>
      <w:r w:rsidRPr="0010462A">
        <w:rPr>
          <w:lang w:val="es-ES"/>
        </w:rPr>
        <w:tab/>
        <w:t>la Resolución</w:t>
      </w:r>
      <w:r w:rsidR="00037C35">
        <w:rPr>
          <w:lang w:val="es-ES"/>
        </w:rPr>
        <w:t> </w:t>
      </w:r>
      <w:r w:rsidRPr="0010462A">
        <w:rPr>
          <w:lang w:val="es-ES"/>
        </w:rPr>
        <w:t>66 (Rev.</w:t>
      </w:r>
      <w:r w:rsidR="00037C35">
        <w:rPr>
          <w:lang w:val="es-ES"/>
        </w:rPr>
        <w:t> </w:t>
      </w:r>
      <w:r w:rsidR="00D12E6B">
        <w:rPr>
          <w:lang w:val="es-ES"/>
        </w:rPr>
        <w:t>Bakú, 2025</w:t>
      </w:r>
      <w:r w:rsidRPr="0010462A">
        <w:rPr>
          <w:lang w:val="es-ES"/>
        </w:rPr>
        <w:t xml:space="preserve">) de la Conferencia Mundial de Desarrollo de las Telecomunicaciones, sobre las </w:t>
      </w:r>
      <w:r w:rsidR="00D12E6B">
        <w:rPr>
          <w:lang w:val="es-ES"/>
        </w:rPr>
        <w:t>TIC</w:t>
      </w:r>
      <w:r w:rsidRPr="0010462A">
        <w:rPr>
          <w:lang w:val="es-ES"/>
        </w:rPr>
        <w:t>, medio ambiente, cambio climático y economía circular,</w:t>
      </w:r>
    </w:p>
    <w:p w14:paraId="246AD22A" w14:textId="77777777" w:rsidR="0010462A" w:rsidRPr="00037C35" w:rsidRDefault="0010462A" w:rsidP="00037C35">
      <w:pPr>
        <w:pStyle w:val="Call"/>
        <w:rPr>
          <w:lang w:val="es-ES"/>
        </w:rPr>
      </w:pPr>
      <w:r w:rsidRPr="00037C35">
        <w:rPr>
          <w:lang w:val="es-ES"/>
        </w:rPr>
        <w:t>destacando</w:t>
      </w:r>
    </w:p>
    <w:p w14:paraId="310D49A2" w14:textId="77777777" w:rsidR="0010462A" w:rsidRPr="0010462A" w:rsidRDefault="0010462A" w:rsidP="007078BF">
      <w:pPr>
        <w:jc w:val="both"/>
        <w:rPr>
          <w:lang w:val="es-ES"/>
        </w:rPr>
      </w:pPr>
      <w:r w:rsidRPr="0010462A">
        <w:rPr>
          <w:i/>
          <w:iCs/>
          <w:lang w:val="es-ES"/>
        </w:rPr>
        <w:t>a)</w:t>
      </w:r>
      <w:r w:rsidRPr="0010462A">
        <w:rPr>
          <w:lang w:val="es-ES"/>
        </w:rPr>
        <w:tab/>
        <w:t>que el cambio climático, la pérdida de biodiversidad y la contaminación representan retos considerables de nuestro tiempo, y que hacerles frente exige avanzar hacia el desarrollo sostenible;</w:t>
      </w:r>
    </w:p>
    <w:p w14:paraId="65CEA46A" w14:textId="77777777" w:rsidR="0010462A" w:rsidRPr="0010462A" w:rsidRDefault="0010462A" w:rsidP="007078BF">
      <w:pPr>
        <w:jc w:val="both"/>
        <w:rPr>
          <w:lang w:val="es-ES"/>
        </w:rPr>
      </w:pPr>
      <w:r w:rsidRPr="0010462A">
        <w:rPr>
          <w:i/>
          <w:iCs/>
          <w:lang w:val="es-ES"/>
        </w:rPr>
        <w:lastRenderedPageBreak/>
        <w:t>b)</w:t>
      </w:r>
      <w:r w:rsidRPr="0010462A">
        <w:rPr>
          <w:lang w:val="es-ES"/>
        </w:rPr>
        <w:tab/>
        <w:t>que la limitación del calentamiento global exige reducciones rápidas, profundas y sostenidas de las emisiones mundiales de gases de efecto invernadero (GEI), en consonancia con los principios y compromisos establecidos en la Convención Marco de las Naciones Unidas sobre el Cambio Climático (CMNUCC) y en el Acuerdo de París, a la luz de las diferentes circunstancias nacionales,</w:t>
      </w:r>
    </w:p>
    <w:p w14:paraId="43866B2C" w14:textId="77777777" w:rsidR="0010462A" w:rsidRPr="00037C35" w:rsidRDefault="0010462A" w:rsidP="00037C35">
      <w:pPr>
        <w:pStyle w:val="Call"/>
        <w:rPr>
          <w:lang w:val="es-ES"/>
        </w:rPr>
      </w:pPr>
      <w:r w:rsidRPr="00037C35">
        <w:rPr>
          <w:lang w:val="es-ES"/>
        </w:rPr>
        <w:t>teniendo en cuenta</w:t>
      </w:r>
    </w:p>
    <w:p w14:paraId="16CA49B5" w14:textId="77777777" w:rsidR="0010462A" w:rsidRPr="0010462A" w:rsidRDefault="0010462A" w:rsidP="007078BF">
      <w:pPr>
        <w:jc w:val="both"/>
        <w:rPr>
          <w:lang w:val="es-ES"/>
        </w:rPr>
      </w:pPr>
      <w:r w:rsidRPr="0010462A">
        <w:rPr>
          <w:i/>
          <w:iCs/>
          <w:lang w:val="es-ES"/>
        </w:rPr>
        <w:t>a)</w:t>
      </w:r>
      <w:r w:rsidRPr="0010462A">
        <w:rPr>
          <w:lang w:val="es-ES"/>
        </w:rPr>
        <w:tab/>
        <w:t>que las telecomunicaciones/TIC contribuyen al cambio climático a lo largo de todo su ciclo de vida;</w:t>
      </w:r>
    </w:p>
    <w:p w14:paraId="697A6C9C" w14:textId="77777777" w:rsidR="0010462A" w:rsidRPr="0010462A" w:rsidRDefault="0010462A" w:rsidP="007078BF">
      <w:pPr>
        <w:jc w:val="both"/>
        <w:rPr>
          <w:lang w:val="es-ES"/>
        </w:rPr>
      </w:pPr>
      <w:r w:rsidRPr="0010462A">
        <w:rPr>
          <w:i/>
          <w:iCs/>
          <w:lang w:val="es-ES"/>
        </w:rPr>
        <w:t>b)</w:t>
      </w:r>
      <w:r w:rsidRPr="0010462A">
        <w:rPr>
          <w:lang w:val="es-ES"/>
        </w:rPr>
        <w:tab/>
        <w:t>que una transformación digital ecológica combate el cambio climático mediante el desarrollo, el despliegue y la eliminación de las telecomunicaciones/TIC de manera medioambientalmente sostenible;</w:t>
      </w:r>
    </w:p>
    <w:p w14:paraId="18A57DEE" w14:textId="77777777" w:rsidR="0010462A" w:rsidRPr="0010462A" w:rsidRDefault="0010462A" w:rsidP="007078BF">
      <w:pPr>
        <w:jc w:val="both"/>
        <w:rPr>
          <w:lang w:val="es-ES"/>
        </w:rPr>
      </w:pPr>
      <w:r w:rsidRPr="0010462A">
        <w:rPr>
          <w:i/>
          <w:iCs/>
          <w:lang w:val="es-ES"/>
        </w:rPr>
        <w:t>c)</w:t>
      </w:r>
      <w:r w:rsidRPr="0010462A">
        <w:rPr>
          <w:lang w:val="es-ES"/>
        </w:rPr>
        <w:tab/>
        <w:t xml:space="preserve">que una transformación digital ecológica reduce la huella medioambiental de las telecomunicaciones/TIC al promover la circularidad a lo largo de todo su ciclo de vida: prolongando la vida útil de los equipos, combatiendo la obsolescencia del </w:t>
      </w:r>
      <w:r w:rsidRPr="0010462A">
        <w:rPr>
          <w:i/>
          <w:iCs/>
          <w:lang w:val="es-ES"/>
        </w:rPr>
        <w:t>software</w:t>
      </w:r>
      <w:r w:rsidRPr="0010462A">
        <w:rPr>
          <w:lang w:val="es-ES"/>
        </w:rPr>
        <w:t>, fomentando la reparación y el reacondicionamiento de los dispositivos y mejorando la recuperación y reutilización de los recursos materiales procedentes de los residuos conexos;</w:t>
      </w:r>
    </w:p>
    <w:p w14:paraId="1FDCE476" w14:textId="569E83CA" w:rsidR="0010462A" w:rsidRPr="0010462A" w:rsidRDefault="0010462A" w:rsidP="007078BF">
      <w:pPr>
        <w:jc w:val="both"/>
        <w:rPr>
          <w:lang w:val="es-ES"/>
        </w:rPr>
      </w:pPr>
      <w:r w:rsidRPr="0010462A">
        <w:rPr>
          <w:i/>
          <w:iCs/>
          <w:lang w:val="es-ES"/>
        </w:rPr>
        <w:t>d)</w:t>
      </w:r>
      <w:r w:rsidRPr="0010462A">
        <w:rPr>
          <w:lang w:val="es-ES"/>
        </w:rPr>
        <w:tab/>
        <w:t>que las nuevas iniciativas normativas, tales como una transformación digital ecológica, resultan esenciales para cumplir los objetivos acordados en materia de cambio climático establecidos en el Acuerdo de París, firmado en la 21.ª</w:t>
      </w:r>
      <w:r w:rsidR="00037C35">
        <w:rPr>
          <w:lang w:val="es-ES"/>
        </w:rPr>
        <w:t> </w:t>
      </w:r>
      <w:r w:rsidRPr="0010462A">
        <w:rPr>
          <w:lang w:val="es-ES"/>
        </w:rPr>
        <w:t>Conferencia de las Naciones Unidas sobre el Cambio Climático (COP21), habida cuenta de que el Programa de las Naciones Unidas para el Medio Ambiente señala que limitar el calentamiento global a 1,5 °C resulta imposible con las contribuciones determinadas a nivel nacional actuales,</w:t>
      </w:r>
    </w:p>
    <w:p w14:paraId="783543E7" w14:textId="77777777" w:rsidR="0010462A" w:rsidRPr="00037C35" w:rsidRDefault="0010462A" w:rsidP="00037C35">
      <w:pPr>
        <w:pStyle w:val="Call"/>
        <w:rPr>
          <w:lang w:val="es-ES"/>
        </w:rPr>
      </w:pPr>
      <w:r w:rsidRPr="00037C35">
        <w:rPr>
          <w:lang w:val="es-ES"/>
        </w:rPr>
        <w:t>considerando</w:t>
      </w:r>
    </w:p>
    <w:p w14:paraId="2E7AE83C" w14:textId="19801505" w:rsidR="0010462A" w:rsidRPr="0010462A" w:rsidRDefault="0010462A" w:rsidP="007078BF">
      <w:pPr>
        <w:jc w:val="both"/>
        <w:rPr>
          <w:lang w:val="es-ES"/>
        </w:rPr>
      </w:pPr>
      <w:r w:rsidRPr="0010462A">
        <w:rPr>
          <w:i/>
          <w:iCs/>
          <w:lang w:val="es-ES"/>
        </w:rPr>
        <w:t>a)</w:t>
      </w:r>
      <w:r w:rsidRPr="0010462A">
        <w:rPr>
          <w:lang w:val="es-ES"/>
        </w:rPr>
        <w:tab/>
        <w:t>el informe Green Digital Companies (Empresas digitales ecológicas) de la</w:t>
      </w:r>
      <w:r w:rsidR="00037C35">
        <w:rPr>
          <w:lang w:val="es-ES"/>
        </w:rPr>
        <w:t> </w:t>
      </w:r>
      <w:r w:rsidRPr="0010462A">
        <w:rPr>
          <w:lang w:val="es-ES"/>
        </w:rPr>
        <w:t>UIT, elaborado con la World Benchmarking Alliance, en el que se revela que la carrera por desarrollar la inteligencia artificial y ampliar los centros de datos está impulsando un crecimiento sin precedentes del sector digital y alimentando un acusado aumento de las emisiones de GEI y del consumo energético;</w:t>
      </w:r>
    </w:p>
    <w:p w14:paraId="3C2C0E41" w14:textId="07679004" w:rsidR="0010462A" w:rsidRPr="0010462A" w:rsidRDefault="0010462A" w:rsidP="007078BF">
      <w:pPr>
        <w:jc w:val="both"/>
        <w:rPr>
          <w:lang w:val="es-ES"/>
        </w:rPr>
      </w:pPr>
      <w:r w:rsidRPr="0010462A">
        <w:rPr>
          <w:i/>
          <w:iCs/>
          <w:lang w:val="es-ES"/>
        </w:rPr>
        <w:t>b)</w:t>
      </w:r>
      <w:r w:rsidRPr="0010462A">
        <w:rPr>
          <w:lang w:val="es-ES"/>
        </w:rPr>
        <w:tab/>
        <w:t>la importancia de movilizar las tecnologías digitales para alcanzar los objetivos últimos de la</w:t>
      </w:r>
      <w:r w:rsidR="00037C35">
        <w:rPr>
          <w:lang w:val="es-ES"/>
        </w:rPr>
        <w:t> </w:t>
      </w:r>
      <w:r w:rsidRPr="0010462A">
        <w:rPr>
          <w:lang w:val="es-ES"/>
        </w:rPr>
        <w:t>CMNUCC, en el contexto del desarrollo sostenible, y del Acuerdo de París firmado en la</w:t>
      </w:r>
      <w:r w:rsidR="00037C35">
        <w:rPr>
          <w:lang w:val="es-ES"/>
        </w:rPr>
        <w:t> </w:t>
      </w:r>
      <w:r w:rsidRPr="0010462A">
        <w:rPr>
          <w:lang w:val="es-ES"/>
        </w:rPr>
        <w:t>COP21;</w:t>
      </w:r>
    </w:p>
    <w:p w14:paraId="012B9FE5" w14:textId="77777777" w:rsidR="0010462A" w:rsidRPr="0010462A" w:rsidRDefault="0010462A" w:rsidP="007078BF">
      <w:pPr>
        <w:jc w:val="both"/>
        <w:rPr>
          <w:lang w:val="es-ES"/>
        </w:rPr>
      </w:pPr>
      <w:r w:rsidRPr="0010462A">
        <w:rPr>
          <w:i/>
          <w:iCs/>
          <w:lang w:val="es-ES"/>
        </w:rPr>
        <w:t>c)</w:t>
      </w:r>
      <w:r w:rsidRPr="0010462A">
        <w:rPr>
          <w:lang w:val="es-ES"/>
        </w:rPr>
        <w:tab/>
        <w:t>que los marcos de contratación pública y los mecanismos de mercado pueden fomentar el despliegue de telecomunicaciones/TIC medioambientalmente sostenibles,</w:t>
      </w:r>
    </w:p>
    <w:p w14:paraId="01A1C439" w14:textId="77777777" w:rsidR="0010462A" w:rsidRPr="00037C35" w:rsidRDefault="0010462A" w:rsidP="00037C35">
      <w:pPr>
        <w:pStyle w:val="Call"/>
        <w:rPr>
          <w:lang w:val="es-ES"/>
        </w:rPr>
      </w:pPr>
      <w:r w:rsidRPr="00037C35">
        <w:rPr>
          <w:lang w:val="es-ES"/>
        </w:rPr>
        <w:t>reconociendo</w:t>
      </w:r>
    </w:p>
    <w:p w14:paraId="35F182BE" w14:textId="77777777" w:rsidR="0010462A" w:rsidRPr="0010462A" w:rsidRDefault="0010462A" w:rsidP="007078BF">
      <w:pPr>
        <w:jc w:val="both"/>
        <w:rPr>
          <w:lang w:val="es-ES"/>
        </w:rPr>
      </w:pPr>
      <w:r w:rsidRPr="0010462A">
        <w:rPr>
          <w:i/>
          <w:iCs/>
          <w:lang w:val="es-ES"/>
        </w:rPr>
        <w:t>a)</w:t>
      </w:r>
      <w:r w:rsidRPr="0010462A">
        <w:rPr>
          <w:lang w:val="es-ES"/>
        </w:rPr>
        <w:tab/>
        <w:t>que los beneficios y perjuicios medioambientales de las telecomunicaciones/TIC no se distribuyen de manera uniforme, y que numerosos países en desarrollo padecen riesgos medioambientales derivados de los residuos electrónicos;</w:t>
      </w:r>
    </w:p>
    <w:p w14:paraId="0D3195AB" w14:textId="5B44978C" w:rsidR="0010462A" w:rsidRPr="0010462A" w:rsidRDefault="0010462A" w:rsidP="007078BF">
      <w:pPr>
        <w:keepNext/>
        <w:keepLines/>
        <w:jc w:val="both"/>
        <w:rPr>
          <w:lang w:val="es-ES"/>
        </w:rPr>
      </w:pPr>
      <w:r w:rsidRPr="0010462A">
        <w:rPr>
          <w:i/>
          <w:iCs/>
          <w:lang w:val="es-ES"/>
        </w:rPr>
        <w:t>b)</w:t>
      </w:r>
      <w:r w:rsidRPr="0010462A">
        <w:rPr>
          <w:lang w:val="es-ES"/>
        </w:rPr>
        <w:tab/>
        <w:t xml:space="preserve">que, según el </w:t>
      </w:r>
      <w:r w:rsidRPr="0010462A">
        <w:rPr>
          <w:i/>
          <w:iCs/>
          <w:lang w:val="es-ES"/>
        </w:rPr>
        <w:t>Digital Economy Report</w:t>
      </w:r>
      <w:r w:rsidRPr="0010462A">
        <w:rPr>
          <w:lang w:val="es-ES"/>
        </w:rPr>
        <w:t xml:space="preserve"> (</w:t>
      </w:r>
      <w:r w:rsidRPr="0010462A">
        <w:rPr>
          <w:i/>
          <w:iCs/>
          <w:lang w:val="es-ES"/>
        </w:rPr>
        <w:t>Informe sobre la economía digital</w:t>
      </w:r>
      <w:r w:rsidRPr="0010462A">
        <w:rPr>
          <w:lang w:val="es-ES"/>
        </w:rPr>
        <w:t>) de 2024 de las Naciones Unidas, en términos per cápita, los países desarrollados generaron una media de 3,25</w:t>
      </w:r>
      <w:r w:rsidR="00037C35">
        <w:rPr>
          <w:lang w:val="es-ES"/>
        </w:rPr>
        <w:t> </w:t>
      </w:r>
      <w:r w:rsidRPr="0010462A">
        <w:rPr>
          <w:lang w:val="es-ES"/>
        </w:rPr>
        <w:t>kg de residuos relacionados con lo digital, frente a menos de</w:t>
      </w:r>
      <w:r w:rsidR="00037C35">
        <w:rPr>
          <w:lang w:val="es-ES"/>
        </w:rPr>
        <w:t xml:space="preserve"> </w:t>
      </w:r>
      <w:r w:rsidRPr="0010462A">
        <w:rPr>
          <w:lang w:val="es-ES"/>
        </w:rPr>
        <w:t>1</w:t>
      </w:r>
      <w:r w:rsidR="00037C35">
        <w:rPr>
          <w:lang w:val="es-ES"/>
        </w:rPr>
        <w:t> </w:t>
      </w:r>
      <w:r w:rsidRPr="0010462A">
        <w:rPr>
          <w:lang w:val="es-ES"/>
        </w:rPr>
        <w:t>kg en los países en desarrollo y 0,21</w:t>
      </w:r>
      <w:r w:rsidR="00037C35">
        <w:rPr>
          <w:lang w:val="es-ES"/>
        </w:rPr>
        <w:t> </w:t>
      </w:r>
      <w:r w:rsidRPr="0010462A">
        <w:rPr>
          <w:lang w:val="es-ES"/>
        </w:rPr>
        <w:t>kg en los países menos adelantados;</w:t>
      </w:r>
    </w:p>
    <w:p w14:paraId="424775CC" w14:textId="77777777" w:rsidR="0010462A" w:rsidRPr="0010462A" w:rsidRDefault="0010462A" w:rsidP="007078BF">
      <w:pPr>
        <w:jc w:val="both"/>
        <w:rPr>
          <w:lang w:val="es-ES"/>
        </w:rPr>
      </w:pPr>
      <w:r w:rsidRPr="0010462A">
        <w:rPr>
          <w:i/>
          <w:iCs/>
          <w:lang w:val="es-ES"/>
        </w:rPr>
        <w:t>c)</w:t>
      </w:r>
      <w:r w:rsidRPr="0010462A">
        <w:rPr>
          <w:lang w:val="es-ES"/>
        </w:rPr>
        <w:tab/>
        <w:t>que las prácticas de la industria deberían promover oportunidades e incentivos para que los consumidores reutilicen, reparen y reciclen los productos TIC, con objeto de reducir los residuos electrónicos, en particular en los países en desarrollo;</w:t>
      </w:r>
    </w:p>
    <w:p w14:paraId="4A7EE12F" w14:textId="77777777" w:rsidR="0010462A" w:rsidRPr="0010462A" w:rsidRDefault="0010462A" w:rsidP="007078BF">
      <w:pPr>
        <w:jc w:val="both"/>
        <w:rPr>
          <w:lang w:val="es-ES"/>
        </w:rPr>
      </w:pPr>
      <w:r w:rsidRPr="0010462A">
        <w:rPr>
          <w:i/>
          <w:iCs/>
          <w:lang w:val="es-ES"/>
        </w:rPr>
        <w:lastRenderedPageBreak/>
        <w:t>d)</w:t>
      </w:r>
      <w:r w:rsidRPr="0010462A">
        <w:rPr>
          <w:lang w:val="es-ES"/>
        </w:rPr>
        <w:tab/>
        <w:t>que las infraestructuras de telecomunicaciones/TIC, incluidos los centros de datos, pueden dar lugar a un elevado consumo energético y a importantes emisiones de carbono si no se gestionan de manera sostenible;</w:t>
      </w:r>
    </w:p>
    <w:p w14:paraId="0091AC42" w14:textId="77777777" w:rsidR="0010462A" w:rsidRPr="0010462A" w:rsidRDefault="0010462A" w:rsidP="007078BF">
      <w:pPr>
        <w:jc w:val="both"/>
        <w:rPr>
          <w:lang w:val="es-ES"/>
        </w:rPr>
      </w:pPr>
      <w:r w:rsidRPr="0010462A">
        <w:rPr>
          <w:i/>
          <w:iCs/>
          <w:lang w:val="es-ES"/>
        </w:rPr>
        <w:t>e)</w:t>
      </w:r>
      <w:r w:rsidRPr="0010462A">
        <w:rPr>
          <w:lang w:val="es-ES"/>
        </w:rPr>
        <w:tab/>
        <w:t>que el rápido desarrollo de las telecomunicaciones/TIC puede provocar un aumento de los residuos electrónicos, lo que entraña riesgos medioambientales;</w:t>
      </w:r>
    </w:p>
    <w:p w14:paraId="6F8A0DD5" w14:textId="77777777" w:rsidR="0010462A" w:rsidRPr="0010462A" w:rsidRDefault="0010462A" w:rsidP="007078BF">
      <w:pPr>
        <w:jc w:val="both"/>
        <w:rPr>
          <w:lang w:val="es-ES"/>
        </w:rPr>
      </w:pPr>
      <w:r w:rsidRPr="0010462A">
        <w:rPr>
          <w:i/>
          <w:iCs/>
          <w:lang w:val="es-ES"/>
        </w:rPr>
        <w:t>f)</w:t>
      </w:r>
      <w:r w:rsidRPr="0010462A">
        <w:rPr>
          <w:lang w:val="es-ES"/>
        </w:rPr>
        <w:tab/>
        <w:t>que los pequeños Estados insulares en desarrollo y otros países con poblaciones reducidas pueden enfrentarse a retos a la hora de ejecutar programas de transformación digital ecológica sin asociaciones que permitan ampliar la escala de las operaciones;</w:t>
      </w:r>
    </w:p>
    <w:p w14:paraId="1E418484" w14:textId="77777777" w:rsidR="0010462A" w:rsidRPr="0010462A" w:rsidRDefault="0010462A" w:rsidP="007078BF">
      <w:pPr>
        <w:jc w:val="both"/>
        <w:rPr>
          <w:lang w:val="es-ES"/>
        </w:rPr>
      </w:pPr>
      <w:r w:rsidRPr="0010462A">
        <w:rPr>
          <w:i/>
          <w:iCs/>
          <w:lang w:val="es-ES"/>
        </w:rPr>
        <w:t>g)</w:t>
      </w:r>
      <w:r w:rsidRPr="0010462A">
        <w:rPr>
          <w:lang w:val="es-ES"/>
        </w:rPr>
        <w:tab/>
        <w:t>que los países en desarrollo pueden encontrar dificultades para cumplir los objetivos del Acuerdo de París y facilitar la transformación digital ecológica sin apoyo financiero y técnico;</w:t>
      </w:r>
    </w:p>
    <w:p w14:paraId="52857CC4" w14:textId="77777777" w:rsidR="0010462A" w:rsidRPr="0010462A" w:rsidRDefault="0010462A" w:rsidP="007078BF">
      <w:pPr>
        <w:jc w:val="both"/>
        <w:rPr>
          <w:lang w:val="es-ES"/>
        </w:rPr>
      </w:pPr>
      <w:r w:rsidRPr="0010462A">
        <w:rPr>
          <w:i/>
          <w:iCs/>
          <w:lang w:val="es-ES"/>
        </w:rPr>
        <w:t>h)</w:t>
      </w:r>
      <w:r w:rsidRPr="0010462A">
        <w:rPr>
          <w:lang w:val="es-ES"/>
        </w:rPr>
        <w:tab/>
        <w:t>que una transformación digital ecológica debe tener en cuenta que numerosos países en desarrollo aún precisan avanzar en su digitalización para participar eficazmente en la economía y la sociedad mundiales;</w:t>
      </w:r>
    </w:p>
    <w:p w14:paraId="6610499C" w14:textId="01B2951E" w:rsidR="0010462A" w:rsidRPr="0010462A" w:rsidRDefault="0010462A" w:rsidP="007078BF">
      <w:pPr>
        <w:jc w:val="both"/>
        <w:rPr>
          <w:lang w:val="es-ES"/>
        </w:rPr>
      </w:pPr>
      <w:r w:rsidRPr="0010462A">
        <w:rPr>
          <w:i/>
          <w:iCs/>
          <w:lang w:val="es-ES"/>
        </w:rPr>
        <w:t>i)</w:t>
      </w:r>
      <w:r w:rsidRPr="0010462A">
        <w:rPr>
          <w:lang w:val="es-ES"/>
        </w:rPr>
        <w:tab/>
        <w:t>las contribuciones aportadas por las Comisiones de Estudio pertinentes de la</w:t>
      </w:r>
      <w:r w:rsidR="00037C35">
        <w:rPr>
          <w:lang w:val="es-ES"/>
        </w:rPr>
        <w:t> </w:t>
      </w:r>
      <w:r w:rsidRPr="0010462A">
        <w:rPr>
          <w:lang w:val="es-ES"/>
        </w:rPr>
        <w:t>UIT en los tres Sectores, tales como la Comisión de Estudio</w:t>
      </w:r>
      <w:r w:rsidR="00037C35">
        <w:rPr>
          <w:lang w:val="es-ES"/>
        </w:rPr>
        <w:t> </w:t>
      </w:r>
      <w:r w:rsidRPr="0010462A">
        <w:rPr>
          <w:lang w:val="es-ES"/>
        </w:rPr>
        <w:t>5 del</w:t>
      </w:r>
      <w:r w:rsidR="00037C35">
        <w:rPr>
          <w:lang w:val="es-ES"/>
        </w:rPr>
        <w:t> </w:t>
      </w:r>
      <w:r w:rsidRPr="0010462A">
        <w:rPr>
          <w:lang w:val="es-ES"/>
        </w:rPr>
        <w:t>UIT</w:t>
      </w:r>
      <w:r w:rsidR="00D1092F">
        <w:rPr>
          <w:lang w:val="es-ES"/>
        </w:rPr>
        <w:noBreakHyphen/>
      </w:r>
      <w:r w:rsidRPr="0010462A">
        <w:rPr>
          <w:lang w:val="es-ES"/>
        </w:rPr>
        <w:t>T, la Comisión de Estudio</w:t>
      </w:r>
      <w:r w:rsidR="00037C35">
        <w:rPr>
          <w:lang w:val="es-ES"/>
        </w:rPr>
        <w:t> </w:t>
      </w:r>
      <w:r w:rsidRPr="0010462A">
        <w:rPr>
          <w:lang w:val="es-ES"/>
        </w:rPr>
        <w:t>7 del</w:t>
      </w:r>
      <w:r w:rsidR="00037C35">
        <w:rPr>
          <w:lang w:val="es-ES"/>
        </w:rPr>
        <w:t> </w:t>
      </w:r>
      <w:r w:rsidRPr="0010462A">
        <w:rPr>
          <w:lang w:val="es-ES"/>
        </w:rPr>
        <w:t>UIT</w:t>
      </w:r>
      <w:r w:rsidR="00D1092F">
        <w:rPr>
          <w:lang w:val="es-ES"/>
        </w:rPr>
        <w:noBreakHyphen/>
      </w:r>
      <w:r w:rsidRPr="0010462A">
        <w:rPr>
          <w:lang w:val="es-ES"/>
        </w:rPr>
        <w:t>R y la Comisión de Estudio</w:t>
      </w:r>
      <w:r w:rsidR="00037C35">
        <w:rPr>
          <w:lang w:val="es-ES"/>
        </w:rPr>
        <w:t> </w:t>
      </w:r>
      <w:r w:rsidRPr="0010462A">
        <w:rPr>
          <w:lang w:val="es-ES"/>
        </w:rPr>
        <w:t>2 del</w:t>
      </w:r>
      <w:r w:rsidR="00037C35">
        <w:rPr>
          <w:lang w:val="es-ES"/>
        </w:rPr>
        <w:t> </w:t>
      </w:r>
      <w:r w:rsidRPr="0010462A">
        <w:rPr>
          <w:lang w:val="es-ES"/>
        </w:rPr>
        <w:t>UIT</w:t>
      </w:r>
      <w:r w:rsidR="00D1092F">
        <w:rPr>
          <w:lang w:val="es-ES"/>
        </w:rPr>
        <w:noBreakHyphen/>
      </w:r>
      <w:r w:rsidRPr="0010462A">
        <w:rPr>
          <w:lang w:val="es-ES"/>
        </w:rPr>
        <w:t>D,</w:t>
      </w:r>
    </w:p>
    <w:p w14:paraId="19E4E0C8" w14:textId="77777777" w:rsidR="0010462A" w:rsidRPr="00037C35" w:rsidRDefault="0010462A" w:rsidP="00037C35">
      <w:pPr>
        <w:pStyle w:val="Call"/>
        <w:rPr>
          <w:lang w:val="es-ES"/>
        </w:rPr>
      </w:pPr>
      <w:r w:rsidRPr="00037C35">
        <w:rPr>
          <w:lang w:val="es-ES"/>
        </w:rPr>
        <w:t>opina</w:t>
      </w:r>
    </w:p>
    <w:p w14:paraId="7C901CD6" w14:textId="77777777" w:rsidR="0010462A" w:rsidRPr="0010462A" w:rsidRDefault="0010462A" w:rsidP="007078BF">
      <w:pPr>
        <w:jc w:val="both"/>
        <w:rPr>
          <w:lang w:val="es-ES"/>
        </w:rPr>
      </w:pPr>
      <w:r w:rsidRPr="0010462A">
        <w:rPr>
          <w:lang w:val="es-ES"/>
        </w:rPr>
        <w:t>1</w:t>
      </w:r>
      <w:r w:rsidRPr="0010462A">
        <w:rPr>
          <w:lang w:val="es-ES"/>
        </w:rPr>
        <w:tab/>
        <w:t>que unas reducciones rápidas, profundas y sostenidas de las emisiones mundiales de GEI son necesarias para lograr una transformación digital ecológica sostenible;</w:t>
      </w:r>
    </w:p>
    <w:p w14:paraId="3FAF492F" w14:textId="77777777" w:rsidR="0010462A" w:rsidRPr="0010462A" w:rsidRDefault="0010462A" w:rsidP="007078BF">
      <w:pPr>
        <w:jc w:val="both"/>
        <w:rPr>
          <w:lang w:val="es-ES"/>
        </w:rPr>
      </w:pPr>
      <w:r w:rsidRPr="0010462A">
        <w:rPr>
          <w:lang w:val="es-ES"/>
        </w:rPr>
        <w:t>2</w:t>
      </w:r>
      <w:r w:rsidRPr="0010462A">
        <w:rPr>
          <w:lang w:val="es-ES"/>
        </w:rPr>
        <w:tab/>
        <w:t>que los gobiernos nacionales, regionales y locales, el sector privado, la sociedad civil, la comunidad técnica y las instituciones académicas deberían asociarse y trabajar en pro de la transformación digital ecológica;</w:t>
      </w:r>
    </w:p>
    <w:p w14:paraId="42976B43" w14:textId="77777777" w:rsidR="0010462A" w:rsidRPr="0010462A" w:rsidRDefault="0010462A" w:rsidP="007078BF">
      <w:pPr>
        <w:jc w:val="both"/>
        <w:rPr>
          <w:lang w:val="es-ES"/>
        </w:rPr>
      </w:pPr>
      <w:r w:rsidRPr="0010462A">
        <w:rPr>
          <w:lang w:val="es-ES"/>
        </w:rPr>
        <w:t>3</w:t>
      </w:r>
      <w:r w:rsidRPr="0010462A">
        <w:rPr>
          <w:lang w:val="es-ES"/>
        </w:rPr>
        <w:tab/>
        <w:t>que, si bien las telecomunicaciones/TIC contribuyen de manera significativa a las emisiones mundiales de GEI, su poder transformador puede movilizarse para hacer frente al cambio climático;</w:t>
      </w:r>
    </w:p>
    <w:p w14:paraId="45FAC55A" w14:textId="77777777" w:rsidR="0010462A" w:rsidRPr="0010462A" w:rsidRDefault="0010462A" w:rsidP="007078BF">
      <w:pPr>
        <w:jc w:val="both"/>
        <w:rPr>
          <w:lang w:val="es-ES"/>
        </w:rPr>
      </w:pPr>
      <w:r w:rsidRPr="0010462A">
        <w:rPr>
          <w:lang w:val="es-ES"/>
        </w:rPr>
        <w:t>4</w:t>
      </w:r>
      <w:r w:rsidRPr="0010462A">
        <w:rPr>
          <w:lang w:val="es-ES"/>
        </w:rPr>
        <w:tab/>
        <w:t>que el ritmo creciente y dinámico del sector de las telecomunicaciones/TIC debería ser compatible con una transformación digital ecológica y representa una oportunidad para el crecimiento económico, la mejora de la competitividad y el desarrollo sostenible en todos los sectores económicos, al tiempo que se reducen las emisiones de GEI de otros sectores;</w:t>
      </w:r>
    </w:p>
    <w:p w14:paraId="4071E9A2" w14:textId="77777777" w:rsidR="0010462A" w:rsidRPr="0010462A" w:rsidRDefault="0010462A" w:rsidP="007078BF">
      <w:pPr>
        <w:jc w:val="both"/>
        <w:rPr>
          <w:lang w:val="es-ES"/>
        </w:rPr>
      </w:pPr>
      <w:r w:rsidRPr="0010462A">
        <w:rPr>
          <w:lang w:val="es-ES"/>
        </w:rPr>
        <w:t>5</w:t>
      </w:r>
      <w:r w:rsidRPr="0010462A">
        <w:rPr>
          <w:lang w:val="es-ES"/>
        </w:rPr>
        <w:tab/>
        <w:t>que las telecomunicaciones/TIC podrían contribuir a atenuar la repercusión medioambiental de otros sectores de múltiples maneras, por ejemplo determinando medidas prácticas basadas en datos;</w:t>
      </w:r>
    </w:p>
    <w:p w14:paraId="6D1CC0D1" w14:textId="77777777" w:rsidR="0010462A" w:rsidRPr="0010462A" w:rsidRDefault="0010462A" w:rsidP="007078BF">
      <w:pPr>
        <w:jc w:val="both"/>
        <w:rPr>
          <w:lang w:val="es-ES"/>
        </w:rPr>
      </w:pPr>
      <w:r w:rsidRPr="0010462A">
        <w:rPr>
          <w:lang w:val="es-ES"/>
        </w:rPr>
        <w:t>6</w:t>
      </w:r>
      <w:r w:rsidRPr="0010462A">
        <w:rPr>
          <w:lang w:val="es-ES"/>
        </w:rPr>
        <w:tab/>
        <w:t>que la transición hacia una economía más circular optimizaría las repercusiones económicas y medioambientales de las telecomunicaciones/TIC, y respaldaría además las oportunidades de negocio y la creación de empleo;</w:t>
      </w:r>
    </w:p>
    <w:p w14:paraId="031E1162" w14:textId="77777777" w:rsidR="0010462A" w:rsidRPr="0010462A" w:rsidRDefault="0010462A" w:rsidP="007078BF">
      <w:pPr>
        <w:jc w:val="both"/>
        <w:rPr>
          <w:lang w:val="es-ES"/>
        </w:rPr>
      </w:pPr>
      <w:r w:rsidRPr="0010462A">
        <w:rPr>
          <w:lang w:val="es-ES"/>
        </w:rPr>
        <w:t>7</w:t>
      </w:r>
      <w:r w:rsidRPr="0010462A">
        <w:rPr>
          <w:lang w:val="es-ES"/>
        </w:rPr>
        <w:tab/>
        <w:t xml:space="preserve">que la sostenibilidad y la eficiencia energética, </w:t>
      </w:r>
      <w:r w:rsidRPr="0010462A">
        <w:rPr>
          <w:i/>
          <w:iCs/>
          <w:lang w:val="es-ES"/>
        </w:rPr>
        <w:t>inter alia</w:t>
      </w:r>
      <w:r w:rsidRPr="0010462A">
        <w:rPr>
          <w:lang w:val="es-ES"/>
        </w:rPr>
        <w:t>, la compartición voluntaria de infraestructuras y la reducción de los residuos electrónicos deberían constituir consideraciones fundamentales en el desarrollo, el despliegue y la utilización de las telecomunicaciones/TIC,</w:t>
      </w:r>
    </w:p>
    <w:p w14:paraId="338D8F08" w14:textId="77777777" w:rsidR="0010462A" w:rsidRPr="00037C35" w:rsidRDefault="0010462A" w:rsidP="00037C35">
      <w:pPr>
        <w:pStyle w:val="Call"/>
        <w:rPr>
          <w:lang w:val="es-ES"/>
        </w:rPr>
      </w:pPr>
      <w:r w:rsidRPr="00037C35">
        <w:rPr>
          <w:lang w:val="es-ES"/>
        </w:rPr>
        <w:t>invita a los Estados Miembros</w:t>
      </w:r>
    </w:p>
    <w:p w14:paraId="58B4E2C0" w14:textId="77777777" w:rsidR="0010462A" w:rsidRPr="0010462A" w:rsidRDefault="0010462A" w:rsidP="007078BF">
      <w:pPr>
        <w:jc w:val="both"/>
        <w:rPr>
          <w:lang w:val="es-ES"/>
        </w:rPr>
      </w:pPr>
      <w:r w:rsidRPr="0010462A">
        <w:rPr>
          <w:lang w:val="es-ES"/>
        </w:rPr>
        <w:t>1</w:t>
      </w:r>
      <w:r w:rsidRPr="0010462A">
        <w:rPr>
          <w:lang w:val="es-ES"/>
        </w:rPr>
        <w:tab/>
        <w:t>a utilizar las telecomunicaciones/TIC como método eficaz para reducir las emisiones de GEI en múltiples sectores económicos;</w:t>
      </w:r>
    </w:p>
    <w:p w14:paraId="2E6BBD1D" w14:textId="77777777" w:rsidR="0010462A" w:rsidRPr="0010462A" w:rsidRDefault="0010462A" w:rsidP="006B5692">
      <w:pPr>
        <w:jc w:val="both"/>
        <w:rPr>
          <w:lang w:val="es-ES"/>
        </w:rPr>
      </w:pPr>
      <w:r w:rsidRPr="0010462A">
        <w:rPr>
          <w:lang w:val="es-ES"/>
        </w:rPr>
        <w:lastRenderedPageBreak/>
        <w:t>2</w:t>
      </w:r>
      <w:r w:rsidRPr="0010462A">
        <w:rPr>
          <w:lang w:val="es-ES"/>
        </w:rPr>
        <w:tab/>
        <w:t>a formular estrategias y políticas adecuadas a escala regional, nacional y local que promuevan la circularidad de los equipos de telecomunicaciones/TIC en los ámbitos del sector público, del consumidor y de la industria;</w:t>
      </w:r>
    </w:p>
    <w:p w14:paraId="7642C172" w14:textId="77777777" w:rsidR="0010462A" w:rsidRPr="0010462A" w:rsidRDefault="0010462A" w:rsidP="006B5692">
      <w:pPr>
        <w:jc w:val="both"/>
        <w:rPr>
          <w:lang w:val="es-ES"/>
        </w:rPr>
      </w:pPr>
      <w:r w:rsidRPr="0010462A">
        <w:rPr>
          <w:lang w:val="es-ES"/>
        </w:rPr>
        <w:t>3</w:t>
      </w:r>
      <w:r w:rsidRPr="0010462A">
        <w:rPr>
          <w:lang w:val="es-ES"/>
        </w:rPr>
        <w:tab/>
        <w:t>a promover el desarrollo de soluciones de bajo costo, seguras y sostenibles desde el diseño, con una huella de carbono reducida a lo largo de todo su ciclo de vida;</w:t>
      </w:r>
    </w:p>
    <w:p w14:paraId="7A04304A" w14:textId="77777777" w:rsidR="0010462A" w:rsidRPr="0010462A" w:rsidRDefault="0010462A" w:rsidP="006B5692">
      <w:pPr>
        <w:jc w:val="both"/>
        <w:rPr>
          <w:lang w:val="es-ES"/>
        </w:rPr>
      </w:pPr>
      <w:r w:rsidRPr="0010462A">
        <w:rPr>
          <w:lang w:val="es-ES"/>
        </w:rPr>
        <w:t>4</w:t>
      </w:r>
      <w:r w:rsidRPr="0010462A">
        <w:rPr>
          <w:lang w:val="es-ES"/>
        </w:rPr>
        <w:tab/>
        <w:t>a fomentar un entorno propicio a la inversión en telecomunicaciones/TIC medioambientalmente sostenibles;</w:t>
      </w:r>
    </w:p>
    <w:p w14:paraId="0DBD8D15" w14:textId="77777777" w:rsidR="0010462A" w:rsidRPr="0010462A" w:rsidRDefault="0010462A" w:rsidP="006B5692">
      <w:pPr>
        <w:jc w:val="both"/>
        <w:rPr>
          <w:lang w:val="es-ES"/>
        </w:rPr>
      </w:pPr>
      <w:r w:rsidRPr="0010462A">
        <w:rPr>
          <w:lang w:val="es-ES"/>
        </w:rPr>
        <w:t>5</w:t>
      </w:r>
      <w:r w:rsidRPr="0010462A">
        <w:rPr>
          <w:lang w:val="es-ES"/>
        </w:rPr>
        <w:tab/>
        <w:t>a invertir en la investigación y el desarrollo de telecomunicaciones/TIC medioambientalmente sostenibles;</w:t>
      </w:r>
    </w:p>
    <w:p w14:paraId="3BDA1E65" w14:textId="77777777" w:rsidR="0010462A" w:rsidRPr="0010462A" w:rsidRDefault="0010462A" w:rsidP="006B5692">
      <w:pPr>
        <w:jc w:val="both"/>
        <w:rPr>
          <w:lang w:val="es-ES"/>
        </w:rPr>
      </w:pPr>
      <w:r w:rsidRPr="0010462A">
        <w:rPr>
          <w:lang w:val="es-ES"/>
        </w:rPr>
        <w:t>6</w:t>
      </w:r>
      <w:r w:rsidRPr="0010462A">
        <w:rPr>
          <w:lang w:val="es-ES"/>
        </w:rPr>
        <w:tab/>
        <w:t>a considerar la posibilidad de recurrir a los requisitos de contratación pública para fomentar el despliegue de telecomunicaciones/TIC sostenibles entre las organizaciones pertinentes, cuando proceda;</w:t>
      </w:r>
    </w:p>
    <w:p w14:paraId="39CCD246" w14:textId="77777777" w:rsidR="0010462A" w:rsidRPr="0010462A" w:rsidRDefault="0010462A" w:rsidP="006B5692">
      <w:pPr>
        <w:jc w:val="both"/>
        <w:rPr>
          <w:lang w:val="es-ES"/>
        </w:rPr>
      </w:pPr>
      <w:r w:rsidRPr="0010462A">
        <w:rPr>
          <w:lang w:val="es-ES"/>
        </w:rPr>
        <w:t>7</w:t>
      </w:r>
      <w:r w:rsidRPr="0010462A">
        <w:rPr>
          <w:lang w:val="es-ES"/>
        </w:rPr>
        <w:tab/>
        <w:t>a alentar la evaluación de toda la gama de repercusiones medioambientales de las telecomunicaciones/TIC a lo largo de su ciclo de vida, desde la planificación hasta la eliminación, con objeto de fundamentar las políticas, la innovación y las prácticas de diseño sostenible;</w:t>
      </w:r>
    </w:p>
    <w:p w14:paraId="01AB8925" w14:textId="77777777" w:rsidR="0010462A" w:rsidRPr="0010462A" w:rsidRDefault="0010462A" w:rsidP="006B5692">
      <w:pPr>
        <w:jc w:val="both"/>
        <w:rPr>
          <w:lang w:val="es-ES"/>
        </w:rPr>
      </w:pPr>
      <w:r w:rsidRPr="0010462A">
        <w:rPr>
          <w:lang w:val="es-ES"/>
        </w:rPr>
        <w:t>8</w:t>
      </w:r>
      <w:r w:rsidRPr="0010462A">
        <w:rPr>
          <w:lang w:val="es-ES"/>
        </w:rPr>
        <w:tab/>
        <w:t>a llevar a cabo campañas de sensibilización pública sobre la eliminación y el reciclado de los residuos electrónicos, que mejoren la comprensión de los consumidores acerca de las consecuencias de sus dispositivos en materia de residuos;</w:t>
      </w:r>
    </w:p>
    <w:p w14:paraId="2CB90F62" w14:textId="77777777" w:rsidR="0010462A" w:rsidRPr="0010462A" w:rsidRDefault="0010462A" w:rsidP="006B5692">
      <w:pPr>
        <w:jc w:val="both"/>
        <w:rPr>
          <w:lang w:val="es-ES"/>
        </w:rPr>
      </w:pPr>
      <w:r w:rsidRPr="0010462A">
        <w:rPr>
          <w:lang w:val="es-ES"/>
        </w:rPr>
        <w:t>9</w:t>
      </w:r>
      <w:r w:rsidRPr="0010462A">
        <w:rPr>
          <w:lang w:val="es-ES"/>
        </w:rPr>
        <w:tab/>
        <w:t xml:space="preserve">a incentivar la utilización de energías renovables y de dispositivos energéticamente eficientes con bajas emisiones de GEI, teniendo en cuenta las circunstancias y capacidades de </w:t>
      </w:r>
      <w:bookmarkStart w:id="1" w:name="_Hlk211347167"/>
      <w:r w:rsidRPr="0010462A">
        <w:rPr>
          <w:lang w:val="es-ES"/>
        </w:rPr>
        <w:t xml:space="preserve">cada </w:t>
      </w:r>
      <w:bookmarkEnd w:id="1"/>
      <w:r w:rsidRPr="0010462A">
        <w:rPr>
          <w:lang w:val="es-ES"/>
        </w:rPr>
        <w:t>Estado Miembro;</w:t>
      </w:r>
    </w:p>
    <w:p w14:paraId="528FEC42" w14:textId="77777777" w:rsidR="0010462A" w:rsidRPr="0010462A" w:rsidRDefault="0010462A" w:rsidP="006B5692">
      <w:pPr>
        <w:jc w:val="both"/>
        <w:rPr>
          <w:lang w:val="es-ES"/>
        </w:rPr>
      </w:pPr>
      <w:r w:rsidRPr="0010462A">
        <w:rPr>
          <w:lang w:val="es-ES"/>
        </w:rPr>
        <w:t>10</w:t>
      </w:r>
      <w:r w:rsidRPr="0010462A">
        <w:rPr>
          <w:lang w:val="es-ES"/>
        </w:rPr>
        <w:tab/>
        <w:t>a reforzar los marcos relativos a la eliminación y la gestión de los residuos electrónicos mediante la elaboración de políticas, reglamentaciones, marcos y estrategias,</w:t>
      </w:r>
    </w:p>
    <w:p w14:paraId="76677FA8" w14:textId="77777777" w:rsidR="0010462A" w:rsidRPr="00037C35" w:rsidRDefault="0010462A" w:rsidP="00037C35">
      <w:pPr>
        <w:pStyle w:val="Call"/>
        <w:rPr>
          <w:lang w:val="es-ES"/>
        </w:rPr>
      </w:pPr>
      <w:r w:rsidRPr="00037C35">
        <w:rPr>
          <w:lang w:val="es-ES"/>
        </w:rPr>
        <w:t>invita a los Estados Miembros, Miembros de Sector y otras partes interesadas</w:t>
      </w:r>
    </w:p>
    <w:p w14:paraId="7B994E82" w14:textId="77777777" w:rsidR="0010462A" w:rsidRPr="0010462A" w:rsidRDefault="0010462A" w:rsidP="007078BF">
      <w:pPr>
        <w:jc w:val="both"/>
        <w:rPr>
          <w:lang w:val="es-ES"/>
        </w:rPr>
      </w:pPr>
      <w:r w:rsidRPr="0010462A">
        <w:rPr>
          <w:lang w:val="es-ES"/>
        </w:rPr>
        <w:t>1</w:t>
      </w:r>
      <w:r w:rsidRPr="0010462A">
        <w:rPr>
          <w:lang w:val="es-ES"/>
        </w:rPr>
        <w:tab/>
        <w:t>a adoptar medidas urgentes e inmediatas para reducir la repercusión y los riesgos medioambientales negativos de las telecomunicaciones/TIC y de todas las infraestructuras conexas;</w:t>
      </w:r>
    </w:p>
    <w:p w14:paraId="4365C271" w14:textId="77777777" w:rsidR="0010462A" w:rsidRPr="0010462A" w:rsidRDefault="0010462A" w:rsidP="007078BF">
      <w:pPr>
        <w:jc w:val="both"/>
        <w:rPr>
          <w:lang w:val="es-ES"/>
        </w:rPr>
      </w:pPr>
      <w:r w:rsidRPr="0010462A">
        <w:rPr>
          <w:lang w:val="es-ES"/>
        </w:rPr>
        <w:t>2</w:t>
      </w:r>
      <w:r w:rsidRPr="0010462A">
        <w:rPr>
          <w:lang w:val="es-ES"/>
        </w:rPr>
        <w:tab/>
        <w:t>a reforzar su compromiso de hacer frente a los residuos electrónicos, planificando el futuro reciclado desde la fase de diseño de las futuras TIC, con objeto de fomentar la utilización y el desarrollo de equipos de telecomunicaciones/TIC sostenibles y robustos, así como de materiales reciclables, en el marco de la economía circular;</w:t>
      </w:r>
    </w:p>
    <w:p w14:paraId="31E15493" w14:textId="77777777" w:rsidR="0010462A" w:rsidRPr="0010462A" w:rsidRDefault="0010462A" w:rsidP="007078BF">
      <w:pPr>
        <w:jc w:val="both"/>
        <w:rPr>
          <w:lang w:val="es-ES"/>
        </w:rPr>
      </w:pPr>
      <w:r w:rsidRPr="0010462A">
        <w:rPr>
          <w:lang w:val="es-ES"/>
        </w:rPr>
        <w:t>3</w:t>
      </w:r>
      <w:r w:rsidRPr="0010462A">
        <w:rPr>
          <w:lang w:val="es-ES"/>
        </w:rPr>
        <w:tab/>
        <w:t>a promover modalidades de consumo y producción sostenibles, participando en la economía circular de las telecomunicaciones/TIC, fomentando la reparación, la reutilización y la reventa de los dispositivos pertinentes, y sensibilizando a la población sobre la eliminación y el reciclado de los residuos electrónicos;</w:t>
      </w:r>
    </w:p>
    <w:p w14:paraId="2C7657FB" w14:textId="77777777" w:rsidR="0010462A" w:rsidRPr="0010462A" w:rsidRDefault="0010462A" w:rsidP="007078BF">
      <w:pPr>
        <w:jc w:val="both"/>
        <w:rPr>
          <w:lang w:val="es-ES"/>
        </w:rPr>
      </w:pPr>
      <w:r w:rsidRPr="0010462A">
        <w:rPr>
          <w:lang w:val="es-ES"/>
        </w:rPr>
        <w:t>4</w:t>
      </w:r>
      <w:r w:rsidRPr="0010462A">
        <w:rPr>
          <w:lang w:val="es-ES"/>
        </w:rPr>
        <w:tab/>
        <w:t>a elaborar políticas que promuevan tecnologías energéticamente eficientes, capaces de contribuir a reducir la huella de carbono del sector;</w:t>
      </w:r>
    </w:p>
    <w:p w14:paraId="531A0416" w14:textId="77777777" w:rsidR="0010462A" w:rsidRPr="0010462A" w:rsidRDefault="0010462A" w:rsidP="007078BF">
      <w:pPr>
        <w:jc w:val="both"/>
        <w:rPr>
          <w:lang w:val="es-ES"/>
        </w:rPr>
      </w:pPr>
      <w:r w:rsidRPr="0010462A">
        <w:rPr>
          <w:lang w:val="es-ES"/>
        </w:rPr>
        <w:t>5</w:t>
      </w:r>
      <w:r w:rsidRPr="0010462A">
        <w:rPr>
          <w:lang w:val="es-ES"/>
        </w:rPr>
        <w:tab/>
        <w:t>a adoptar políticas de gestión de los residuos electrónicos, incluidos programas de reciclado y la eliminación responsable de los aparatos electrónicos usados;</w:t>
      </w:r>
    </w:p>
    <w:p w14:paraId="281B99E8" w14:textId="77777777" w:rsidR="0010462A" w:rsidRPr="0010462A" w:rsidRDefault="0010462A" w:rsidP="007078BF">
      <w:pPr>
        <w:jc w:val="both"/>
        <w:rPr>
          <w:lang w:val="es-ES"/>
        </w:rPr>
      </w:pPr>
      <w:r w:rsidRPr="0010462A">
        <w:rPr>
          <w:lang w:val="es-ES"/>
        </w:rPr>
        <w:t>6</w:t>
      </w:r>
      <w:r w:rsidRPr="0010462A">
        <w:rPr>
          <w:lang w:val="es-ES"/>
        </w:rPr>
        <w:tab/>
        <w:t xml:space="preserve">a movilizar el poder de la transformación digital para impulsar un desarrollo inclusivo y sostenible, atenuando al mismo tiempo sus repercusiones medioambientales negativas mediante la transición hacia una economía digital circular, caracterizada por un consumo y una producción </w:t>
      </w:r>
      <w:r w:rsidRPr="0010462A">
        <w:rPr>
          <w:lang w:val="es-ES"/>
        </w:rPr>
        <w:lastRenderedPageBreak/>
        <w:t>responsables, la utilización de energías renovables y una gestión integral de los residuos electrónicos;</w:t>
      </w:r>
    </w:p>
    <w:p w14:paraId="45EC31EC" w14:textId="77777777" w:rsidR="0010462A" w:rsidRPr="0010462A" w:rsidRDefault="0010462A" w:rsidP="006B5692">
      <w:pPr>
        <w:jc w:val="both"/>
        <w:rPr>
          <w:lang w:val="es-ES"/>
        </w:rPr>
      </w:pPr>
      <w:r w:rsidRPr="0010462A">
        <w:rPr>
          <w:lang w:val="es-ES"/>
        </w:rPr>
        <w:t>7</w:t>
      </w:r>
      <w:r w:rsidRPr="0010462A">
        <w:rPr>
          <w:lang w:val="es-ES"/>
        </w:rPr>
        <w:tab/>
        <w:t>a incentivar la reducción de las emisiones de carbono con objeto de fomentar prácticas sostenibles en las industrias digitales;</w:t>
      </w:r>
    </w:p>
    <w:p w14:paraId="11440002" w14:textId="77777777" w:rsidR="0010462A" w:rsidRPr="0010462A" w:rsidRDefault="0010462A" w:rsidP="006B5692">
      <w:pPr>
        <w:jc w:val="both"/>
        <w:rPr>
          <w:lang w:val="es-ES"/>
        </w:rPr>
      </w:pPr>
      <w:r w:rsidRPr="0010462A">
        <w:rPr>
          <w:lang w:val="es-ES"/>
        </w:rPr>
        <w:t>8</w:t>
      </w:r>
      <w:r w:rsidRPr="0010462A">
        <w:rPr>
          <w:lang w:val="es-ES"/>
        </w:rPr>
        <w:tab/>
        <w:t>a utilizar las telecomunicaciones/TIC para combatir el cambio climático y promover la circularidad en otros sectores, tales como la energía, las industrias manufactureras, el transporte, la edificación y la agricultura y ganadería, a fin de alcanzar los Objetivos de Desarrollo Sostenible;</w:t>
      </w:r>
    </w:p>
    <w:p w14:paraId="78C0F4F6" w14:textId="0A7A340E" w:rsidR="0010462A" w:rsidRPr="0010462A" w:rsidRDefault="0010462A" w:rsidP="006B5692">
      <w:pPr>
        <w:jc w:val="both"/>
        <w:rPr>
          <w:lang w:val="es-ES"/>
        </w:rPr>
      </w:pPr>
      <w:r w:rsidRPr="0010462A">
        <w:rPr>
          <w:lang w:val="es-ES"/>
        </w:rPr>
        <w:t>9</w:t>
      </w:r>
      <w:r w:rsidRPr="0010462A">
        <w:rPr>
          <w:lang w:val="es-ES"/>
        </w:rPr>
        <w:tab/>
        <w:t>a reconocer la importancia de la colaboración internacional en pro de una transformación digital ecológica, incluidas la transferencia y el desarrollo de tecnología con carácter voluntario y en condiciones mutuamente convenidas, entre todos los actores de la sociedad, los sectores y las regiones, como contribución al avance hacia los objetivos de las conferencias de la</w:t>
      </w:r>
      <w:r w:rsidR="00037C35">
        <w:rPr>
          <w:lang w:val="es-ES"/>
        </w:rPr>
        <w:t> </w:t>
      </w:r>
      <w:r w:rsidRPr="0010462A">
        <w:rPr>
          <w:lang w:val="es-ES"/>
        </w:rPr>
        <w:t>CMNUCC y del Acuerdo de París;</w:t>
      </w:r>
    </w:p>
    <w:p w14:paraId="1D826FF7" w14:textId="10BE3441" w:rsidR="0010462A" w:rsidRPr="0010462A" w:rsidRDefault="0010462A" w:rsidP="006B5692">
      <w:pPr>
        <w:jc w:val="both"/>
        <w:rPr>
          <w:lang w:val="es-ES"/>
        </w:rPr>
      </w:pPr>
      <w:r w:rsidRPr="0010462A">
        <w:rPr>
          <w:lang w:val="es-ES"/>
        </w:rPr>
        <w:t>10</w:t>
      </w:r>
      <w:r w:rsidRPr="0010462A">
        <w:rPr>
          <w:lang w:val="es-ES"/>
        </w:rPr>
        <w:tab/>
        <w:t>a considerar la posibilidad de adoptar las Recomendaciones pertinentes del</w:t>
      </w:r>
      <w:r w:rsidR="00037C35">
        <w:rPr>
          <w:lang w:val="es-ES"/>
        </w:rPr>
        <w:t> </w:t>
      </w:r>
      <w:r w:rsidRPr="0010462A">
        <w:rPr>
          <w:lang w:val="es-ES"/>
        </w:rPr>
        <w:t>UIT-T sobre los residuos electrónicos y el medio ambiente;</w:t>
      </w:r>
    </w:p>
    <w:p w14:paraId="300E0E1B" w14:textId="389B6FEA" w:rsidR="0010462A" w:rsidRPr="0010462A" w:rsidRDefault="0010462A" w:rsidP="006B5692">
      <w:pPr>
        <w:jc w:val="both"/>
        <w:rPr>
          <w:lang w:val="es-ES"/>
        </w:rPr>
      </w:pPr>
      <w:r w:rsidRPr="0010462A">
        <w:rPr>
          <w:lang w:val="es-ES"/>
        </w:rPr>
        <w:t>11</w:t>
      </w:r>
      <w:r w:rsidRPr="0010462A">
        <w:rPr>
          <w:lang w:val="es-ES"/>
        </w:rPr>
        <w:tab/>
        <w:t>a participar activamente en las actividades de la</w:t>
      </w:r>
      <w:r w:rsidR="00037C35">
        <w:rPr>
          <w:lang w:val="es-ES"/>
        </w:rPr>
        <w:t> </w:t>
      </w:r>
      <w:r w:rsidRPr="0010462A">
        <w:rPr>
          <w:lang w:val="es-ES"/>
        </w:rPr>
        <w:t>UIT relativas al desarrollo sostenible y en los esfuerzos intersectoriales conexos;</w:t>
      </w:r>
    </w:p>
    <w:p w14:paraId="263FDE34" w14:textId="77777777" w:rsidR="0010462A" w:rsidRPr="0010462A" w:rsidRDefault="0010462A" w:rsidP="006B5692">
      <w:pPr>
        <w:jc w:val="both"/>
        <w:rPr>
          <w:lang w:val="es-ES"/>
        </w:rPr>
      </w:pPr>
      <w:r w:rsidRPr="0010462A">
        <w:rPr>
          <w:lang w:val="es-ES"/>
        </w:rPr>
        <w:t>12</w:t>
      </w:r>
      <w:r w:rsidRPr="0010462A">
        <w:rPr>
          <w:lang w:val="es-ES"/>
        </w:rPr>
        <w:tab/>
        <w:t>a promover la compartición de infraestructuras y recursos (así como la compartición intersectorial de infraestructuras cuando resulte viable), con objeto de reducir las infraestructuras redundantes, minimizar el consumo de recursos, disminuir la utilización de energía y movilizar activos en sectores tales como la energía, el transporte y las telecomunicaciones/TIC;</w:t>
      </w:r>
    </w:p>
    <w:p w14:paraId="7B3C33CC" w14:textId="77777777" w:rsidR="0010462A" w:rsidRPr="0010462A" w:rsidRDefault="0010462A" w:rsidP="006B5692">
      <w:pPr>
        <w:jc w:val="both"/>
        <w:rPr>
          <w:lang w:val="es-ES"/>
        </w:rPr>
      </w:pPr>
      <w:r w:rsidRPr="0010462A">
        <w:rPr>
          <w:lang w:val="es-ES"/>
        </w:rPr>
        <w:t>13</w:t>
      </w:r>
      <w:r w:rsidRPr="0010462A">
        <w:rPr>
          <w:lang w:val="es-ES"/>
        </w:rPr>
        <w:tab/>
        <w:t>a integrar las telecomunicaciones/TIC en las estrategias de protección del medio ambiente, con objeto de crear un ecosistema general que permita avanzar hacia un futuro sostenible,</w:t>
      </w:r>
    </w:p>
    <w:p w14:paraId="4F9C212E" w14:textId="77777777" w:rsidR="0010462A" w:rsidRPr="00037C35" w:rsidRDefault="0010462A" w:rsidP="00037C35">
      <w:pPr>
        <w:pStyle w:val="Call"/>
        <w:rPr>
          <w:lang w:val="es-ES"/>
        </w:rPr>
      </w:pPr>
      <w:r w:rsidRPr="00037C35">
        <w:rPr>
          <w:lang w:val="es-ES"/>
        </w:rPr>
        <w:t>invita a la Secretaria General</w:t>
      </w:r>
    </w:p>
    <w:p w14:paraId="33B1B628" w14:textId="77777777" w:rsidR="0010462A" w:rsidRPr="0010462A" w:rsidRDefault="0010462A" w:rsidP="006B5692">
      <w:pPr>
        <w:jc w:val="both"/>
        <w:rPr>
          <w:lang w:val="es-ES"/>
        </w:rPr>
      </w:pPr>
      <w:r w:rsidRPr="0010462A">
        <w:rPr>
          <w:lang w:val="es-ES"/>
        </w:rPr>
        <w:t>1</w:t>
      </w:r>
      <w:r w:rsidRPr="0010462A">
        <w:rPr>
          <w:lang w:val="es-ES"/>
        </w:rPr>
        <w:tab/>
        <w:t>a trabajar en el fortalecimiento de la capacidad de todas las partes interesadas pertinentes, especialmente las más afectadas por el cambio climático, y teniendo en cuenta sus planes de desarrollo, en las cuestiones relativas a la protección del medio ambiente en el ámbito de las TIC y en aras del bienestar de la población;</w:t>
      </w:r>
    </w:p>
    <w:p w14:paraId="43A5EB35" w14:textId="77777777" w:rsidR="0010462A" w:rsidRPr="0010462A" w:rsidRDefault="0010462A" w:rsidP="006B5692">
      <w:pPr>
        <w:jc w:val="both"/>
        <w:rPr>
          <w:lang w:val="es-ES"/>
        </w:rPr>
      </w:pPr>
      <w:r w:rsidRPr="0010462A">
        <w:rPr>
          <w:lang w:val="es-ES"/>
        </w:rPr>
        <w:t>2</w:t>
      </w:r>
      <w:r w:rsidRPr="0010462A">
        <w:rPr>
          <w:lang w:val="es-ES"/>
        </w:rPr>
        <w:tab/>
        <w:t>a promover asociaciones internacionales en pro de la transformación digital ecológica que doten a los países, en particular a los países en desarrollo, de capacidad para participar en la economía digital;</w:t>
      </w:r>
    </w:p>
    <w:p w14:paraId="4F3D1F74" w14:textId="77777777" w:rsidR="0010462A" w:rsidRPr="0010462A" w:rsidRDefault="0010462A" w:rsidP="006B5692">
      <w:pPr>
        <w:jc w:val="both"/>
        <w:rPr>
          <w:lang w:val="es-ES"/>
        </w:rPr>
      </w:pPr>
      <w:r w:rsidRPr="0010462A">
        <w:rPr>
          <w:lang w:val="es-ES"/>
        </w:rPr>
        <w:t>3</w:t>
      </w:r>
      <w:r w:rsidRPr="0010462A">
        <w:rPr>
          <w:lang w:val="es-ES"/>
        </w:rPr>
        <w:tab/>
        <w:t>a seguir reforzando la coordinación entre los tres Sectores en sus trabajos relativos a la transformación digital ecológica;</w:t>
      </w:r>
    </w:p>
    <w:p w14:paraId="4D175309" w14:textId="77777777" w:rsidR="0010462A" w:rsidRPr="00037C35" w:rsidRDefault="0010462A" w:rsidP="006B5692">
      <w:pPr>
        <w:jc w:val="both"/>
        <w:rPr>
          <w:lang w:val="es-ES"/>
        </w:rPr>
      </w:pPr>
      <w:r w:rsidRPr="0010462A">
        <w:rPr>
          <w:lang w:val="es-ES"/>
        </w:rPr>
        <w:t>4</w:t>
      </w:r>
      <w:r w:rsidRPr="0010462A">
        <w:rPr>
          <w:lang w:val="es-ES"/>
        </w:rPr>
        <w:tab/>
        <w:t>a facilitar la colaboración entre los Estados Miembros, las entidades regionales y otras partes interesadas fundamentales, con miras a compartir conocimientos y prácticas idóneas que respalden la creación de capacidad institucional de los Estados Miembros para impulsar las iniciativas de transformación digital ecológica.</w:t>
      </w:r>
    </w:p>
    <w:p w14:paraId="12D95BC3" w14:textId="77777777" w:rsidR="0010462A" w:rsidRPr="00037C35" w:rsidRDefault="0010462A" w:rsidP="00411C49">
      <w:pPr>
        <w:pStyle w:val="Reasons"/>
        <w:rPr>
          <w:lang w:val="es-ES"/>
        </w:rPr>
      </w:pPr>
    </w:p>
    <w:p w14:paraId="37A1F300" w14:textId="77777777" w:rsidR="0010462A" w:rsidRPr="00037C35" w:rsidRDefault="0010462A">
      <w:pPr>
        <w:jc w:val="center"/>
        <w:rPr>
          <w:lang w:val="es-ES"/>
        </w:rPr>
      </w:pPr>
      <w:r w:rsidRPr="00037C35">
        <w:rPr>
          <w:lang w:val="es-ES"/>
        </w:rPr>
        <w:t>______________</w:t>
      </w:r>
    </w:p>
    <w:sectPr w:rsidR="0010462A" w:rsidRPr="00037C35" w:rsidSect="00A70E95">
      <w:headerReference w:type="default" r:id="rId9"/>
      <w:footerReference w:type="first" r:id="rId10"/>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BD97" w14:textId="77777777" w:rsidR="00D92395" w:rsidRDefault="00D92395">
      <w:r>
        <w:separator/>
      </w:r>
    </w:p>
  </w:endnote>
  <w:endnote w:type="continuationSeparator" w:id="0">
    <w:p w14:paraId="538821AD" w14:textId="77777777" w:rsidR="00D92395" w:rsidRDefault="00D9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673B" w14:textId="77777777" w:rsidR="004B07DB" w:rsidRPr="00DB336C" w:rsidRDefault="00DB336C" w:rsidP="00DB336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E20935">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0C94" w14:textId="77777777" w:rsidR="00D92395" w:rsidRDefault="00D92395">
      <w:r>
        <w:t>____________________</w:t>
      </w:r>
    </w:p>
  </w:footnote>
  <w:footnote w:type="continuationSeparator" w:id="0">
    <w:p w14:paraId="50235F49" w14:textId="77777777" w:rsidR="00D92395" w:rsidRDefault="00D92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4FDC" w14:textId="5AC9CE3F" w:rsidR="00255FA1" w:rsidRPr="00DB336C" w:rsidRDefault="00DB336C" w:rsidP="003C1B77">
    <w:pPr>
      <w:pStyle w:val="Head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80F7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54A7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60D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2CF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FCA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08DF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84F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CC0F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8B5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202F08"/>
    <w:lvl w:ilvl="0">
      <w:start w:val="1"/>
      <w:numFmt w:val="bullet"/>
      <w:lvlText w:val=""/>
      <w:lvlJc w:val="left"/>
      <w:pPr>
        <w:tabs>
          <w:tab w:val="num" w:pos="360"/>
        </w:tabs>
        <w:ind w:left="360" w:hanging="360"/>
      </w:pPr>
      <w:rPr>
        <w:rFonts w:ascii="Symbol" w:hAnsi="Symbol" w:hint="default"/>
      </w:rPr>
    </w:lvl>
  </w:abstractNum>
  <w:num w:numId="1" w16cid:durableId="1633094305">
    <w:abstractNumId w:val="9"/>
  </w:num>
  <w:num w:numId="2" w16cid:durableId="1021518735">
    <w:abstractNumId w:val="7"/>
  </w:num>
  <w:num w:numId="3" w16cid:durableId="951280405">
    <w:abstractNumId w:val="6"/>
  </w:num>
  <w:num w:numId="4" w16cid:durableId="1488857168">
    <w:abstractNumId w:val="5"/>
  </w:num>
  <w:num w:numId="5" w16cid:durableId="1425303916">
    <w:abstractNumId w:val="4"/>
  </w:num>
  <w:num w:numId="6" w16cid:durableId="2019040434">
    <w:abstractNumId w:val="8"/>
  </w:num>
  <w:num w:numId="7" w16cid:durableId="1300189505">
    <w:abstractNumId w:val="3"/>
  </w:num>
  <w:num w:numId="8" w16cid:durableId="873932032">
    <w:abstractNumId w:val="2"/>
  </w:num>
  <w:num w:numId="9" w16cid:durableId="1448890364">
    <w:abstractNumId w:val="1"/>
  </w:num>
  <w:num w:numId="10" w16cid:durableId="186208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D1"/>
    <w:rsid w:val="0000188C"/>
    <w:rsid w:val="00037C35"/>
    <w:rsid w:val="000507CA"/>
    <w:rsid w:val="00055C50"/>
    <w:rsid w:val="00057402"/>
    <w:rsid w:val="00075113"/>
    <w:rsid w:val="000863AB"/>
    <w:rsid w:val="000A1523"/>
    <w:rsid w:val="000B1752"/>
    <w:rsid w:val="000B1BD1"/>
    <w:rsid w:val="0010462A"/>
    <w:rsid w:val="0010546D"/>
    <w:rsid w:val="00135F93"/>
    <w:rsid w:val="001632E3"/>
    <w:rsid w:val="001B1EF5"/>
    <w:rsid w:val="001B3234"/>
    <w:rsid w:val="001D4983"/>
    <w:rsid w:val="001D6EC3"/>
    <w:rsid w:val="001D787B"/>
    <w:rsid w:val="001E3D06"/>
    <w:rsid w:val="001F0B24"/>
    <w:rsid w:val="001F2819"/>
    <w:rsid w:val="001F4406"/>
    <w:rsid w:val="001F5B03"/>
    <w:rsid w:val="00225F6B"/>
    <w:rsid w:val="00237C17"/>
    <w:rsid w:val="00242376"/>
    <w:rsid w:val="00243CD9"/>
    <w:rsid w:val="00254BFC"/>
    <w:rsid w:val="00255FA1"/>
    <w:rsid w:val="00262FF4"/>
    <w:rsid w:val="00276B65"/>
    <w:rsid w:val="00277985"/>
    <w:rsid w:val="002C6527"/>
    <w:rsid w:val="002E44FC"/>
    <w:rsid w:val="00341ACF"/>
    <w:rsid w:val="003537B5"/>
    <w:rsid w:val="00365F30"/>
    <w:rsid w:val="003707E5"/>
    <w:rsid w:val="00375610"/>
    <w:rsid w:val="00391611"/>
    <w:rsid w:val="003B276A"/>
    <w:rsid w:val="003B5DC9"/>
    <w:rsid w:val="003C1B77"/>
    <w:rsid w:val="003D0027"/>
    <w:rsid w:val="003E6E73"/>
    <w:rsid w:val="00451395"/>
    <w:rsid w:val="00484B72"/>
    <w:rsid w:val="00491A25"/>
    <w:rsid w:val="004A346E"/>
    <w:rsid w:val="004A63A9"/>
    <w:rsid w:val="004B07DB"/>
    <w:rsid w:val="004B09D4"/>
    <w:rsid w:val="004B0BCB"/>
    <w:rsid w:val="004C27F5"/>
    <w:rsid w:val="004C39C6"/>
    <w:rsid w:val="004D15DE"/>
    <w:rsid w:val="004D23BA"/>
    <w:rsid w:val="004E069C"/>
    <w:rsid w:val="004E08E0"/>
    <w:rsid w:val="004E28FB"/>
    <w:rsid w:val="004F4BB1"/>
    <w:rsid w:val="00504FD4"/>
    <w:rsid w:val="00507662"/>
    <w:rsid w:val="00523448"/>
    <w:rsid w:val="005359B6"/>
    <w:rsid w:val="005470E8"/>
    <w:rsid w:val="00550FCF"/>
    <w:rsid w:val="00556958"/>
    <w:rsid w:val="005677A5"/>
    <w:rsid w:val="00567ED5"/>
    <w:rsid w:val="005A329F"/>
    <w:rsid w:val="005D1164"/>
    <w:rsid w:val="005D6488"/>
    <w:rsid w:val="005F6278"/>
    <w:rsid w:val="00601280"/>
    <w:rsid w:val="00641DBD"/>
    <w:rsid w:val="006426C0"/>
    <w:rsid w:val="006455D2"/>
    <w:rsid w:val="006537F3"/>
    <w:rsid w:val="00682039"/>
    <w:rsid w:val="006976D6"/>
    <w:rsid w:val="006B5512"/>
    <w:rsid w:val="006B5692"/>
    <w:rsid w:val="006B5C62"/>
    <w:rsid w:val="006C190D"/>
    <w:rsid w:val="007078BF"/>
    <w:rsid w:val="00720686"/>
    <w:rsid w:val="00737EFF"/>
    <w:rsid w:val="00750806"/>
    <w:rsid w:val="007875D2"/>
    <w:rsid w:val="007A0B2C"/>
    <w:rsid w:val="007D61E2"/>
    <w:rsid w:val="007F6EBC"/>
    <w:rsid w:val="00802FD6"/>
    <w:rsid w:val="00810D8B"/>
    <w:rsid w:val="00882773"/>
    <w:rsid w:val="008B4706"/>
    <w:rsid w:val="008B6676"/>
    <w:rsid w:val="008C3FA8"/>
    <w:rsid w:val="008E51C5"/>
    <w:rsid w:val="008F7109"/>
    <w:rsid w:val="009107B0"/>
    <w:rsid w:val="009220DE"/>
    <w:rsid w:val="00930E84"/>
    <w:rsid w:val="009415B6"/>
    <w:rsid w:val="00956FE6"/>
    <w:rsid w:val="0099270D"/>
    <w:rsid w:val="0099551E"/>
    <w:rsid w:val="009A1A86"/>
    <w:rsid w:val="009D1BE0"/>
    <w:rsid w:val="009E0C42"/>
    <w:rsid w:val="00A50BE3"/>
    <w:rsid w:val="00A70E95"/>
    <w:rsid w:val="00A8107B"/>
    <w:rsid w:val="00AA1F73"/>
    <w:rsid w:val="00AB190D"/>
    <w:rsid w:val="00AB34CA"/>
    <w:rsid w:val="00AB48F2"/>
    <w:rsid w:val="00AB7640"/>
    <w:rsid w:val="00AD400E"/>
    <w:rsid w:val="00AE3305"/>
    <w:rsid w:val="00AF0DC5"/>
    <w:rsid w:val="00B012B7"/>
    <w:rsid w:val="00B30C52"/>
    <w:rsid w:val="00B501AB"/>
    <w:rsid w:val="00B73978"/>
    <w:rsid w:val="00B77C4D"/>
    <w:rsid w:val="00BB13FE"/>
    <w:rsid w:val="00BC7EE2"/>
    <w:rsid w:val="00BF32F2"/>
    <w:rsid w:val="00BF5475"/>
    <w:rsid w:val="00C20ED7"/>
    <w:rsid w:val="00C42D2D"/>
    <w:rsid w:val="00C43474"/>
    <w:rsid w:val="00C61A48"/>
    <w:rsid w:val="00C80F8F"/>
    <w:rsid w:val="00C84355"/>
    <w:rsid w:val="00C84A65"/>
    <w:rsid w:val="00CA3051"/>
    <w:rsid w:val="00CD20D9"/>
    <w:rsid w:val="00CD701A"/>
    <w:rsid w:val="00D04D2C"/>
    <w:rsid w:val="00D05AAE"/>
    <w:rsid w:val="00D05E6B"/>
    <w:rsid w:val="00D066F8"/>
    <w:rsid w:val="00D1092F"/>
    <w:rsid w:val="00D12E6B"/>
    <w:rsid w:val="00D254A6"/>
    <w:rsid w:val="00D42B55"/>
    <w:rsid w:val="00D57D70"/>
    <w:rsid w:val="00D92395"/>
    <w:rsid w:val="00DB336C"/>
    <w:rsid w:val="00DE3E41"/>
    <w:rsid w:val="00E05D81"/>
    <w:rsid w:val="00E20935"/>
    <w:rsid w:val="00E313E9"/>
    <w:rsid w:val="00E53DFC"/>
    <w:rsid w:val="00E66FC3"/>
    <w:rsid w:val="00E677DD"/>
    <w:rsid w:val="00E77F17"/>
    <w:rsid w:val="00E809D8"/>
    <w:rsid w:val="00E921EC"/>
    <w:rsid w:val="00EA433D"/>
    <w:rsid w:val="00EB23D0"/>
    <w:rsid w:val="00EC395A"/>
    <w:rsid w:val="00F01632"/>
    <w:rsid w:val="00F04858"/>
    <w:rsid w:val="00F13AA4"/>
    <w:rsid w:val="00F21A8A"/>
    <w:rsid w:val="00F3510D"/>
    <w:rsid w:val="00F43C07"/>
    <w:rsid w:val="00F43D44"/>
    <w:rsid w:val="00F80E6E"/>
    <w:rsid w:val="00F81A87"/>
    <w:rsid w:val="00FD19EF"/>
    <w:rsid w:val="00FD7A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18696"/>
  <w15:docId w15:val="{36306E3F-14FF-4969-8F56-6ED8D072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3A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s-ES_tradnl" w:eastAsia="en-US"/>
    </w:rPr>
  </w:style>
  <w:style w:type="paragraph" w:styleId="Heading1">
    <w:name w:val="heading 1"/>
    <w:basedOn w:val="Normal"/>
    <w:next w:val="Normal"/>
    <w:qFormat/>
    <w:rsid w:val="004A63A9"/>
    <w:pPr>
      <w:keepNext/>
      <w:keepLines/>
      <w:spacing w:before="480"/>
      <w:ind w:left="567" w:hanging="567"/>
      <w:outlineLvl w:val="0"/>
    </w:pPr>
    <w:rPr>
      <w:b/>
      <w:sz w:val="28"/>
    </w:rPr>
  </w:style>
  <w:style w:type="paragraph" w:styleId="Heading2">
    <w:name w:val="heading 2"/>
    <w:basedOn w:val="Heading1"/>
    <w:next w:val="Normal"/>
    <w:qFormat/>
    <w:rsid w:val="00BB13FE"/>
    <w:pPr>
      <w:spacing w:before="320"/>
      <w:outlineLvl w:val="1"/>
    </w:pPr>
    <w:rPr>
      <w:sz w:val="24"/>
    </w:rPr>
  </w:style>
  <w:style w:type="paragraph" w:styleId="Heading3">
    <w:name w:val="heading 3"/>
    <w:basedOn w:val="Heading1"/>
    <w:next w:val="Normal"/>
    <w:qFormat/>
    <w:rsid w:val="00BB13FE"/>
    <w:pPr>
      <w:spacing w:before="200"/>
      <w:outlineLvl w:val="2"/>
    </w:pPr>
    <w:rPr>
      <w:sz w:val="24"/>
    </w:rPr>
  </w:style>
  <w:style w:type="paragraph" w:styleId="Heading4">
    <w:name w:val="heading 4"/>
    <w:basedOn w:val="Heading3"/>
    <w:next w:val="Normal"/>
    <w:qFormat/>
    <w:rsid w:val="00A70E95"/>
    <w:pPr>
      <w:ind w:left="1134" w:hanging="1134"/>
      <w:outlineLvl w:val="3"/>
    </w:pPr>
  </w:style>
  <w:style w:type="paragraph" w:styleId="Heading5">
    <w:name w:val="heading 5"/>
    <w:basedOn w:val="Heading4"/>
    <w:next w:val="Normal"/>
    <w:qFormat/>
    <w:rsid w:val="00A70E95"/>
    <w:pPr>
      <w:outlineLvl w:val="4"/>
    </w:pPr>
  </w:style>
  <w:style w:type="paragraph" w:styleId="Heading6">
    <w:name w:val="heading 6"/>
    <w:basedOn w:val="Heading4"/>
    <w:next w:val="Normal"/>
    <w:qFormat/>
    <w:rsid w:val="00A70E95"/>
    <w:pPr>
      <w:outlineLvl w:val="5"/>
    </w:pPr>
  </w:style>
  <w:style w:type="paragraph" w:styleId="Heading7">
    <w:name w:val="heading 7"/>
    <w:basedOn w:val="Heading4"/>
    <w:next w:val="Normal"/>
    <w:qFormat/>
    <w:rsid w:val="00A70E95"/>
    <w:pPr>
      <w:ind w:left="1701" w:hanging="1701"/>
      <w:outlineLvl w:val="6"/>
    </w:pPr>
  </w:style>
  <w:style w:type="paragraph" w:styleId="Heading8">
    <w:name w:val="heading 8"/>
    <w:basedOn w:val="Heading4"/>
    <w:next w:val="Normal"/>
    <w:qFormat/>
    <w:rsid w:val="00A70E95"/>
    <w:pPr>
      <w:ind w:left="1701" w:hanging="1701"/>
      <w:outlineLvl w:val="7"/>
    </w:pPr>
  </w:style>
  <w:style w:type="paragraph" w:styleId="Heading9">
    <w:name w:val="heading 9"/>
    <w:basedOn w:val="Heading4"/>
    <w:next w:val="Normal"/>
    <w:qFormat/>
    <w:rsid w:val="00A70E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70E95"/>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70E95"/>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70E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70E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70E95"/>
    <w:rPr>
      <w:position w:val="6"/>
      <w:sz w:val="16"/>
    </w:rPr>
  </w:style>
  <w:style w:type="paragraph" w:styleId="FootnoteText">
    <w:name w:val="footnote text"/>
    <w:basedOn w:val="Normal"/>
    <w:rsid w:val="00A70E95"/>
    <w:pPr>
      <w:keepLines/>
      <w:tabs>
        <w:tab w:val="left" w:pos="256"/>
      </w:tabs>
      <w:ind w:left="256" w:hanging="256"/>
    </w:pPr>
  </w:style>
  <w:style w:type="paragraph" w:styleId="NormalIndent">
    <w:name w:val="Normal Indent"/>
    <w:basedOn w:val="Normal"/>
    <w:rsid w:val="00A70E95"/>
    <w:pPr>
      <w:ind w:left="567"/>
    </w:pPr>
  </w:style>
  <w:style w:type="paragraph" w:customStyle="1" w:styleId="Tablelegend">
    <w:name w:val="Table_legend"/>
    <w:basedOn w:val="Tabletext"/>
    <w:rsid w:val="00A70E95"/>
    <w:pPr>
      <w:spacing w:before="120"/>
    </w:pPr>
  </w:style>
  <w:style w:type="paragraph" w:customStyle="1" w:styleId="Tabletext">
    <w:name w:val="Table_text"/>
    <w:basedOn w:val="Normal"/>
    <w:rsid w:val="00A70E95"/>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70E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70E95"/>
    <w:pPr>
      <w:keepNext/>
      <w:spacing w:before="560" w:after="120"/>
      <w:jc w:val="center"/>
    </w:pPr>
    <w:rPr>
      <w:caps/>
    </w:rPr>
  </w:style>
  <w:style w:type="paragraph" w:customStyle="1" w:styleId="enumlev1">
    <w:name w:val="enumlev1"/>
    <w:basedOn w:val="Normal"/>
    <w:rsid w:val="00A70E95"/>
    <w:pPr>
      <w:spacing w:before="86"/>
      <w:ind w:left="567" w:hanging="567"/>
    </w:pPr>
  </w:style>
  <w:style w:type="paragraph" w:customStyle="1" w:styleId="enumlev2">
    <w:name w:val="enumlev2"/>
    <w:basedOn w:val="enumlev1"/>
    <w:rsid w:val="00A70E95"/>
    <w:pPr>
      <w:ind w:left="1134"/>
    </w:pPr>
  </w:style>
  <w:style w:type="paragraph" w:customStyle="1" w:styleId="enumlev3">
    <w:name w:val="enumlev3"/>
    <w:basedOn w:val="enumlev2"/>
    <w:rsid w:val="00A70E95"/>
    <w:pPr>
      <w:ind w:left="1701"/>
    </w:pPr>
  </w:style>
  <w:style w:type="paragraph" w:customStyle="1" w:styleId="Tablehead">
    <w:name w:val="Table_head"/>
    <w:basedOn w:val="Tabletext"/>
    <w:rsid w:val="00A70E95"/>
    <w:pPr>
      <w:spacing w:before="120" w:after="120"/>
      <w:jc w:val="center"/>
    </w:pPr>
    <w:rPr>
      <w:b/>
    </w:rPr>
  </w:style>
  <w:style w:type="paragraph" w:customStyle="1" w:styleId="Normalaftertitle">
    <w:name w:val="Normal after title"/>
    <w:basedOn w:val="Normal"/>
    <w:next w:val="Normal"/>
    <w:rsid w:val="00A70E95"/>
    <w:pPr>
      <w:spacing w:before="240"/>
    </w:pPr>
  </w:style>
  <w:style w:type="paragraph" w:customStyle="1" w:styleId="AnnexNo">
    <w:name w:val="Annex_No"/>
    <w:basedOn w:val="Normal"/>
    <w:next w:val="Annexref"/>
    <w:rsid w:val="00BB13FE"/>
    <w:pPr>
      <w:spacing w:before="720"/>
      <w:jc w:val="center"/>
    </w:pPr>
    <w:rPr>
      <w:caps/>
      <w:sz w:val="28"/>
    </w:rPr>
  </w:style>
  <w:style w:type="paragraph" w:customStyle="1" w:styleId="Annexref">
    <w:name w:val="Annex_ref"/>
    <w:basedOn w:val="Normal"/>
    <w:next w:val="Annextitle"/>
    <w:rsid w:val="00BB13FE"/>
    <w:pPr>
      <w:jc w:val="center"/>
    </w:pPr>
    <w:rPr>
      <w:sz w:val="28"/>
    </w:rPr>
  </w:style>
  <w:style w:type="paragraph" w:customStyle="1" w:styleId="Annextitle">
    <w:name w:val="Annex_title"/>
    <w:basedOn w:val="Normal"/>
    <w:next w:val="Normal"/>
    <w:rsid w:val="00BB13FE"/>
    <w:pPr>
      <w:spacing w:before="240" w:after="240"/>
      <w:jc w:val="center"/>
    </w:pPr>
    <w:rPr>
      <w:b/>
      <w:sz w:val="28"/>
    </w:rPr>
  </w:style>
  <w:style w:type="paragraph" w:customStyle="1" w:styleId="AppendixNo">
    <w:name w:val="Appendix_No"/>
    <w:basedOn w:val="AnnexNo"/>
    <w:next w:val="Appendixref"/>
    <w:rsid w:val="00A70E95"/>
  </w:style>
  <w:style w:type="paragraph" w:customStyle="1" w:styleId="Appendixref">
    <w:name w:val="Appendix_ref"/>
    <w:basedOn w:val="Annexref"/>
    <w:next w:val="Appendixtitle"/>
    <w:rsid w:val="00A70E95"/>
  </w:style>
  <w:style w:type="paragraph" w:customStyle="1" w:styleId="Appendixtitle">
    <w:name w:val="Appendix_title"/>
    <w:basedOn w:val="Annextitle"/>
    <w:next w:val="Normal"/>
    <w:rsid w:val="00A70E95"/>
  </w:style>
  <w:style w:type="paragraph" w:customStyle="1" w:styleId="Reftitle">
    <w:name w:val="Ref_title"/>
    <w:basedOn w:val="Normal"/>
    <w:next w:val="Reftext"/>
    <w:rsid w:val="00BB13FE"/>
    <w:pPr>
      <w:spacing w:before="480"/>
      <w:jc w:val="center"/>
    </w:pPr>
    <w:rPr>
      <w:caps/>
      <w:sz w:val="28"/>
    </w:rPr>
  </w:style>
  <w:style w:type="paragraph" w:customStyle="1" w:styleId="Reftext">
    <w:name w:val="Ref_text"/>
    <w:basedOn w:val="Normal"/>
    <w:rsid w:val="00A70E95"/>
    <w:pPr>
      <w:ind w:left="567" w:hanging="567"/>
    </w:pPr>
  </w:style>
  <w:style w:type="paragraph" w:customStyle="1" w:styleId="Rectitle">
    <w:name w:val="Rec_title"/>
    <w:basedOn w:val="Normal"/>
    <w:next w:val="Heading1"/>
    <w:rsid w:val="004A63A9"/>
    <w:pPr>
      <w:spacing w:before="240"/>
      <w:jc w:val="center"/>
    </w:pPr>
    <w:rPr>
      <w:b/>
      <w:sz w:val="28"/>
    </w:rPr>
  </w:style>
  <w:style w:type="paragraph" w:customStyle="1" w:styleId="Call">
    <w:name w:val="Call"/>
    <w:basedOn w:val="Normal"/>
    <w:next w:val="Normal"/>
    <w:rsid w:val="00A70E95"/>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BB13FE"/>
    <w:pPr>
      <w:spacing w:before="720"/>
      <w:jc w:val="center"/>
    </w:pPr>
    <w:rPr>
      <w:caps/>
      <w:sz w:val="28"/>
    </w:rPr>
  </w:style>
  <w:style w:type="paragraph" w:customStyle="1" w:styleId="toc0">
    <w:name w:val="toc 0"/>
    <w:basedOn w:val="Normal"/>
    <w:next w:val="TOC1"/>
    <w:rsid w:val="00A70E95"/>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B13FE"/>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70E95"/>
    <w:pPr>
      <w:tabs>
        <w:tab w:val="clear" w:pos="567"/>
        <w:tab w:val="left" w:pos="851"/>
      </w:tabs>
    </w:pPr>
  </w:style>
  <w:style w:type="paragraph" w:customStyle="1" w:styleId="MinusFootnote">
    <w:name w:val="MinusFootnote"/>
    <w:basedOn w:val="Normal"/>
    <w:rsid w:val="00A70E95"/>
    <w:pPr>
      <w:ind w:left="-1701" w:hanging="284"/>
    </w:pPr>
  </w:style>
  <w:style w:type="paragraph" w:customStyle="1" w:styleId="Title3">
    <w:name w:val="Title 3"/>
    <w:basedOn w:val="Title2"/>
    <w:next w:val="Normalaftertitle"/>
    <w:rsid w:val="00A70E95"/>
    <w:rPr>
      <w:caps w:val="0"/>
    </w:rPr>
  </w:style>
  <w:style w:type="paragraph" w:customStyle="1" w:styleId="Title2">
    <w:name w:val="Title 2"/>
    <w:basedOn w:val="Source"/>
    <w:next w:val="Title3"/>
    <w:rsid w:val="00A70E95"/>
    <w:pPr>
      <w:spacing w:before="240"/>
    </w:pPr>
    <w:rPr>
      <w:b w:val="0"/>
      <w:caps/>
    </w:rPr>
  </w:style>
  <w:style w:type="paragraph" w:customStyle="1" w:styleId="Source">
    <w:name w:val="Source"/>
    <w:basedOn w:val="Normal"/>
    <w:next w:val="Title1"/>
    <w:rsid w:val="000A1523"/>
    <w:pPr>
      <w:spacing w:before="840"/>
      <w:jc w:val="center"/>
    </w:pPr>
    <w:rPr>
      <w:b/>
      <w:sz w:val="28"/>
    </w:rPr>
  </w:style>
  <w:style w:type="paragraph" w:customStyle="1" w:styleId="Title1">
    <w:name w:val="Title 1"/>
    <w:basedOn w:val="Source"/>
    <w:next w:val="Title2"/>
    <w:rsid w:val="00A70E95"/>
    <w:pPr>
      <w:spacing w:before="240"/>
    </w:pPr>
    <w:rPr>
      <w:b w:val="0"/>
      <w:caps/>
    </w:rPr>
  </w:style>
  <w:style w:type="paragraph" w:customStyle="1" w:styleId="ArtNo">
    <w:name w:val="Art_No"/>
    <w:basedOn w:val="Normal"/>
    <w:next w:val="Arttitle"/>
    <w:rsid w:val="00BB13FE"/>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13FE"/>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A70E95"/>
  </w:style>
  <w:style w:type="paragraph" w:customStyle="1" w:styleId="Chaptitle">
    <w:name w:val="Chap_title"/>
    <w:basedOn w:val="Arttitle"/>
    <w:next w:val="Normal"/>
    <w:rsid w:val="00A70E95"/>
  </w:style>
  <w:style w:type="paragraph" w:customStyle="1" w:styleId="Reasons">
    <w:name w:val="Reasons"/>
    <w:basedOn w:val="Normal"/>
    <w:qFormat/>
    <w:rsid w:val="00A70E95"/>
  </w:style>
  <w:style w:type="paragraph" w:customStyle="1" w:styleId="ResNo">
    <w:name w:val="Res_No"/>
    <w:basedOn w:val="AnnexNo"/>
    <w:next w:val="Restitle"/>
    <w:rsid w:val="00A70E95"/>
  </w:style>
  <w:style w:type="paragraph" w:customStyle="1" w:styleId="Restitle">
    <w:name w:val="Res_title"/>
    <w:basedOn w:val="Annextitle"/>
    <w:next w:val="Normal"/>
    <w:rsid w:val="004A63A9"/>
  </w:style>
  <w:style w:type="paragraph" w:customStyle="1" w:styleId="AnnexNoS2">
    <w:name w:val="Annex_No_S2"/>
    <w:basedOn w:val="AnnexNo"/>
    <w:next w:val="AnnexrefS2"/>
    <w:rsid w:val="00BB13FE"/>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A70E95"/>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A70E95"/>
    <w:rPr>
      <w:caps w:val="0"/>
    </w:rPr>
  </w:style>
  <w:style w:type="paragraph" w:customStyle="1" w:styleId="Section2">
    <w:name w:val="Section 2"/>
    <w:basedOn w:val="Section1"/>
    <w:next w:val="Normal"/>
    <w:rsid w:val="00A70E95"/>
    <w:pPr>
      <w:spacing w:before="240"/>
    </w:pPr>
    <w:rPr>
      <w:b/>
      <w:i/>
    </w:rPr>
  </w:style>
  <w:style w:type="paragraph" w:customStyle="1" w:styleId="AppendixNoS2">
    <w:name w:val="Appendix_No_S2"/>
    <w:basedOn w:val="AppendixNo"/>
    <w:next w:val="Appendixref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B13FE"/>
    <w:pPr>
      <w:tabs>
        <w:tab w:val="left" w:pos="851"/>
      </w:tabs>
      <w:jc w:val="left"/>
    </w:pPr>
    <w:rPr>
      <w:b/>
      <w:sz w:val="24"/>
    </w:rPr>
  </w:style>
  <w:style w:type="paragraph" w:customStyle="1" w:styleId="ArttitleS2">
    <w:name w:val="Art_title_S2"/>
    <w:basedOn w:val="Arttitle"/>
    <w:next w:val="NormalS2"/>
    <w:rsid w:val="00BB13FE"/>
    <w:pPr>
      <w:tabs>
        <w:tab w:val="left" w:pos="851"/>
      </w:tabs>
      <w:jc w:val="left"/>
    </w:pPr>
    <w:rPr>
      <w:sz w:val="24"/>
    </w:rPr>
  </w:style>
  <w:style w:type="paragraph" w:customStyle="1" w:styleId="ChapNoS2">
    <w:name w:val="Chap_No_S2"/>
    <w:basedOn w:val="ChapNo"/>
    <w:next w:val="ChaptitleS2"/>
    <w:rsid w:val="004A63A9"/>
    <w:pPr>
      <w:tabs>
        <w:tab w:val="left" w:pos="851"/>
      </w:tabs>
      <w:jc w:val="left"/>
    </w:pPr>
    <w:rPr>
      <w:b/>
      <w:sz w:val="24"/>
    </w:rPr>
  </w:style>
  <w:style w:type="paragraph" w:customStyle="1" w:styleId="ChaptitleS2">
    <w:name w:val="Chap_title_S2"/>
    <w:basedOn w:val="Chaptitle"/>
    <w:next w:val="NormalS2"/>
    <w:rsid w:val="00BB13FE"/>
    <w:pPr>
      <w:tabs>
        <w:tab w:val="left" w:pos="851"/>
      </w:tabs>
      <w:jc w:val="left"/>
    </w:pPr>
    <w:rPr>
      <w:sz w:val="24"/>
    </w:rPr>
  </w:style>
  <w:style w:type="paragraph" w:customStyle="1" w:styleId="enumlev1S2">
    <w:name w:val="enumlev1_S2"/>
    <w:basedOn w:val="enumlev1"/>
    <w:rsid w:val="00A70E95"/>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70E95"/>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70E95"/>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70E95"/>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B13FE"/>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70E95"/>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B13FE"/>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70E95"/>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70E95"/>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70E95"/>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70E95"/>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70E95"/>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70E95"/>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70E95"/>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70E95"/>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A70E95"/>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B13FE"/>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A70E95"/>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B13F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B13FE"/>
    <w:pPr>
      <w:tabs>
        <w:tab w:val="left" w:pos="851"/>
      </w:tabs>
      <w:jc w:val="left"/>
    </w:pPr>
    <w:rPr>
      <w:caps/>
      <w:sz w:val="24"/>
    </w:rPr>
  </w:style>
  <w:style w:type="paragraph" w:customStyle="1" w:styleId="Section2S2">
    <w:name w:val="Section 2_S2"/>
    <w:basedOn w:val="Section2"/>
    <w:next w:val="NormalS2"/>
    <w:rsid w:val="004A63A9"/>
    <w:pPr>
      <w:tabs>
        <w:tab w:val="left" w:pos="851"/>
      </w:tabs>
      <w:jc w:val="left"/>
    </w:pPr>
    <w:rPr>
      <w:sz w:val="24"/>
    </w:rPr>
  </w:style>
  <w:style w:type="paragraph" w:customStyle="1" w:styleId="TableNoS2">
    <w:name w:val="Table_No_S2"/>
    <w:basedOn w:val="TableNo"/>
    <w:next w:val="TabletitleS2"/>
    <w:rsid w:val="00A70E95"/>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A70E95"/>
    <w:pPr>
      <w:keepNext w:val="0"/>
      <w:tabs>
        <w:tab w:val="clear" w:pos="2948"/>
        <w:tab w:val="clear" w:pos="4082"/>
        <w:tab w:val="left" w:pos="851"/>
      </w:tabs>
      <w:jc w:val="left"/>
    </w:pPr>
  </w:style>
  <w:style w:type="paragraph" w:customStyle="1" w:styleId="TabletextS2">
    <w:name w:val="Table_text_S2"/>
    <w:basedOn w:val="Tabletext"/>
    <w:rsid w:val="00A70E95"/>
    <w:pPr>
      <w:tabs>
        <w:tab w:val="left" w:pos="851"/>
      </w:tabs>
    </w:pPr>
    <w:rPr>
      <w:b/>
    </w:rPr>
  </w:style>
  <w:style w:type="paragraph" w:customStyle="1" w:styleId="TablelegendS2">
    <w:name w:val="Table_legend_S2"/>
    <w:basedOn w:val="Tablelegend"/>
    <w:rsid w:val="00A70E95"/>
    <w:pPr>
      <w:tabs>
        <w:tab w:val="left" w:pos="851"/>
      </w:tabs>
      <w:spacing w:after="0"/>
    </w:pPr>
    <w:rPr>
      <w:b/>
    </w:rPr>
  </w:style>
  <w:style w:type="paragraph" w:customStyle="1" w:styleId="FooterS2">
    <w:name w:val="Footer_S2"/>
    <w:basedOn w:val="Footer"/>
    <w:rsid w:val="00A70E95"/>
    <w:pPr>
      <w:tabs>
        <w:tab w:val="clear" w:pos="5954"/>
        <w:tab w:val="clear" w:pos="9639"/>
        <w:tab w:val="left" w:pos="3686"/>
        <w:tab w:val="right" w:pos="7655"/>
      </w:tabs>
      <w:ind w:left="-1985"/>
    </w:pPr>
  </w:style>
  <w:style w:type="paragraph" w:customStyle="1" w:styleId="HeaderS2">
    <w:name w:val="Header_S2"/>
    <w:basedOn w:val="Normal"/>
    <w:rsid w:val="00A70E95"/>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70E95"/>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70E95"/>
    <w:pPr>
      <w:tabs>
        <w:tab w:val="left" w:pos="851"/>
      </w:tabs>
      <w:jc w:val="left"/>
    </w:pPr>
  </w:style>
  <w:style w:type="paragraph" w:customStyle="1" w:styleId="NoteS2">
    <w:name w:val="Note_S2"/>
    <w:basedOn w:val="Note"/>
    <w:rsid w:val="00A70E95"/>
    <w:pPr>
      <w:tabs>
        <w:tab w:val="clear" w:pos="1134"/>
        <w:tab w:val="clear" w:pos="1701"/>
        <w:tab w:val="clear" w:pos="2268"/>
        <w:tab w:val="clear" w:pos="2835"/>
      </w:tabs>
    </w:pPr>
    <w:rPr>
      <w:b/>
    </w:rPr>
  </w:style>
  <w:style w:type="paragraph" w:styleId="Date">
    <w:name w:val="Date"/>
    <w:basedOn w:val="Normal"/>
    <w:rsid w:val="00A70E95"/>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customStyle="1" w:styleId="HeadingbS2">
    <w:name w:val="Headingb_S2"/>
    <w:basedOn w:val="Headingb"/>
    <w:next w:val="NormalS2"/>
    <w:rsid w:val="00A70E95"/>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70E95"/>
    <w:pPr>
      <w:spacing w:before="160"/>
      <w:outlineLvl w:val="0"/>
    </w:pPr>
  </w:style>
  <w:style w:type="paragraph" w:customStyle="1" w:styleId="HeadingiS2">
    <w:name w:val="Headingi_S2"/>
    <w:basedOn w:val="Headingi"/>
    <w:next w:val="NormalS2"/>
    <w:rsid w:val="00A70E95"/>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4A63A9"/>
    <w:pPr>
      <w:spacing w:before="160"/>
      <w:outlineLvl w:val="0"/>
    </w:pPr>
    <w:rPr>
      <w:b w:val="0"/>
      <w:i/>
    </w:rPr>
  </w:style>
  <w:style w:type="paragraph" w:customStyle="1" w:styleId="FirstFooter">
    <w:name w:val="FirstFooter"/>
    <w:basedOn w:val="Footer"/>
    <w:rsid w:val="00A70E95"/>
    <w:rPr>
      <w:caps w:val="0"/>
    </w:rPr>
  </w:style>
  <w:style w:type="paragraph" w:styleId="TOC9">
    <w:name w:val="toc 9"/>
    <w:basedOn w:val="Normal"/>
    <w:next w:val="Normal"/>
    <w:rsid w:val="00A70E95"/>
    <w:pPr>
      <w:tabs>
        <w:tab w:val="clear" w:pos="567"/>
        <w:tab w:val="clear" w:pos="1134"/>
        <w:tab w:val="clear" w:pos="1701"/>
        <w:tab w:val="clear" w:pos="2268"/>
        <w:tab w:val="clear" w:pos="2835"/>
        <w:tab w:val="right" w:leader="dot" w:pos="9645"/>
      </w:tabs>
      <w:ind w:left="1920"/>
    </w:pPr>
  </w:style>
  <w:style w:type="paragraph" w:customStyle="1" w:styleId="Heading1c">
    <w:name w:val="Heading 1c"/>
    <w:basedOn w:val="Heading1"/>
    <w:next w:val="Normal"/>
    <w:rsid w:val="000863AB"/>
    <w:pPr>
      <w:ind w:left="0" w:firstLine="0"/>
      <w:jc w:val="center"/>
      <w:outlineLvl w:val="9"/>
    </w:pPr>
  </w:style>
  <w:style w:type="paragraph" w:customStyle="1" w:styleId="Heading1cS2">
    <w:name w:val="Heading 1c_S2"/>
    <w:basedOn w:val="Heading1c"/>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4A63A9"/>
    <w:rPr>
      <w:b w:val="0"/>
      <w:i/>
    </w:rPr>
  </w:style>
  <w:style w:type="paragraph" w:customStyle="1" w:styleId="Heading2iS2">
    <w:name w:val="Heading 2i_S2"/>
    <w:basedOn w:val="Heading2i"/>
    <w:next w:val="NormalS2"/>
    <w:rsid w:val="00A70E95"/>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4A63A9"/>
    <w:rPr>
      <w:rFonts w:ascii="Calibri" w:hAnsi="Calibri"/>
    </w:rPr>
  </w:style>
  <w:style w:type="character" w:styleId="Hyperlink">
    <w:name w:val="Hyperlink"/>
    <w:basedOn w:val="DefaultParagraphFont"/>
    <w:uiPriority w:val="99"/>
    <w:rsid w:val="000863AB"/>
    <w:rPr>
      <w:rFonts w:ascii="Calibri" w:hAnsi="Calibri"/>
      <w:color w:val="0000FF"/>
      <w:u w:val="single"/>
    </w:rPr>
  </w:style>
  <w:style w:type="paragraph" w:customStyle="1" w:styleId="Head">
    <w:name w:val="Head"/>
    <w:basedOn w:val="Normal"/>
    <w:rsid w:val="00A70E95"/>
    <w:pPr>
      <w:tabs>
        <w:tab w:val="clear" w:pos="567"/>
        <w:tab w:val="clear" w:pos="1134"/>
        <w:tab w:val="clear" w:pos="1701"/>
        <w:tab w:val="clear" w:pos="2268"/>
        <w:tab w:val="clear" w:pos="2835"/>
      </w:tabs>
      <w:spacing w:before="0"/>
    </w:pPr>
  </w:style>
  <w:style w:type="paragraph" w:customStyle="1" w:styleId="Heading1pv">
    <w:name w:val="Heading 1pv"/>
    <w:basedOn w:val="Heading1"/>
    <w:next w:val="Normalpv"/>
    <w:rsid w:val="00A70E95"/>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Normalpv">
    <w:name w:val="Normal pv"/>
    <w:basedOn w:val="Normal"/>
    <w:rsid w:val="00A70E95"/>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2pv">
    <w:name w:val="Heading 2pv"/>
    <w:basedOn w:val="Heading1pv"/>
    <w:next w:val="Normalpv"/>
    <w:rsid w:val="00A70E95"/>
    <w:pPr>
      <w:spacing w:before="320"/>
      <w:outlineLvl w:val="1"/>
    </w:pPr>
  </w:style>
  <w:style w:type="paragraph" w:customStyle="1" w:styleId="Heading3pv">
    <w:name w:val="Heading 3pv"/>
    <w:basedOn w:val="Heading1pv"/>
    <w:next w:val="Normalpv"/>
    <w:rsid w:val="00A70E95"/>
    <w:pPr>
      <w:spacing w:before="200"/>
      <w:outlineLvl w:val="2"/>
    </w:pPr>
  </w:style>
  <w:style w:type="paragraph" w:customStyle="1" w:styleId="NormalendS2">
    <w:name w:val="Normal_end_S2"/>
    <w:basedOn w:val="Normal"/>
    <w:qFormat/>
    <w:rsid w:val="00F80E6E"/>
    <w:pPr>
      <w:tabs>
        <w:tab w:val="clear" w:pos="567"/>
        <w:tab w:val="clear" w:pos="1134"/>
        <w:tab w:val="clear" w:pos="1701"/>
        <w:tab w:val="clear" w:pos="2268"/>
        <w:tab w:val="clear" w:pos="2835"/>
      </w:tabs>
      <w:overflowPunct/>
      <w:autoSpaceDE/>
      <w:autoSpaceDN/>
      <w:adjustRightInd/>
      <w:spacing w:before="0"/>
      <w:textAlignment w:val="auto"/>
    </w:pPr>
  </w:style>
  <w:style w:type="paragraph" w:customStyle="1" w:styleId="Dectitle">
    <w:name w:val="Dec_title"/>
    <w:basedOn w:val="Rectitle"/>
    <w:next w:val="Normalaftertitle"/>
    <w:qFormat/>
    <w:rsid w:val="009A1A86"/>
  </w:style>
  <w:style w:type="paragraph" w:customStyle="1" w:styleId="DecNo">
    <w:name w:val="Dec_No"/>
    <w:basedOn w:val="RecNo"/>
    <w:next w:val="Dectitle"/>
    <w:qFormat/>
    <w:rsid w:val="009A1A86"/>
  </w:style>
  <w:style w:type="paragraph" w:customStyle="1" w:styleId="DectitleS2">
    <w:name w:val="Dec_title_S2"/>
    <w:basedOn w:val="RestitleS2"/>
    <w:next w:val="Normal"/>
    <w:qFormat/>
    <w:rsid w:val="009A1A86"/>
  </w:style>
  <w:style w:type="paragraph" w:customStyle="1" w:styleId="DecNoS2">
    <w:name w:val="Dec_No_S2"/>
    <w:basedOn w:val="ResNoS2"/>
    <w:next w:val="DectitleS2"/>
    <w:qFormat/>
    <w:rsid w:val="009A1A86"/>
  </w:style>
  <w:style w:type="paragraph" w:customStyle="1" w:styleId="SectionNo">
    <w:name w:val="Section_No"/>
    <w:basedOn w:val="ArtNo"/>
    <w:next w:val="Normal"/>
    <w:qFormat/>
    <w:rsid w:val="00CD20D9"/>
    <w:rPr>
      <w:lang w:val="en-GB"/>
    </w:rPr>
  </w:style>
  <w:style w:type="paragraph" w:customStyle="1" w:styleId="SectionNoS2">
    <w:name w:val="Section_No_S2"/>
    <w:basedOn w:val="ArtNoS2"/>
    <w:next w:val="Normal"/>
    <w:qFormat/>
    <w:rsid w:val="00CD20D9"/>
    <w:rPr>
      <w:lang w:val="en-GB"/>
    </w:rPr>
  </w:style>
  <w:style w:type="paragraph" w:customStyle="1" w:styleId="Sectiontitle">
    <w:name w:val="Section_title"/>
    <w:basedOn w:val="Arttitle"/>
    <w:next w:val="Normalaftertitle"/>
    <w:qFormat/>
    <w:rsid w:val="00CD20D9"/>
    <w:rPr>
      <w:lang w:val="en-GB"/>
    </w:rPr>
  </w:style>
  <w:style w:type="paragraph" w:customStyle="1" w:styleId="SectiontitleS2">
    <w:name w:val="Section_title_S2"/>
    <w:basedOn w:val="ArttitleS2"/>
    <w:next w:val="Normal"/>
    <w:qFormat/>
    <w:rsid w:val="00CD20D9"/>
    <w:rPr>
      <w:lang w:val="en-GB"/>
    </w:rPr>
  </w:style>
  <w:style w:type="paragraph" w:customStyle="1" w:styleId="firstfooter0">
    <w:name w:val="firstfooter"/>
    <w:basedOn w:val="Normal"/>
    <w:rsid w:val="004B07DB"/>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Agendaitem">
    <w:name w:val="Agenda_item"/>
    <w:basedOn w:val="Normal"/>
    <w:next w:val="Normal"/>
    <w:qFormat/>
    <w:rsid w:val="00255FA1"/>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rPr>
  </w:style>
  <w:style w:type="paragraph" w:customStyle="1" w:styleId="Committee">
    <w:name w:val="Committee"/>
    <w:basedOn w:val="Normal"/>
    <w:qFormat/>
    <w:rsid w:val="00255FA1"/>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mallCaps/>
      <w:szCs w:val="24"/>
      <w:lang w:val="en-US"/>
    </w:rPr>
  </w:style>
  <w:style w:type="character" w:customStyle="1" w:styleId="HeaderChar">
    <w:name w:val="Header Char"/>
    <w:basedOn w:val="DefaultParagraphFont"/>
    <w:link w:val="Header"/>
    <w:rsid w:val="00255FA1"/>
    <w:rPr>
      <w:rFonts w:ascii="Calibri" w:hAnsi="Calibri"/>
      <w:sz w:val="18"/>
      <w:lang w:val="es-ES_tradnl" w:eastAsia="en-US"/>
    </w:rPr>
  </w:style>
  <w:style w:type="paragraph" w:customStyle="1" w:styleId="Proposal">
    <w:name w:val="Proposal"/>
    <w:basedOn w:val="Normal"/>
    <w:next w:val="Normal"/>
    <w:rsid w:val="003D0027"/>
    <w:pPr>
      <w:keepNext/>
      <w:tabs>
        <w:tab w:val="clear" w:pos="567"/>
        <w:tab w:val="clear" w:pos="1701"/>
        <w:tab w:val="clear" w:pos="2268"/>
        <w:tab w:val="clear" w:pos="2835"/>
      </w:tabs>
      <w:spacing w:before="240"/>
    </w:pPr>
    <w:rPr>
      <w:rFonts w:asciiTheme="minorHAnsi" w:hAnsi="Times New Roman Bold"/>
      <w:b/>
      <w:lang w:val="en-GB"/>
    </w:rPr>
  </w:style>
  <w:style w:type="paragraph" w:styleId="BalloonText">
    <w:name w:val="Balloon Text"/>
    <w:basedOn w:val="Normal"/>
    <w:link w:val="BalloonTextChar"/>
    <w:semiHidden/>
    <w:unhideWhenUsed/>
    <w:rsid w:val="00AD400E"/>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D400E"/>
    <w:rPr>
      <w:rFonts w:ascii="Tahoma" w:hAnsi="Tahoma" w:cs="Tahoma"/>
      <w:sz w:val="16"/>
      <w:szCs w:val="16"/>
      <w:lang w:val="es-ES_tradnl" w:eastAsia="en-US"/>
    </w:rPr>
  </w:style>
  <w:style w:type="paragraph" w:customStyle="1" w:styleId="OP">
    <w:name w:val="OP"/>
    <w:basedOn w:val="Normal"/>
    <w:next w:val="Normal"/>
    <w:qFormat/>
    <w:rsid w:val="00504FD4"/>
    <w:pPr>
      <w:tabs>
        <w:tab w:val="clear" w:pos="1134"/>
        <w:tab w:val="clear" w:pos="2268"/>
        <w:tab w:val="right" w:pos="567"/>
        <w:tab w:val="left" w:pos="794"/>
        <w:tab w:val="left" w:pos="1191"/>
        <w:tab w:val="left" w:pos="1588"/>
        <w:tab w:val="left" w:pos="1985"/>
      </w:tabs>
      <w:spacing w:before="1200" w:after="240" w:line="480" w:lineRule="atLeast"/>
      <w:jc w:val="center"/>
    </w:pPr>
    <w:rPr>
      <w:b/>
      <w:sz w:val="32"/>
      <w:lang w:val="en-GB"/>
    </w:rPr>
  </w:style>
  <w:style w:type="paragraph" w:customStyle="1" w:styleId="OPtitle">
    <w:name w:val="OP_title"/>
    <w:basedOn w:val="Normal"/>
    <w:next w:val="Normalaftertitle"/>
    <w:qFormat/>
    <w:rsid w:val="00504FD4"/>
    <w:pPr>
      <w:jc w:val="center"/>
    </w:pPr>
    <w:rPr>
      <w:b/>
      <w:bCs/>
      <w:lang w:val="en-GB"/>
    </w:rPr>
  </w:style>
  <w:style w:type="paragraph" w:customStyle="1" w:styleId="VolumeTitle">
    <w:name w:val="VolumeTitle"/>
    <w:basedOn w:val="Normal"/>
    <w:next w:val="Normal"/>
    <w:rsid w:val="004B09D4"/>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504FD4"/>
  </w:style>
  <w:style w:type="character" w:styleId="UnresolvedMention">
    <w:name w:val="Unresolved Mention"/>
    <w:basedOn w:val="DefaultParagraphFont"/>
    <w:uiPriority w:val="99"/>
    <w:semiHidden/>
    <w:unhideWhenUsed/>
    <w:rsid w:val="003B5DC9"/>
    <w:rPr>
      <w:color w:val="605E5C"/>
      <w:shd w:val="clear" w:color="auto" w:fill="E1DFDD"/>
    </w:rPr>
  </w:style>
  <w:style w:type="character" w:styleId="FollowedHyperlink">
    <w:name w:val="FollowedHyperlink"/>
    <w:basedOn w:val="DefaultParagraphFont"/>
    <w:semiHidden/>
    <w:unhideWhenUsed/>
    <w:rsid w:val="00057402"/>
    <w:rPr>
      <w:color w:val="800080" w:themeColor="followedHyperlink"/>
      <w:u w:val="single"/>
    </w:rPr>
  </w:style>
  <w:style w:type="character" w:styleId="PlaceholderText">
    <w:name w:val="Placeholder Text"/>
    <w:basedOn w:val="DefaultParagraphFont"/>
    <w:uiPriority w:val="99"/>
    <w:semiHidden/>
    <w:rsid w:val="00DB336C"/>
    <w:rPr>
      <w:color w:val="666666"/>
    </w:rPr>
  </w:style>
  <w:style w:type="paragraph" w:customStyle="1" w:styleId="OpNo">
    <w:name w:val="Op_No"/>
    <w:basedOn w:val="ResNo"/>
    <w:rsid w:val="003C1B77"/>
    <w:pPr>
      <w:tabs>
        <w:tab w:val="clear" w:pos="567"/>
        <w:tab w:val="left" w:pos="851"/>
      </w:tabs>
    </w:pPr>
    <w:rPr>
      <w:lang w:val="en-GB"/>
    </w:rPr>
  </w:style>
  <w:style w:type="paragraph" w:customStyle="1" w:styleId="Optitle0">
    <w:name w:val="Op_title"/>
    <w:basedOn w:val="Restitle"/>
    <w:rsid w:val="003C1B77"/>
    <w:pPr>
      <w:tabs>
        <w:tab w:val="clear" w:pos="567"/>
        <w:tab w:val="left" w:pos="851"/>
      </w:tabs>
    </w:pPr>
    <w:rPr>
      <w:rFonts w:eastAsia="Calibri"/>
      <w:lang w:val="en-GB"/>
    </w:rPr>
  </w:style>
  <w:style w:type="paragraph" w:styleId="Revision">
    <w:name w:val="Revision"/>
    <w:hidden/>
    <w:uiPriority w:val="99"/>
    <w:semiHidden/>
    <w:rsid w:val="00365F30"/>
    <w:rPr>
      <w:rFonts w:ascii="Calibri" w:hAnsi="Calibri"/>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2B0EF-F0F2-49DE-9B22-1928D670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PS_WTPF26.dotx</Template>
  <TotalTime>3</TotalTime>
  <Pages>5</Pages>
  <Words>2146</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Proyecto de Opinión 2 - La transformación digital ecológica: el cambio climático y la sostenibilidad medioambiental</vt:lpstr>
    </vt:vector>
  </TitlesOfParts>
  <Manager/>
  <Company>ITU</Company>
  <LinksUpToDate>false</LinksUpToDate>
  <CharactersWithSpaces>14351</CharactersWithSpaces>
  <SharedDoc>false</SharedDoc>
  <HyperlinkBase/>
  <HLinks>
    <vt:vector size="6" baseType="variant">
      <vt:variant>
        <vt:i4>4194374</vt:i4>
      </vt:variant>
      <vt:variant>
        <vt:i4>12</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Opinión 2 - La transformación digital ecológica: el cambio climático y la sostenibilidad medioambiental</dc:title>
  <dc:subject>World telecommunication/information and communication technology policy forum</dc:subject>
  <cp:keywords>WTPF, WTPF-26</cp:keywords>
  <dc:description/>
  <dcterms:created xsi:type="dcterms:W3CDTF">2026-08-20T15:06:00Z</dcterms:created>
  <dcterms:modified xsi:type="dcterms:W3CDTF">2026-08-20T15:08:00Z</dcterms:modified>
  <cp:category>Conference document</cp:category>
</cp:coreProperties>
</file>