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75"/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7229"/>
        <w:gridCol w:w="2802"/>
      </w:tblGrid>
      <w:tr w:rsidR="00A27A55" w:rsidRPr="00407D49" w14:paraId="1272B5DE" w14:textId="77777777" w:rsidTr="00A903C6">
        <w:trPr>
          <w:cantSplit/>
          <w:trHeight w:hRule="exact" w:val="1418"/>
          <w:jc w:val="center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01180B36" w14:textId="77777777" w:rsidR="00A27A55" w:rsidRPr="00407D49" w:rsidRDefault="003B04FF" w:rsidP="000D42F6">
            <w:pPr>
              <w:spacing w:before="0"/>
              <w:rPr>
                <w:lang w:val="ru-RU"/>
              </w:rPr>
            </w:pPr>
            <w:r w:rsidRPr="00407D49">
              <w:rPr>
                <w:noProof/>
                <w:lang w:val="ru-RU"/>
              </w:rPr>
              <w:drawing>
                <wp:inline distT="0" distB="0" distL="0" distR="0" wp14:anchorId="1787A973" wp14:editId="4A7C566D">
                  <wp:extent cx="6660000" cy="973693"/>
                  <wp:effectExtent l="0" t="0" r="7620" b="0"/>
                  <wp:docPr id="16855626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0" cy="973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56A" w:rsidRPr="00407D49" w14:paraId="02CD4EBE" w14:textId="77777777" w:rsidTr="0087080B">
        <w:trPr>
          <w:cantSplit/>
          <w:trHeight w:val="283"/>
          <w:jc w:val="center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55B7AF4F" w14:textId="77777777" w:rsidR="00B1156A" w:rsidRPr="00407D49" w:rsidRDefault="00B1156A" w:rsidP="00B1156A">
            <w:pPr>
              <w:spacing w:before="0" w:line="240" w:lineRule="atLeast"/>
              <w:rPr>
                <w:rFonts w:cstheme="minorHAnsi"/>
                <w:b/>
                <w:smallCaps/>
                <w:szCs w:val="22"/>
                <w:lang w:val="ru-RU"/>
              </w:rPr>
            </w:pPr>
            <w:bookmarkStart w:id="0" w:name="dhead"/>
          </w:p>
        </w:tc>
      </w:tr>
      <w:tr w:rsidR="00F96AB4" w:rsidRPr="00407D49" w14:paraId="47E57F8F" w14:textId="77777777" w:rsidTr="0087080B">
        <w:trPr>
          <w:cantSplit/>
          <w:trHeight w:val="255"/>
          <w:jc w:val="center"/>
        </w:trPr>
        <w:tc>
          <w:tcPr>
            <w:tcW w:w="7229" w:type="dxa"/>
            <w:tcBorders>
              <w:top w:val="single" w:sz="12" w:space="0" w:color="71716F"/>
            </w:tcBorders>
          </w:tcPr>
          <w:p w14:paraId="19529383" w14:textId="77777777" w:rsidR="00F96AB4" w:rsidRPr="00407D49" w:rsidRDefault="00F96AB4" w:rsidP="004805DE">
            <w:pPr>
              <w:spacing w:before="0"/>
              <w:rPr>
                <w:rFonts w:cstheme="minorHAnsi"/>
                <w:b/>
                <w:smallCaps/>
                <w:sz w:val="18"/>
                <w:szCs w:val="22"/>
                <w:lang w:val="ru-RU"/>
              </w:rPr>
            </w:pPr>
            <w:bookmarkStart w:id="1" w:name="dspace"/>
          </w:p>
        </w:tc>
        <w:tc>
          <w:tcPr>
            <w:tcW w:w="2802" w:type="dxa"/>
            <w:tcBorders>
              <w:top w:val="single" w:sz="12" w:space="0" w:color="71716F"/>
            </w:tcBorders>
            <w:tcMar>
              <w:right w:w="0" w:type="dxa"/>
            </w:tcMar>
          </w:tcPr>
          <w:p w14:paraId="0FF1BCD2" w14:textId="77777777" w:rsidR="00F96AB4" w:rsidRPr="00407D49" w:rsidRDefault="00F96AB4" w:rsidP="004805DE">
            <w:pPr>
              <w:spacing w:before="0"/>
              <w:rPr>
                <w:rFonts w:cstheme="minorHAnsi"/>
                <w:sz w:val="18"/>
                <w:szCs w:val="22"/>
                <w:lang w:val="ru-RU"/>
              </w:rPr>
            </w:pPr>
          </w:p>
        </w:tc>
      </w:tr>
      <w:bookmarkEnd w:id="0"/>
      <w:bookmarkEnd w:id="1"/>
      <w:tr w:rsidR="00F96AB4" w:rsidRPr="00407D49" w14:paraId="40C64784" w14:textId="77777777" w:rsidTr="0087080B">
        <w:trPr>
          <w:cantSplit/>
          <w:jc w:val="center"/>
        </w:trPr>
        <w:tc>
          <w:tcPr>
            <w:tcW w:w="7229" w:type="dxa"/>
          </w:tcPr>
          <w:p w14:paraId="4A5B5E6D" w14:textId="77777777" w:rsidR="00F96AB4" w:rsidRPr="00407D49" w:rsidRDefault="00F96AB4" w:rsidP="008048D3">
            <w:pPr>
              <w:pStyle w:val="Committee"/>
              <w:framePr w:hSpace="0" w:wrap="auto" w:hAnchor="text" w:yAlign="inline"/>
              <w:spacing w:after="0" w:line="240" w:lineRule="auto"/>
              <w:rPr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2E424E65" w14:textId="478D4D5C" w:rsidR="00F96AB4" w:rsidRPr="00407D49" w:rsidRDefault="00F96AB4" w:rsidP="008048D3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8"/>
                <w:lang w:val="ru-RU"/>
              </w:rPr>
            </w:pPr>
          </w:p>
        </w:tc>
      </w:tr>
      <w:tr w:rsidR="00F96AB4" w:rsidRPr="00407D49" w14:paraId="0BCD0A74" w14:textId="77777777" w:rsidTr="0087080B">
        <w:trPr>
          <w:cantSplit/>
          <w:jc w:val="center"/>
        </w:trPr>
        <w:tc>
          <w:tcPr>
            <w:tcW w:w="7229" w:type="dxa"/>
          </w:tcPr>
          <w:p w14:paraId="11B27018" w14:textId="77777777" w:rsidR="00F96AB4" w:rsidRPr="00407D49" w:rsidRDefault="00F96AB4" w:rsidP="004805DE">
            <w:pPr>
              <w:spacing w:before="0"/>
              <w:rPr>
                <w:rFonts w:cstheme="minorHAnsi"/>
                <w:b/>
                <w:bCs/>
                <w:szCs w:val="28"/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0582F3BB" w14:textId="3F7E3C13" w:rsidR="00F96AB4" w:rsidRPr="00407D49" w:rsidRDefault="00407D49" w:rsidP="004805DE">
            <w:pPr>
              <w:spacing w:before="0"/>
              <w:rPr>
                <w:rFonts w:cstheme="minorHAnsi"/>
                <w:szCs w:val="28"/>
                <w:lang w:val="ru-RU"/>
              </w:rPr>
            </w:pPr>
            <w:r w:rsidRPr="00407D49">
              <w:rPr>
                <w:rFonts w:cstheme="minorHAnsi"/>
                <w:b/>
                <w:bCs/>
                <w:szCs w:val="28"/>
                <w:lang w:val="ru-RU"/>
              </w:rPr>
              <w:t>29 апреля 2026</w:t>
            </w:r>
            <w:r w:rsidR="00F96AB4" w:rsidRPr="00407D49">
              <w:rPr>
                <w:rFonts w:cstheme="minorHAnsi"/>
                <w:b/>
                <w:bCs/>
                <w:szCs w:val="28"/>
                <w:lang w:val="ru-RU"/>
              </w:rPr>
              <w:t xml:space="preserve"> года</w:t>
            </w:r>
          </w:p>
        </w:tc>
      </w:tr>
      <w:tr w:rsidR="00F96AB4" w:rsidRPr="00407D49" w14:paraId="35FD40D3" w14:textId="77777777" w:rsidTr="0087080B">
        <w:trPr>
          <w:cantSplit/>
          <w:jc w:val="center"/>
        </w:trPr>
        <w:tc>
          <w:tcPr>
            <w:tcW w:w="7229" w:type="dxa"/>
          </w:tcPr>
          <w:p w14:paraId="5416BC7C" w14:textId="77777777" w:rsidR="00F96AB4" w:rsidRPr="00407D49" w:rsidRDefault="00F96AB4" w:rsidP="004805DE">
            <w:pPr>
              <w:spacing w:before="0"/>
              <w:rPr>
                <w:rFonts w:cstheme="minorHAnsi"/>
                <w:b/>
                <w:smallCaps/>
                <w:szCs w:val="28"/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0749D1AB" w14:textId="77777777" w:rsidR="00F96AB4" w:rsidRPr="00407D49" w:rsidRDefault="008048D3" w:rsidP="008048D3">
            <w:pPr>
              <w:spacing w:before="0"/>
              <w:rPr>
                <w:rFonts w:cstheme="minorHAnsi"/>
                <w:szCs w:val="28"/>
                <w:lang w:val="ru-RU"/>
              </w:rPr>
            </w:pPr>
            <w:r w:rsidRPr="00407D49">
              <w:rPr>
                <w:rFonts w:cstheme="minorHAnsi"/>
                <w:b/>
                <w:bCs/>
                <w:szCs w:val="28"/>
                <w:lang w:val="ru-RU"/>
              </w:rPr>
              <w:t>Оригинал: английский</w:t>
            </w:r>
          </w:p>
        </w:tc>
      </w:tr>
      <w:tr w:rsidR="00F96AB4" w:rsidRPr="00407D49" w14:paraId="2C5777AD" w14:textId="77777777" w:rsidTr="0087080B">
        <w:trPr>
          <w:cantSplit/>
          <w:jc w:val="center"/>
        </w:trPr>
        <w:tc>
          <w:tcPr>
            <w:tcW w:w="10031" w:type="dxa"/>
            <w:gridSpan w:val="2"/>
          </w:tcPr>
          <w:p w14:paraId="4FAC9EDE" w14:textId="77777777" w:rsidR="00F96AB4" w:rsidRPr="00407D49" w:rsidRDefault="00F96AB4" w:rsidP="004805DE">
            <w:pPr>
              <w:spacing w:before="0"/>
              <w:rPr>
                <w:rFonts w:ascii="Verdana" w:hAnsi="Verdana"/>
                <w:b/>
                <w:bCs/>
                <w:sz w:val="18"/>
                <w:szCs w:val="22"/>
                <w:lang w:val="ru-RU"/>
              </w:rPr>
            </w:pPr>
          </w:p>
        </w:tc>
      </w:tr>
    </w:tbl>
    <w:p w14:paraId="0A4F65EB" w14:textId="77777777" w:rsidR="00407D49" w:rsidRPr="00407D49" w:rsidRDefault="00407D49" w:rsidP="00407D49">
      <w:pPr>
        <w:pStyle w:val="OpNo"/>
      </w:pPr>
      <w:r w:rsidRPr="00407D49">
        <w:t>ПРОЕКТ МНЕНИЯ 2</w:t>
      </w:r>
    </w:p>
    <w:p w14:paraId="2305A1B1" w14:textId="522E948D" w:rsidR="00407D49" w:rsidRPr="00407D49" w:rsidRDefault="00407D49" w:rsidP="00407D49">
      <w:pPr>
        <w:pStyle w:val="Optitle0"/>
      </w:pPr>
      <w:r w:rsidRPr="00407D49">
        <w:t xml:space="preserve">Зеленая цифровая трансформация: изменение климата </w:t>
      </w:r>
      <w:r w:rsidRPr="00407D49">
        <w:br/>
        <w:t>и экологическая устойчивость</w:t>
      </w:r>
    </w:p>
    <w:p w14:paraId="2A18DB6B" w14:textId="77777777" w:rsidR="00407D49" w:rsidRPr="00407D49" w:rsidRDefault="00407D49" w:rsidP="00407D49">
      <w:pPr>
        <w:pStyle w:val="Normalaftertitle"/>
        <w:jc w:val="both"/>
        <w:rPr>
          <w:rFonts w:asciiTheme="minorHAnsi" w:eastAsiaTheme="minorEastAsia" w:hAnsiTheme="minorHAnsi" w:cstheme="minorHAnsi"/>
          <w:szCs w:val="24"/>
          <w:lang w:val="ru-RU"/>
        </w:rPr>
      </w:pPr>
      <w:r w:rsidRPr="00407D49">
        <w:rPr>
          <w:rFonts w:asciiTheme="minorHAnsi" w:eastAsiaTheme="minorEastAsia" w:hAnsiTheme="minorHAnsi" w:cstheme="minorHAnsi"/>
          <w:szCs w:val="24"/>
          <w:lang w:val="ru-RU"/>
        </w:rPr>
        <w:t>Седьмой Всемирный форум по политике в области электросвязи/ИКТ (Нассау, 2026 г.),</w:t>
      </w:r>
    </w:p>
    <w:p w14:paraId="16A662BA" w14:textId="77777777" w:rsidR="00407D49" w:rsidRPr="00407D49" w:rsidRDefault="00407D49" w:rsidP="00407D49">
      <w:pPr>
        <w:pStyle w:val="Call"/>
        <w:rPr>
          <w:lang w:val="ru-RU"/>
        </w:rPr>
      </w:pPr>
      <w:r w:rsidRPr="00407D49">
        <w:rPr>
          <w:lang w:val="ru-RU"/>
        </w:rPr>
        <w:t>напоминая</w:t>
      </w:r>
    </w:p>
    <w:p w14:paraId="08263EA8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i/>
          <w:lang w:val="ru-RU" w:eastAsia="zh-CN"/>
        </w:rPr>
        <w:t>a)</w:t>
      </w:r>
      <w:r w:rsidRPr="00407D49">
        <w:rPr>
          <w:rFonts w:eastAsiaTheme="minorEastAsia"/>
          <w:i/>
          <w:lang w:val="ru-RU" w:eastAsia="zh-CN"/>
        </w:rPr>
        <w:tab/>
      </w:r>
      <w:r w:rsidRPr="00407D49">
        <w:rPr>
          <w:rFonts w:eastAsiaTheme="minorEastAsia"/>
          <w:lang w:val="ru-RU" w:eastAsia="zh-CN"/>
        </w:rPr>
        <w:t>о резолюции 70/1 Генеральной Ассамблеи Организации Объединенных Наций (ГА ООН) о преобразовании нашего мира: Повестка дня в области устойчивого развития на период до 2030 года, в частности о Целях в области устойчивого развития 12 об обеспечении перехода к рациональным моделям потребления и производства и 13</w:t>
      </w:r>
      <w:r w:rsidRPr="00407D49">
        <w:rPr>
          <w:lang w:val="ru-RU"/>
        </w:rPr>
        <w:t xml:space="preserve"> о п</w:t>
      </w:r>
      <w:r w:rsidRPr="00407D49">
        <w:rPr>
          <w:rFonts w:eastAsiaTheme="minorEastAsia"/>
          <w:lang w:val="ru-RU" w:eastAsia="zh-CN"/>
        </w:rPr>
        <w:t>ринятии срочных мер по борьбе с изменением климата и его последствиями;</w:t>
      </w:r>
    </w:p>
    <w:p w14:paraId="3E3E78A4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i/>
          <w:lang w:val="ru-RU" w:eastAsia="zh-CN"/>
        </w:rPr>
        <w:t>b)</w:t>
      </w:r>
      <w:r w:rsidRPr="00407D49">
        <w:rPr>
          <w:rFonts w:eastAsiaTheme="minorEastAsia"/>
          <w:i/>
          <w:lang w:val="ru-RU" w:eastAsia="zh-CN"/>
        </w:rPr>
        <w:tab/>
      </w:r>
      <w:r w:rsidRPr="00407D49">
        <w:rPr>
          <w:rFonts w:eastAsiaTheme="minorEastAsia"/>
          <w:lang w:val="ru-RU" w:eastAsia="zh-CN"/>
        </w:rPr>
        <w:t xml:space="preserve">о резолюции </w:t>
      </w:r>
      <w:r w:rsidRPr="00407D49">
        <w:rPr>
          <w:lang w:val="ru-RU"/>
        </w:rPr>
        <w:t>80/173 ГА ООН об итоговом документе совещания высокого уровня, посвященного общему обзору хода осуществления решений Всемирной встречи на высшем уровне по вопросам информационного общества (ВВУИО+20);</w:t>
      </w:r>
    </w:p>
    <w:p w14:paraId="7DA6FB99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i/>
          <w:lang w:val="ru-RU" w:eastAsia="zh-CN"/>
        </w:rPr>
        <w:t>c)</w:t>
      </w:r>
      <w:r w:rsidRPr="00407D49">
        <w:rPr>
          <w:rFonts w:eastAsiaTheme="minorEastAsia"/>
          <w:i/>
          <w:lang w:val="ru-RU" w:eastAsia="zh-CN"/>
        </w:rPr>
        <w:tab/>
      </w:r>
      <w:r w:rsidRPr="00407D49">
        <w:rPr>
          <w:rFonts w:eastAsiaTheme="minorEastAsia"/>
          <w:lang w:val="ru-RU" w:eastAsia="zh-CN"/>
        </w:rPr>
        <w:t>о Резолюции 182 (Пересм. Бухарест, 2022 г.) Полномочной конференции о роли электросвязи/информационно-коммуникационных технологий (ИКТ) в изменении климата и охране окружающей среды;</w:t>
      </w:r>
    </w:p>
    <w:p w14:paraId="0A0F1C7D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i/>
          <w:lang w:val="ru-RU" w:eastAsia="zh-CN"/>
        </w:rPr>
        <w:t>d)</w:t>
      </w:r>
      <w:r w:rsidRPr="00407D49">
        <w:rPr>
          <w:rFonts w:eastAsiaTheme="minorEastAsia"/>
          <w:i/>
          <w:lang w:val="ru-RU" w:eastAsia="zh-CN"/>
        </w:rPr>
        <w:tab/>
      </w:r>
      <w:r w:rsidRPr="00407D49">
        <w:rPr>
          <w:rFonts w:eastAsiaTheme="minorEastAsia"/>
          <w:lang w:val="ru-RU" w:eastAsia="zh-CN"/>
        </w:rPr>
        <w:t>о Резолюции 1429 Совета МСЭ, принятой на его сессии 2024 года, о роли МСЭ в содействии вкладу ИКТ в обеспечение устойчивости и деятельность по борьбе с изменением климата;</w:t>
      </w:r>
    </w:p>
    <w:p w14:paraId="00C49D4A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i/>
          <w:lang w:val="ru-RU" w:eastAsia="zh-CN"/>
        </w:rPr>
        <w:t>e)</w:t>
      </w:r>
      <w:r w:rsidRPr="00407D49">
        <w:rPr>
          <w:rFonts w:eastAsiaTheme="minorEastAsia"/>
          <w:i/>
          <w:lang w:val="ru-RU" w:eastAsia="zh-CN"/>
        </w:rPr>
        <w:tab/>
      </w:r>
      <w:r w:rsidRPr="00407D49">
        <w:rPr>
          <w:rFonts w:eastAsiaTheme="minorEastAsia"/>
          <w:lang w:val="ru-RU" w:eastAsia="zh-CN"/>
        </w:rPr>
        <w:t>о Резолюции 73 (Пересм. Нью-Дели, 2024 г.) Всемирной ассамблеи по стандартизации электросвязи (ВАСЭ) об ИКТ, окружающей среде, изменении климата и циркуляционной экономике;</w:t>
      </w:r>
    </w:p>
    <w:p w14:paraId="11D2C400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i/>
          <w:lang w:val="ru-RU" w:eastAsia="zh-CN"/>
        </w:rPr>
        <w:t>f)</w:t>
      </w:r>
      <w:r w:rsidRPr="00407D49">
        <w:rPr>
          <w:rFonts w:eastAsiaTheme="minorEastAsia"/>
          <w:i/>
          <w:lang w:val="ru-RU" w:eastAsia="zh-CN"/>
        </w:rPr>
        <w:tab/>
      </w:r>
      <w:r w:rsidRPr="00407D49">
        <w:rPr>
          <w:rFonts w:eastAsiaTheme="minorEastAsia"/>
          <w:lang w:val="ru-RU" w:eastAsia="zh-CN"/>
        </w:rPr>
        <w:t>о Резолюции 79 (Пересм. Нью-Дели, 2024 г.) ВАСЭ о роли электросвязи/ИКТ в переработке и контроле электронных отходов от оборудования электросвязи и информационных технологий, а также о методах их обработки;</w:t>
      </w:r>
    </w:p>
    <w:p w14:paraId="5DB5FC9B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i/>
          <w:lang w:val="ru-RU" w:eastAsia="zh-CN"/>
        </w:rPr>
        <w:t>g)</w:t>
      </w:r>
      <w:r w:rsidRPr="00407D49">
        <w:rPr>
          <w:rFonts w:eastAsiaTheme="minorEastAsia"/>
          <w:i/>
          <w:lang w:val="ru-RU" w:eastAsia="zh-CN"/>
        </w:rPr>
        <w:tab/>
      </w:r>
      <w:r w:rsidRPr="00407D49">
        <w:rPr>
          <w:rFonts w:eastAsiaTheme="minorEastAsia"/>
          <w:lang w:val="ru-RU" w:eastAsia="zh-CN"/>
        </w:rPr>
        <w:t>о Резолюции 66 (Пересм. Баку, 2025 г.) Всемирной конференции по развитию электросвязи об ИКТ, окружающей среде, изменении климата и циркуляционной экономике,</w:t>
      </w:r>
    </w:p>
    <w:p w14:paraId="29A8AC07" w14:textId="77777777" w:rsidR="00407D49" w:rsidRPr="00407D49" w:rsidRDefault="00407D49" w:rsidP="00407D49">
      <w:pPr>
        <w:pStyle w:val="Call"/>
        <w:rPr>
          <w:lang w:val="ru-RU"/>
        </w:rPr>
      </w:pPr>
      <w:r w:rsidRPr="00407D49">
        <w:rPr>
          <w:lang w:val="ru-RU"/>
        </w:rPr>
        <w:t>подчеркивая</w:t>
      </w:r>
      <w:r w:rsidRPr="00407D49">
        <w:rPr>
          <w:i w:val="0"/>
          <w:iCs/>
          <w:lang w:val="ru-RU"/>
        </w:rPr>
        <w:t>,</w:t>
      </w:r>
    </w:p>
    <w:p w14:paraId="46DC3EF1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i/>
          <w:lang w:val="ru-RU" w:eastAsia="zh-CN"/>
        </w:rPr>
        <w:t>a)</w:t>
      </w:r>
      <w:r w:rsidRPr="00407D49">
        <w:rPr>
          <w:rFonts w:eastAsiaTheme="minorEastAsia"/>
          <w:i/>
          <w:lang w:val="ru-RU" w:eastAsia="zh-CN"/>
        </w:rPr>
        <w:tab/>
      </w:r>
      <w:r w:rsidRPr="00407D49">
        <w:rPr>
          <w:rFonts w:eastAsiaTheme="minorEastAsia"/>
          <w:lang w:val="ru-RU" w:eastAsia="zh-CN"/>
        </w:rPr>
        <w:t>что изменение климата, утрата биоразнообразия и загрязнение окружающей среды представляют собой серьезные вызовы нашего времени и что для их преодоления необходимо добиваться прогресса в области устойчивого развития;</w:t>
      </w:r>
    </w:p>
    <w:p w14:paraId="0A677873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i/>
          <w:lang w:val="ru-RU" w:eastAsia="zh-CN"/>
        </w:rPr>
        <w:t>b)</w:t>
      </w:r>
      <w:r w:rsidRPr="00407D49">
        <w:rPr>
          <w:rFonts w:eastAsiaTheme="minorEastAsia"/>
          <w:i/>
          <w:lang w:val="ru-RU" w:eastAsia="zh-CN"/>
        </w:rPr>
        <w:tab/>
      </w:r>
      <w:r w:rsidRPr="00407D49">
        <w:rPr>
          <w:rFonts w:eastAsiaTheme="minorEastAsia"/>
          <w:lang w:val="ru-RU" w:eastAsia="zh-CN"/>
        </w:rPr>
        <w:t>что для сдерживания глобального потепления требуется быстрое, значительное и устойчивое сокращение глобальных выбросов парниковых газов в соответствии с принципами и обязательствами, закрепленными в Рамочной конвенции Организации Объединенных Наций об изменении климата (РКИК ООН) и Парижском соглашении, с учетом различных национальных условий,</w:t>
      </w:r>
    </w:p>
    <w:p w14:paraId="3E847F89" w14:textId="77777777" w:rsidR="00407D49" w:rsidRPr="00407D49" w:rsidRDefault="00407D49" w:rsidP="00407D49">
      <w:pPr>
        <w:pStyle w:val="Call"/>
        <w:rPr>
          <w:lang w:val="ru-RU"/>
        </w:rPr>
      </w:pPr>
      <w:r w:rsidRPr="00407D49">
        <w:rPr>
          <w:lang w:val="ru-RU"/>
        </w:rPr>
        <w:lastRenderedPageBreak/>
        <w:t>принимая во внимание</w:t>
      </w:r>
      <w:r w:rsidRPr="00407D49">
        <w:rPr>
          <w:i w:val="0"/>
          <w:iCs/>
          <w:lang w:val="ru-RU"/>
        </w:rPr>
        <w:t>,</w:t>
      </w:r>
    </w:p>
    <w:p w14:paraId="7C1D879A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i/>
          <w:lang w:val="ru-RU" w:eastAsia="zh-CN"/>
        </w:rPr>
        <w:t>a)</w:t>
      </w:r>
      <w:r w:rsidRPr="00407D49">
        <w:rPr>
          <w:rFonts w:eastAsiaTheme="minorEastAsia"/>
          <w:i/>
          <w:lang w:val="ru-RU" w:eastAsia="zh-CN"/>
        </w:rPr>
        <w:tab/>
      </w:r>
      <w:r w:rsidRPr="00407D49">
        <w:rPr>
          <w:rFonts w:eastAsiaTheme="minorEastAsia"/>
          <w:lang w:val="ru-RU" w:eastAsia="zh-CN"/>
        </w:rPr>
        <w:t>что электросвязь/ИКТ оказывают влияние на изменение климата на протяжении всего своего жизненного цикла;</w:t>
      </w:r>
    </w:p>
    <w:p w14:paraId="13E8212C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i/>
          <w:lang w:val="ru-RU" w:eastAsia="zh-CN"/>
        </w:rPr>
        <w:t>b)</w:t>
      </w:r>
      <w:r w:rsidRPr="00407D49">
        <w:rPr>
          <w:rFonts w:eastAsiaTheme="minorEastAsia"/>
          <w:i/>
          <w:lang w:val="ru-RU" w:eastAsia="zh-CN"/>
        </w:rPr>
        <w:tab/>
      </w:r>
      <w:r w:rsidRPr="00407D49">
        <w:rPr>
          <w:rFonts w:eastAsiaTheme="minorEastAsia"/>
          <w:lang w:val="ru-RU" w:eastAsia="zh-CN"/>
        </w:rPr>
        <w:t>что зеленая цифровая трансформация способствует борьбе с изменением климата за счет разработки, внедрения и утилизации средств электросвязи/ИКТ с соблюдением принципов экологической устойчивости;</w:t>
      </w:r>
    </w:p>
    <w:p w14:paraId="4B4D6322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i/>
          <w:lang w:val="ru-RU" w:eastAsia="zh-CN"/>
        </w:rPr>
        <w:t>c)</w:t>
      </w:r>
      <w:r w:rsidRPr="00407D49">
        <w:rPr>
          <w:rFonts w:eastAsiaTheme="minorEastAsia"/>
          <w:i/>
          <w:lang w:val="ru-RU" w:eastAsia="zh-CN"/>
        </w:rPr>
        <w:tab/>
      </w:r>
      <w:r w:rsidRPr="00407D49">
        <w:rPr>
          <w:rFonts w:eastAsiaTheme="minorEastAsia"/>
          <w:lang w:val="ru-RU" w:eastAsia="zh-CN"/>
        </w:rPr>
        <w:t>что зеленая цифровая трансформация сокращает экологический след электросвязи/ИКТ за счет поощрения принципов циркуляционной экономики на протяжении всего их жизненного цикла: продления срока службы оборудования, борьбы с устареванием программного обеспечения, поощрения ремонта и восстановления устройств, а также улучшения процессов извлечения и повторного использования материальных ресурсов из соответствующих отходов;</w:t>
      </w:r>
    </w:p>
    <w:p w14:paraId="72E0FA7F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i/>
          <w:lang w:val="ru-RU" w:eastAsia="zh-CN"/>
        </w:rPr>
        <w:t>d)</w:t>
      </w:r>
      <w:r w:rsidRPr="00407D49">
        <w:rPr>
          <w:rFonts w:eastAsiaTheme="minorEastAsia"/>
          <w:i/>
          <w:lang w:val="ru-RU" w:eastAsia="zh-CN"/>
        </w:rPr>
        <w:tab/>
      </w:r>
      <w:r w:rsidRPr="00407D49">
        <w:rPr>
          <w:rFonts w:eastAsiaTheme="minorEastAsia"/>
          <w:lang w:val="ru-RU" w:eastAsia="zh-CN"/>
        </w:rPr>
        <w:t>что новые политические инициативы, такие как зеленая цифровая трансформация, имеют решающее значение для достижения согласованных целей в области борьбы с изменением климата, закрепленных в Парижском соглашении, подписанном на 21-й Конференции ООН по изменению климата (КС-21), при этом Программа Организации Объединенных Наций по окружающей среде сообщает, что ограничение глобального потепления до 1,5 </w:t>
      </w:r>
      <w:r w:rsidRPr="00407D49">
        <w:rPr>
          <w:rFonts w:eastAsiaTheme="minorEastAsia"/>
          <w:lang w:val="ru-RU" w:eastAsia="zh-CN"/>
        </w:rPr>
        <w:sym w:font="Symbol" w:char="F0B0"/>
      </w:r>
      <w:r w:rsidRPr="00407D49">
        <w:rPr>
          <w:rFonts w:eastAsiaTheme="minorEastAsia"/>
          <w:lang w:val="ru-RU" w:eastAsia="zh-CN"/>
        </w:rPr>
        <w:t>C невозможно в рамках нынешних национально определенных вкладов,</w:t>
      </w:r>
    </w:p>
    <w:p w14:paraId="3BF6D099" w14:textId="77777777" w:rsidR="00407D49" w:rsidRPr="00407D49" w:rsidRDefault="00407D49" w:rsidP="00407D49">
      <w:pPr>
        <w:pStyle w:val="Call"/>
        <w:rPr>
          <w:lang w:val="ru-RU"/>
        </w:rPr>
      </w:pPr>
      <w:r w:rsidRPr="00407D49">
        <w:rPr>
          <w:lang w:val="ru-RU"/>
        </w:rPr>
        <w:t>учитывая</w:t>
      </w:r>
    </w:p>
    <w:p w14:paraId="06AD5E2B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i/>
          <w:lang w:val="ru-RU" w:eastAsia="zh-CN"/>
        </w:rPr>
        <w:t>a)</w:t>
      </w:r>
      <w:r w:rsidRPr="00407D49">
        <w:rPr>
          <w:rFonts w:eastAsiaTheme="minorEastAsia"/>
          <w:i/>
          <w:lang w:val="ru-RU" w:eastAsia="zh-CN"/>
        </w:rPr>
        <w:tab/>
      </w:r>
      <w:r w:rsidRPr="00407D49">
        <w:rPr>
          <w:rFonts w:eastAsiaTheme="minorEastAsia"/>
          <w:lang w:val="ru-RU" w:eastAsia="zh-CN"/>
        </w:rPr>
        <w:t>отчет МСЭ "Экологизация цифровых компаний", подготовленный совместно со Всемирным альянсом по установлению стандартов, в котором было показано, что гонка за развитием искусственного интеллекта и расширением центров обработки данных стимулирует беспрецедентный рост цифрового сектора и ведет к резкому увеличению выбросов парниковых газов и потребления энергии;</w:t>
      </w:r>
    </w:p>
    <w:p w14:paraId="44025044" w14:textId="77777777" w:rsidR="00407D49" w:rsidRPr="00407D49" w:rsidRDefault="00407D49" w:rsidP="00770834">
      <w:pPr>
        <w:jc w:val="both"/>
        <w:rPr>
          <w:rFonts w:eastAsiaTheme="minorEastAsia"/>
          <w:spacing w:val="-2"/>
          <w:lang w:val="ru-RU" w:eastAsia="zh-CN"/>
        </w:rPr>
      </w:pPr>
      <w:r w:rsidRPr="00407D49">
        <w:rPr>
          <w:rFonts w:eastAsiaTheme="minorEastAsia"/>
          <w:i/>
          <w:spacing w:val="-2"/>
          <w:lang w:val="ru-RU" w:eastAsia="zh-CN"/>
        </w:rPr>
        <w:t>b)</w:t>
      </w:r>
      <w:r w:rsidRPr="00407D49">
        <w:rPr>
          <w:rFonts w:eastAsiaTheme="minorEastAsia"/>
          <w:i/>
          <w:spacing w:val="-2"/>
          <w:lang w:val="ru-RU" w:eastAsia="zh-CN"/>
        </w:rPr>
        <w:tab/>
      </w:r>
      <w:r w:rsidRPr="00407D49">
        <w:rPr>
          <w:rFonts w:eastAsiaTheme="minorEastAsia"/>
          <w:spacing w:val="-2"/>
          <w:lang w:val="ru-RU" w:eastAsia="zh-CN"/>
        </w:rPr>
        <w:t>важность использования цифровых технологий для достижения конечных целей РКИК ООН в контексте устойчивого развития, а также Парижского соглашения, подписанного на КС-21;</w:t>
      </w:r>
    </w:p>
    <w:p w14:paraId="27CE26D5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i/>
          <w:lang w:val="ru-RU" w:eastAsia="zh-CN"/>
        </w:rPr>
        <w:t>c)</w:t>
      </w:r>
      <w:r w:rsidRPr="00407D49">
        <w:rPr>
          <w:rFonts w:eastAsiaTheme="minorEastAsia"/>
          <w:i/>
          <w:lang w:val="ru-RU" w:eastAsia="zh-CN"/>
        </w:rPr>
        <w:tab/>
      </w:r>
      <w:r w:rsidRPr="00407D49">
        <w:rPr>
          <w:rFonts w:eastAsiaTheme="minorEastAsia"/>
          <w:lang w:val="ru-RU" w:eastAsia="zh-CN"/>
        </w:rPr>
        <w:t>что системы государственных закупок и рыночные механизмы могут способствовать внедрению экологически устойчивых технологий электросвязи/ИКТ,</w:t>
      </w:r>
    </w:p>
    <w:p w14:paraId="2AB482F6" w14:textId="77777777" w:rsidR="00407D49" w:rsidRPr="00407D49" w:rsidRDefault="00407D49" w:rsidP="00407D49">
      <w:pPr>
        <w:pStyle w:val="Call"/>
        <w:rPr>
          <w:lang w:val="ru-RU"/>
        </w:rPr>
      </w:pPr>
      <w:r w:rsidRPr="00407D49">
        <w:rPr>
          <w:lang w:val="ru-RU"/>
        </w:rPr>
        <w:t>признавая</w:t>
      </w:r>
      <w:r w:rsidRPr="00407D49">
        <w:rPr>
          <w:i w:val="0"/>
          <w:iCs/>
          <w:lang w:val="ru-RU"/>
        </w:rPr>
        <w:t>,</w:t>
      </w:r>
    </w:p>
    <w:p w14:paraId="6A10D914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i/>
          <w:lang w:val="ru-RU" w:eastAsia="zh-CN"/>
        </w:rPr>
        <w:t>a)</w:t>
      </w:r>
      <w:r w:rsidRPr="00407D49">
        <w:rPr>
          <w:rFonts w:eastAsiaTheme="minorEastAsia"/>
          <w:i/>
          <w:lang w:val="ru-RU" w:eastAsia="zh-CN"/>
        </w:rPr>
        <w:tab/>
      </w:r>
      <w:r w:rsidRPr="00407D49">
        <w:rPr>
          <w:rFonts w:eastAsiaTheme="minorEastAsia"/>
          <w:lang w:val="ru-RU" w:eastAsia="zh-CN"/>
        </w:rPr>
        <w:t>что экологические выгоды и ущерб, связанные с электросвязью/ИКТ, распределены неравномерно и что многие развивающиеся страны страдают от экологических угроз, связанных с электронными отходами;</w:t>
      </w:r>
    </w:p>
    <w:p w14:paraId="2364B992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i/>
          <w:lang w:val="ru-RU" w:eastAsia="zh-CN"/>
        </w:rPr>
        <w:t>b)</w:t>
      </w:r>
      <w:r w:rsidRPr="00407D49">
        <w:rPr>
          <w:rFonts w:eastAsiaTheme="minorEastAsia"/>
          <w:i/>
          <w:lang w:val="ru-RU" w:eastAsia="zh-CN"/>
        </w:rPr>
        <w:tab/>
      </w:r>
      <w:r w:rsidRPr="00407D49">
        <w:rPr>
          <w:rFonts w:eastAsiaTheme="minorEastAsia"/>
          <w:iCs/>
          <w:lang w:val="ru-RU" w:eastAsia="zh-CN"/>
        </w:rPr>
        <w:t xml:space="preserve">что, </w:t>
      </w:r>
      <w:r w:rsidRPr="00407D49">
        <w:rPr>
          <w:rFonts w:eastAsiaTheme="minorEastAsia"/>
          <w:lang w:val="ru-RU" w:eastAsia="zh-CN"/>
        </w:rPr>
        <w:t>согласно "Докладу о цифровой экономике" Организации Объединенных Наций за 2024 год, в пересчете на душу населения в развитых странах в среднем образовывалось 3,25 кг отходов, связанных с цифровыми технологиями, в то время как в развивающихся странах − менее 1 кг, а в наименее развитых странах − 0,21 кг;</w:t>
      </w:r>
    </w:p>
    <w:p w14:paraId="6A2FDFB1" w14:textId="77777777" w:rsidR="00407D49" w:rsidRPr="00407D49" w:rsidRDefault="00407D49" w:rsidP="00770834">
      <w:pPr>
        <w:jc w:val="both"/>
        <w:rPr>
          <w:rFonts w:eastAsiaTheme="minorEastAsia"/>
          <w:spacing w:val="-2"/>
          <w:lang w:val="ru-RU" w:eastAsia="zh-CN"/>
        </w:rPr>
      </w:pPr>
      <w:r w:rsidRPr="00407D49">
        <w:rPr>
          <w:rFonts w:eastAsiaTheme="minorEastAsia"/>
          <w:i/>
          <w:spacing w:val="-2"/>
          <w:lang w:val="ru-RU" w:eastAsia="zh-CN"/>
        </w:rPr>
        <w:t>c)</w:t>
      </w:r>
      <w:r w:rsidRPr="00407D49">
        <w:rPr>
          <w:rFonts w:eastAsiaTheme="minorEastAsia"/>
          <w:i/>
          <w:spacing w:val="-2"/>
          <w:lang w:val="ru-RU" w:eastAsia="zh-CN"/>
        </w:rPr>
        <w:tab/>
      </w:r>
      <w:r w:rsidRPr="00407D49">
        <w:rPr>
          <w:rFonts w:eastAsiaTheme="minorEastAsia"/>
          <w:spacing w:val="-2"/>
          <w:lang w:val="ru-RU" w:eastAsia="zh-CN"/>
        </w:rPr>
        <w:t>что отраслевые практики должны способствовать созданию возможностей и стимулированию потребителей к повторному использованию, ремонту и переработке продуктов ИКТ, что направлено на сокращение объема электронных отходов, особенно в развивающихся странах;</w:t>
      </w:r>
    </w:p>
    <w:p w14:paraId="49A57858" w14:textId="77777777" w:rsidR="00407D49" w:rsidRPr="00407D49" w:rsidRDefault="00407D49" w:rsidP="00770834">
      <w:pPr>
        <w:jc w:val="both"/>
        <w:rPr>
          <w:rFonts w:eastAsiaTheme="minorEastAsia"/>
          <w:lang w:val="ru-RU"/>
        </w:rPr>
      </w:pPr>
      <w:r w:rsidRPr="00407D49">
        <w:rPr>
          <w:rFonts w:eastAsiaTheme="minorEastAsia"/>
          <w:i/>
          <w:lang w:val="ru-RU"/>
        </w:rPr>
        <w:t>d)</w:t>
      </w:r>
      <w:r w:rsidRPr="00407D49">
        <w:rPr>
          <w:rFonts w:eastAsiaTheme="minorEastAsia"/>
          <w:i/>
          <w:lang w:val="ru-RU"/>
        </w:rPr>
        <w:tab/>
      </w:r>
      <w:r w:rsidRPr="00407D49">
        <w:rPr>
          <w:rFonts w:eastAsiaTheme="minorEastAsia"/>
          <w:lang w:val="ru-RU"/>
        </w:rPr>
        <w:t>что инфраструктура электросвязи/ИКТ, включая центры обработки данных, может приводить к высокому энергопотреблению и выбросам углерода, если управление ею не осуществляется на основе принципов устойчивого развития;</w:t>
      </w:r>
    </w:p>
    <w:p w14:paraId="6C06A926" w14:textId="77777777" w:rsidR="00407D49" w:rsidRPr="00407D49" w:rsidRDefault="00407D49" w:rsidP="00770834">
      <w:pPr>
        <w:jc w:val="both"/>
        <w:rPr>
          <w:rFonts w:eastAsiaTheme="minorEastAsia"/>
          <w:lang w:val="ru-RU"/>
        </w:rPr>
      </w:pPr>
      <w:r w:rsidRPr="00407D49">
        <w:rPr>
          <w:rFonts w:eastAsiaTheme="minorEastAsia"/>
          <w:i/>
          <w:lang w:val="ru-RU"/>
        </w:rPr>
        <w:t>e)</w:t>
      </w:r>
      <w:r w:rsidRPr="00407D49">
        <w:rPr>
          <w:rFonts w:eastAsiaTheme="minorEastAsia"/>
          <w:i/>
          <w:lang w:val="ru-RU"/>
        </w:rPr>
        <w:tab/>
      </w:r>
      <w:r w:rsidRPr="00407D49">
        <w:rPr>
          <w:lang w:val="ru-RU"/>
        </w:rPr>
        <w:t>что быстрое развитие электросвязи/ИКТ может приводить к увеличению объема электронных отходов, что создает угрозу для окружающей среды;</w:t>
      </w:r>
    </w:p>
    <w:p w14:paraId="56940732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i/>
          <w:lang w:val="ru-RU" w:eastAsia="zh-CN"/>
        </w:rPr>
        <w:lastRenderedPageBreak/>
        <w:t>f)</w:t>
      </w:r>
      <w:r w:rsidRPr="00407D49">
        <w:rPr>
          <w:rFonts w:eastAsiaTheme="minorEastAsia"/>
          <w:i/>
          <w:lang w:val="ru-RU" w:eastAsia="zh-CN"/>
        </w:rPr>
        <w:tab/>
      </w:r>
      <w:r w:rsidRPr="00407D49">
        <w:rPr>
          <w:rFonts w:eastAsiaTheme="minorEastAsia"/>
          <w:lang w:val="ru-RU" w:eastAsia="zh-CN"/>
        </w:rPr>
        <w:t>что малые островные развивающиеся государства и другие страны с небольшой численностью населения могут сталкиваться с трудностями при реализации программ зеленой цифровой трансформации в отсутствие партнерств, необходимых для расширения масштабов деятельности;</w:t>
      </w:r>
    </w:p>
    <w:p w14:paraId="07E4F4B1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i/>
          <w:lang w:val="ru-RU" w:eastAsia="zh-CN"/>
        </w:rPr>
        <w:t>g)</w:t>
      </w:r>
      <w:r w:rsidRPr="00407D49">
        <w:rPr>
          <w:rFonts w:eastAsiaTheme="minorEastAsia"/>
          <w:i/>
          <w:lang w:val="ru-RU" w:eastAsia="zh-CN"/>
        </w:rPr>
        <w:tab/>
      </w:r>
      <w:r w:rsidRPr="00407D49">
        <w:rPr>
          <w:rFonts w:eastAsiaTheme="minorEastAsia"/>
          <w:lang w:val="ru-RU" w:eastAsia="zh-CN"/>
        </w:rPr>
        <w:t>что развивающиеся страны могут столкнуться с трудностями в достижении целей Парижского соглашения и содействии зеленой цифровой трансформации без финансовой и технической поддержки;</w:t>
      </w:r>
    </w:p>
    <w:p w14:paraId="758BD083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i/>
          <w:lang w:val="ru-RU" w:eastAsia="zh-CN"/>
        </w:rPr>
        <w:t>h)</w:t>
      </w:r>
      <w:r w:rsidRPr="00407D49">
        <w:rPr>
          <w:rFonts w:eastAsiaTheme="minorEastAsia"/>
          <w:i/>
          <w:lang w:val="ru-RU" w:eastAsia="zh-CN"/>
        </w:rPr>
        <w:tab/>
      </w:r>
      <w:r w:rsidRPr="00407D49">
        <w:rPr>
          <w:rFonts w:eastAsiaTheme="minorEastAsia"/>
          <w:lang w:val="ru-RU" w:eastAsia="zh-CN"/>
        </w:rPr>
        <w:t>что зеленая цифровая трансформация должна учитывать тот факт, что многим развивающимся странам по-прежнему необходимо продолжать цифровизацию для эффективного участия в глобальной экономике и обществе;</w:t>
      </w:r>
    </w:p>
    <w:p w14:paraId="0FCB23DC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i/>
          <w:lang w:val="ru-RU" w:eastAsia="zh-CN"/>
        </w:rPr>
        <w:t>i)</w:t>
      </w:r>
      <w:r w:rsidRPr="00407D49">
        <w:rPr>
          <w:rFonts w:eastAsiaTheme="minorEastAsia"/>
          <w:i/>
          <w:lang w:val="ru-RU" w:eastAsia="zh-CN"/>
        </w:rPr>
        <w:tab/>
      </w:r>
      <w:r w:rsidRPr="00407D49">
        <w:rPr>
          <w:rFonts w:eastAsiaTheme="minorEastAsia"/>
          <w:lang w:val="ru-RU" w:eastAsia="zh-CN"/>
        </w:rPr>
        <w:t>вклад, внесенный соответствующими исследовательскими комиссиями МСЭ во всех трех Секторах, такими как 5-я Исследовательская комиссия МСЭ-Т, 7-я Исследовательская комиссия МСЭ-R и 2-я Исследовательская комиссия МСЭ-D,</w:t>
      </w:r>
    </w:p>
    <w:p w14:paraId="7F2B628B" w14:textId="77777777" w:rsidR="00407D49" w:rsidRPr="00407D49" w:rsidRDefault="00407D49" w:rsidP="00407D49">
      <w:pPr>
        <w:pStyle w:val="Call"/>
        <w:rPr>
          <w:lang w:val="ru-RU"/>
        </w:rPr>
      </w:pPr>
      <w:r w:rsidRPr="00407D49">
        <w:rPr>
          <w:lang w:val="ru-RU"/>
        </w:rPr>
        <w:t>считает</w:t>
      </w:r>
      <w:r w:rsidRPr="00407D49">
        <w:rPr>
          <w:i w:val="0"/>
          <w:iCs/>
          <w:lang w:val="ru-RU"/>
        </w:rPr>
        <w:t>,</w:t>
      </w:r>
    </w:p>
    <w:p w14:paraId="3E707478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1</w:t>
      </w:r>
      <w:r w:rsidRPr="00407D49">
        <w:rPr>
          <w:rFonts w:eastAsiaTheme="minorEastAsia"/>
          <w:lang w:val="ru-RU" w:eastAsia="zh-CN"/>
        </w:rPr>
        <w:tab/>
        <w:t>что для достижения устойчивой зеленой цифровой трансформации необходимо быстрое, значительное и устойчивое сокращение глобальных выбросов парниковых газов;</w:t>
      </w:r>
    </w:p>
    <w:p w14:paraId="7B30F0BD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2</w:t>
      </w:r>
      <w:r w:rsidRPr="00407D49">
        <w:rPr>
          <w:rFonts w:eastAsiaTheme="minorEastAsia"/>
          <w:lang w:val="ru-RU" w:eastAsia="zh-CN"/>
        </w:rPr>
        <w:tab/>
        <w:t>что национальным, региональным и местным органам власти, частному сектору, гражданскому обществу, техническому сообществу и академическим организациям следует объединять усилия и работать в направлении зеленой цифровой трансформации;</w:t>
      </w:r>
    </w:p>
    <w:p w14:paraId="1F907800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3</w:t>
      </w:r>
      <w:r w:rsidRPr="00407D49">
        <w:rPr>
          <w:rFonts w:eastAsiaTheme="minorEastAsia"/>
          <w:lang w:val="ru-RU" w:eastAsia="zh-CN"/>
        </w:rPr>
        <w:tab/>
        <w:t>что, хотя электросвязь/ИКТ вносят значительный вклад в глобальные выбросы парниковых газов, их преобразующий потенциал можно использовать для решения проблем, связанных с изменением климата;</w:t>
      </w:r>
    </w:p>
    <w:p w14:paraId="04585CDD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4</w:t>
      </w:r>
      <w:r w:rsidRPr="00407D49">
        <w:rPr>
          <w:rFonts w:eastAsiaTheme="minorEastAsia"/>
          <w:lang w:val="ru-RU" w:eastAsia="zh-CN"/>
        </w:rPr>
        <w:tab/>
        <w:t>что растущие и динамичные темпы развития сектора электросвязи/ИКТ должны быть совместимы с зеленой цифровой трансформацией и представляют собой возможность для экономического роста, повышения конкурентоспособности и устойчивого развития во всех секторах экономики, одновременно сокращая выбросы парниковых газов в других секторах;</w:t>
      </w:r>
    </w:p>
    <w:p w14:paraId="4CEF3AFD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5</w:t>
      </w:r>
      <w:r w:rsidRPr="00407D49">
        <w:rPr>
          <w:rFonts w:eastAsiaTheme="minorEastAsia"/>
          <w:lang w:val="ru-RU" w:eastAsia="zh-CN"/>
        </w:rPr>
        <w:tab/>
        <w:t>что электросвязь/ИКТ могут способствовать смягчению воздействия других секторов на окружающую среду различными способами, например, путем выявления основанных на данных практических выводов;</w:t>
      </w:r>
    </w:p>
    <w:p w14:paraId="10B6D84D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6</w:t>
      </w:r>
      <w:r w:rsidRPr="00407D49">
        <w:rPr>
          <w:rFonts w:eastAsiaTheme="minorEastAsia"/>
          <w:lang w:val="ru-RU" w:eastAsia="zh-CN"/>
        </w:rPr>
        <w:tab/>
        <w:t>что переход к более циркуляционной экономике позволит оптимизировать экономические и экологические последствия развития электросвязи/ИКТ, в том числе способствуя созданию новых деловых возможностей и рабочих мест;</w:t>
      </w:r>
    </w:p>
    <w:p w14:paraId="5194B406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7</w:t>
      </w:r>
      <w:r w:rsidRPr="00407D49">
        <w:rPr>
          <w:rFonts w:eastAsiaTheme="minorEastAsia"/>
          <w:lang w:val="ru-RU" w:eastAsia="zh-CN"/>
        </w:rPr>
        <w:tab/>
        <w:t>что вопросы устойчивого развития и энергоэффективности, и в частности добровольное совместное использование инфраструктуры и сокращение объема электронных отходов, должны стать неотъемлемой частью процесса разработки, внедрения и использования электросвязи/ИКТ,</w:t>
      </w:r>
    </w:p>
    <w:p w14:paraId="50CB30E8" w14:textId="77777777" w:rsidR="00407D49" w:rsidRPr="00407D49" w:rsidRDefault="00407D49" w:rsidP="00407D49">
      <w:pPr>
        <w:pStyle w:val="Call"/>
        <w:rPr>
          <w:lang w:val="ru-RU"/>
        </w:rPr>
      </w:pPr>
      <w:r w:rsidRPr="00407D49">
        <w:rPr>
          <w:lang w:val="ru-RU"/>
        </w:rPr>
        <w:t>предлагает Государствам-Членам</w:t>
      </w:r>
    </w:p>
    <w:p w14:paraId="1E200F3F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1</w:t>
      </w:r>
      <w:r w:rsidRPr="00407D49">
        <w:rPr>
          <w:rFonts w:eastAsiaTheme="minorEastAsia"/>
          <w:lang w:val="ru-RU" w:eastAsia="zh-CN"/>
        </w:rPr>
        <w:tab/>
        <w:t>использовать электросвязь/ИКТ в качестве эффективного средства сокращения выбросов парниковых газов в различных секторах экономики;</w:t>
      </w:r>
    </w:p>
    <w:p w14:paraId="4EF5AAFE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2</w:t>
      </w:r>
      <w:r w:rsidRPr="00407D49">
        <w:rPr>
          <w:rFonts w:eastAsiaTheme="minorEastAsia"/>
          <w:lang w:val="ru-RU" w:eastAsia="zh-CN"/>
        </w:rPr>
        <w:tab/>
        <w:t>разработать соответствующие стратегии и политику на региональном, национальном и местном уровнях, способствующие внедрению принципов циркуляционной экономики в отношении оборудования электросвязи/ИКТ на уровне государственного сектора, потребителей и промышленности;</w:t>
      </w:r>
    </w:p>
    <w:p w14:paraId="41ADBA93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3</w:t>
      </w:r>
      <w:r w:rsidRPr="00407D49">
        <w:rPr>
          <w:rFonts w:eastAsiaTheme="minorEastAsia"/>
          <w:lang w:val="ru-RU" w:eastAsia="zh-CN"/>
        </w:rPr>
        <w:tab/>
        <w:t>содействовать разработке недорогих, безопасных и изначально ориентированных на устойчивость решений с уменьшенным углеродным следом на протяжении всего их жизненного цикла;</w:t>
      </w:r>
    </w:p>
    <w:p w14:paraId="40DB6D3F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lastRenderedPageBreak/>
        <w:t>4</w:t>
      </w:r>
      <w:r w:rsidRPr="00407D49">
        <w:rPr>
          <w:rFonts w:eastAsiaTheme="minorEastAsia"/>
          <w:lang w:val="ru-RU" w:eastAsia="zh-CN"/>
        </w:rPr>
        <w:tab/>
        <w:t>создавать благоприятные условия для инвестиций в экологически устойчивую электросвязь/ИКТ;</w:t>
      </w:r>
    </w:p>
    <w:p w14:paraId="3CFAED8B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5</w:t>
      </w:r>
      <w:r w:rsidRPr="00407D49">
        <w:rPr>
          <w:rFonts w:eastAsiaTheme="minorEastAsia"/>
          <w:lang w:val="ru-RU" w:eastAsia="zh-CN"/>
        </w:rPr>
        <w:tab/>
        <w:t>инвестировать в исследования и разработки в области экологически устойчивой электросвязи/ИКТ;</w:t>
      </w:r>
    </w:p>
    <w:p w14:paraId="0177B74E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6</w:t>
      </w:r>
      <w:r w:rsidRPr="00407D49">
        <w:rPr>
          <w:rFonts w:eastAsiaTheme="minorEastAsia"/>
          <w:lang w:val="ru-RU" w:eastAsia="zh-CN"/>
        </w:rPr>
        <w:tab/>
        <w:t>рассмотреть возможность использования требований в сфере государственных закупок для стимулирования внедрения экологически устойчивых систем электросвязи/ИКТ в соответствующих организациях, если это целесообразно;</w:t>
      </w:r>
    </w:p>
    <w:p w14:paraId="68BFDB96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7</w:t>
      </w:r>
      <w:r w:rsidRPr="00407D49">
        <w:rPr>
          <w:rFonts w:eastAsiaTheme="minorEastAsia"/>
          <w:lang w:val="ru-RU" w:eastAsia="zh-CN"/>
        </w:rPr>
        <w:tab/>
      </w:r>
      <w:r w:rsidRPr="00407D49">
        <w:rPr>
          <w:rFonts w:eastAsiaTheme="minorEastAsia"/>
          <w:lang w:val="ru-RU"/>
        </w:rPr>
        <w:t>содействовать оценке всего спектра воздействий систем электросвязи/ИКТ на окружающую среду на протяжении всего их жизненного цикла − от этапа планирования до утилизации − с целью формирования политики, инноваций и практик экологически устойчивого проектирования;</w:t>
      </w:r>
    </w:p>
    <w:p w14:paraId="235808CC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8</w:t>
      </w:r>
      <w:r w:rsidRPr="00407D49">
        <w:rPr>
          <w:rFonts w:eastAsiaTheme="minorEastAsia"/>
          <w:lang w:val="ru-RU" w:eastAsia="zh-CN"/>
        </w:rPr>
        <w:tab/>
        <w:t>проводить информационно-просветительские кампании по вопросам утилизации и переработки электронных отходов, способствующие углублению понимания потребителями последствий использования их устройств для образования отходов;</w:t>
      </w:r>
    </w:p>
    <w:p w14:paraId="0356505B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9</w:t>
      </w:r>
      <w:r w:rsidRPr="00407D49">
        <w:rPr>
          <w:rFonts w:eastAsiaTheme="minorEastAsia"/>
          <w:lang w:val="ru-RU" w:eastAsia="zh-CN"/>
        </w:rPr>
        <w:tab/>
        <w:t>создавать стимулы для использования возобновляемых источников энергии и энергоэффективных устройств с низким уровнем выбросов парниковых газов с учетом обстоятельств и возможностей отдельных Государств-Членов;</w:t>
      </w:r>
    </w:p>
    <w:p w14:paraId="21556929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10</w:t>
      </w:r>
      <w:r w:rsidRPr="00407D49">
        <w:rPr>
          <w:rFonts w:eastAsiaTheme="minorEastAsia"/>
          <w:lang w:val="ru-RU" w:eastAsia="zh-CN"/>
        </w:rPr>
        <w:tab/>
        <w:t>укреплять рамки управления утилизацией электронных отходов путем разработки политики, нормативных актов, рамок и стратегий,</w:t>
      </w:r>
    </w:p>
    <w:p w14:paraId="64B002EA" w14:textId="77777777" w:rsidR="00407D49" w:rsidRPr="00407D49" w:rsidRDefault="00407D49" w:rsidP="00407D49">
      <w:pPr>
        <w:pStyle w:val="Call"/>
        <w:rPr>
          <w:lang w:val="ru-RU"/>
        </w:rPr>
      </w:pPr>
      <w:r w:rsidRPr="00407D49">
        <w:rPr>
          <w:lang w:val="ru-RU"/>
        </w:rPr>
        <w:t>предлагает Государствам-Членам, Членам Секторов и другим заинтересованным сторонам</w:t>
      </w:r>
    </w:p>
    <w:p w14:paraId="4F6CAD9D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1</w:t>
      </w:r>
      <w:r w:rsidRPr="00407D49">
        <w:rPr>
          <w:rFonts w:eastAsiaTheme="minorEastAsia"/>
          <w:lang w:val="ru-RU" w:eastAsia="zh-CN"/>
        </w:rPr>
        <w:tab/>
        <w:t xml:space="preserve">принять срочные и безотлагательные меры по снижению негативного воздействия на окружающую среду и рисков, связанных с электросвязью/ИКТ и всей соответствующей инфраструктурой; </w:t>
      </w:r>
    </w:p>
    <w:p w14:paraId="174D3B60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2</w:t>
      </w:r>
      <w:r w:rsidRPr="00407D49">
        <w:rPr>
          <w:rFonts w:eastAsiaTheme="minorEastAsia"/>
          <w:lang w:val="ru-RU" w:eastAsia="zh-CN"/>
        </w:rPr>
        <w:tab/>
        <w:t>усилить свои обязательства по решению проблемы электронных отходов путем планирования их переработки на этапе проектирования будущих ИКТ, поощряя использование и разработку экологически устойчивого и надежного оборудования электросвязи/ИКТ, а также материалов, пригодных для переработки, в рамках циркуляционной экономики;</w:t>
      </w:r>
    </w:p>
    <w:p w14:paraId="08EB9577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3</w:t>
      </w:r>
      <w:r w:rsidRPr="00407D49">
        <w:rPr>
          <w:rFonts w:eastAsiaTheme="minorEastAsia"/>
          <w:lang w:val="ru-RU" w:eastAsia="zh-CN"/>
        </w:rPr>
        <w:tab/>
        <w:t>содействовать формированию устойчивых моделей потребления и производства путем участия в циркуляционной экономике в сфере электросвязи/ИКТ, поощрения ремонта, повторного использования и перепродажи соответствующих устройств, а также повышения осведомленности общественности о вопросах утилизации и переработки электронных отходов;</w:t>
      </w:r>
    </w:p>
    <w:p w14:paraId="50D1A390" w14:textId="77777777" w:rsidR="00407D49" w:rsidRPr="00407D49" w:rsidRDefault="00407D49" w:rsidP="00770834">
      <w:pPr>
        <w:jc w:val="both"/>
        <w:rPr>
          <w:lang w:val="ru-RU"/>
        </w:rPr>
      </w:pPr>
      <w:r w:rsidRPr="00407D49">
        <w:rPr>
          <w:lang w:val="ru-RU"/>
        </w:rPr>
        <w:t>4</w:t>
      </w:r>
      <w:r w:rsidRPr="00407D49">
        <w:rPr>
          <w:lang w:val="ru-RU"/>
        </w:rPr>
        <w:tab/>
        <w:t>разрабатывать политику, способствующую внедрению энергоэффективных технологий, которые могут способствовать сокращению углеродного следа сектора;</w:t>
      </w:r>
    </w:p>
    <w:p w14:paraId="157CA109" w14:textId="77777777" w:rsidR="00407D49" w:rsidRPr="00407D49" w:rsidRDefault="00407D49" w:rsidP="00770834">
      <w:pPr>
        <w:jc w:val="both"/>
        <w:rPr>
          <w:lang w:val="ru-RU"/>
        </w:rPr>
      </w:pPr>
      <w:r w:rsidRPr="00407D49">
        <w:rPr>
          <w:lang w:val="ru-RU"/>
        </w:rPr>
        <w:t>5</w:t>
      </w:r>
      <w:r w:rsidRPr="00407D49">
        <w:rPr>
          <w:lang w:val="ru-RU"/>
        </w:rPr>
        <w:tab/>
        <w:t>принимать меры по управлению электронными отходами, включая программы переработки и ответственную утилизацию старой электроники;</w:t>
      </w:r>
    </w:p>
    <w:p w14:paraId="693A81F3" w14:textId="77777777" w:rsidR="00407D49" w:rsidRPr="00407D49" w:rsidRDefault="00407D49" w:rsidP="00770834">
      <w:pPr>
        <w:jc w:val="both"/>
        <w:rPr>
          <w:lang w:val="ru-RU"/>
        </w:rPr>
      </w:pPr>
      <w:r w:rsidRPr="00407D49">
        <w:rPr>
          <w:lang w:val="ru-RU"/>
        </w:rPr>
        <w:t>6</w:t>
      </w:r>
      <w:r w:rsidRPr="00407D49">
        <w:rPr>
          <w:lang w:val="ru-RU"/>
        </w:rPr>
        <w:tab/>
        <w:t>использовать потенциал цифровой трансформации для содействия инклюзивному и устойчивому развитию, одновременно смягчая ее негативное воздействие на окружающую среду за счет перехода к циркуляционной цифровой экономике, характеризующейся ответственным потреблением и производством, использованием возобновляемых источников энергии и комплексным управлением электронными отходами;</w:t>
      </w:r>
    </w:p>
    <w:p w14:paraId="04984383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7</w:t>
      </w:r>
      <w:r w:rsidRPr="00407D49">
        <w:rPr>
          <w:rFonts w:eastAsiaTheme="minorEastAsia"/>
          <w:lang w:val="ru-RU" w:eastAsia="zh-CN"/>
        </w:rPr>
        <w:tab/>
      </w:r>
      <w:r w:rsidRPr="00407D49">
        <w:rPr>
          <w:lang w:val="ru-RU"/>
        </w:rPr>
        <w:t>создавать стимулы для сокращения выбросов углерода в целях поощрения устойчивых практик в цифровых отраслях;</w:t>
      </w:r>
    </w:p>
    <w:p w14:paraId="6062B235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8</w:t>
      </w:r>
      <w:r w:rsidRPr="00407D49">
        <w:rPr>
          <w:rFonts w:eastAsiaTheme="minorEastAsia"/>
          <w:lang w:val="ru-RU" w:eastAsia="zh-CN"/>
        </w:rPr>
        <w:tab/>
        <w:t>использовать электросвязь/ИКТ для борьбы с изменением климата и содействия внедрению принципов циркуляционной экономики в других секторах, таких как энергетика, обрабатывающая промышленность, транспорт, строительство и сельское хозяйство, для достижения целей в области устойчивого развития;</w:t>
      </w:r>
    </w:p>
    <w:p w14:paraId="455B8F3E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lastRenderedPageBreak/>
        <w:t>9</w:t>
      </w:r>
      <w:r w:rsidRPr="00407D49">
        <w:rPr>
          <w:rFonts w:eastAsiaTheme="minorEastAsia"/>
          <w:lang w:val="ru-RU" w:eastAsia="zh-CN"/>
        </w:rPr>
        <w:tab/>
        <w:t>признать важность международного сотрудничества в интересах зеленой цифровой трансформации, включая добровольную и взаимно согласованную передачу и разработку технологий, с участием всех субъектов общества, секторов и регионов, для содействия прогрессу в достижении целей конференций РКИК ООН и Парижского соглашения;</w:t>
      </w:r>
    </w:p>
    <w:p w14:paraId="64931E41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10</w:t>
      </w:r>
      <w:r w:rsidRPr="00407D49">
        <w:rPr>
          <w:rFonts w:eastAsiaTheme="minorEastAsia"/>
          <w:lang w:val="ru-RU" w:eastAsia="zh-CN"/>
        </w:rPr>
        <w:tab/>
        <w:t>рассмотреть вопрос о принятии соответствующих рекомендаций МСЭ-Т по электронным отходам и окружающей среде;</w:t>
      </w:r>
    </w:p>
    <w:p w14:paraId="7AFC908E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11</w:t>
      </w:r>
      <w:r w:rsidRPr="00407D49">
        <w:rPr>
          <w:rFonts w:eastAsiaTheme="minorEastAsia"/>
          <w:lang w:val="ru-RU" w:eastAsia="zh-CN"/>
        </w:rPr>
        <w:tab/>
        <w:t>активно участвовать в деятельности МСЭ в области устойчивого развития и в соответствующих межсекторальных усилиях;</w:t>
      </w:r>
    </w:p>
    <w:p w14:paraId="46429BD6" w14:textId="77777777" w:rsidR="00407D49" w:rsidRPr="00407D49" w:rsidRDefault="00407D49" w:rsidP="00770834">
      <w:pPr>
        <w:jc w:val="both"/>
        <w:rPr>
          <w:rFonts w:eastAsiaTheme="minorEastAsia"/>
          <w:spacing w:val="-2"/>
          <w:lang w:val="ru-RU" w:eastAsia="zh-CN"/>
        </w:rPr>
      </w:pPr>
      <w:r w:rsidRPr="00407D49">
        <w:rPr>
          <w:rFonts w:eastAsiaTheme="minorEastAsia"/>
          <w:spacing w:val="-2"/>
          <w:lang w:val="ru-RU" w:eastAsia="zh-CN"/>
        </w:rPr>
        <w:t>12</w:t>
      </w:r>
      <w:r w:rsidRPr="00407D49">
        <w:rPr>
          <w:rFonts w:eastAsiaTheme="minorEastAsia"/>
          <w:spacing w:val="-2"/>
          <w:lang w:val="ru-RU" w:eastAsia="zh-CN"/>
        </w:rPr>
        <w:tab/>
        <w:t>содействовать совместному использованию инфраструктуры и ресурсов (а также, по возможности, межсекторальному совместному использованию инфраструктуры) в целях сокращения избыточной инфраструктуры, минимизации потребления ресурсов, снижения энергопотребления и эффективного использования активов в таких секторах, как энергетика, транспорт и электросвязь/ИКТ;</w:t>
      </w:r>
    </w:p>
    <w:p w14:paraId="04612B26" w14:textId="77777777" w:rsidR="00407D49" w:rsidRPr="00407D49" w:rsidRDefault="00407D49" w:rsidP="00770834">
      <w:pPr>
        <w:jc w:val="both"/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13</w:t>
      </w:r>
      <w:r w:rsidRPr="00407D49">
        <w:rPr>
          <w:rFonts w:eastAsiaTheme="minorEastAsia"/>
          <w:lang w:val="ru-RU" w:eastAsia="zh-CN"/>
        </w:rPr>
        <w:tab/>
        <w:t>интегрировать электросвязь/ИКТ в стратегии охраны окружающей среды с целью создания общей экосистемы для продвижения к устойчивому будущему,</w:t>
      </w:r>
    </w:p>
    <w:p w14:paraId="1EC11272" w14:textId="77777777" w:rsidR="00407D49" w:rsidRPr="00407D49" w:rsidRDefault="00407D49" w:rsidP="00407D49">
      <w:pPr>
        <w:pStyle w:val="Call"/>
        <w:rPr>
          <w:lang w:val="ru-RU"/>
        </w:rPr>
      </w:pPr>
      <w:r w:rsidRPr="00407D49">
        <w:rPr>
          <w:lang w:val="ru-RU"/>
        </w:rPr>
        <w:t>предлагает Генеральному секретарю</w:t>
      </w:r>
    </w:p>
    <w:p w14:paraId="6FED5762" w14:textId="77777777" w:rsidR="00407D49" w:rsidRPr="00407D49" w:rsidRDefault="00407D49" w:rsidP="00407D49">
      <w:pPr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1</w:t>
      </w:r>
      <w:r w:rsidRPr="00407D49">
        <w:rPr>
          <w:rFonts w:eastAsiaTheme="minorEastAsia"/>
          <w:lang w:val="ru-RU" w:eastAsia="zh-CN"/>
        </w:rPr>
        <w:tab/>
        <w:t>работать над повышением потенциала всех соответствующих заинтересованных сторон, особенно тех, которые в наибольшей степени затронуты изменением климата, с учетом их планов развития, в вопросах охраны окружающей среды с использованием ИКТ и обеспечения благосостояния населения;</w:t>
      </w:r>
    </w:p>
    <w:p w14:paraId="7F3E3EBD" w14:textId="77777777" w:rsidR="00407D49" w:rsidRPr="00407D49" w:rsidRDefault="00407D49" w:rsidP="00407D49">
      <w:pPr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2</w:t>
      </w:r>
      <w:r w:rsidRPr="00407D49">
        <w:rPr>
          <w:rFonts w:eastAsiaTheme="minorEastAsia"/>
          <w:lang w:val="ru-RU" w:eastAsia="zh-CN"/>
        </w:rPr>
        <w:tab/>
        <w:t>содействовать развитию международного партнерства в области зеленой цифровой трансформации, которое дает странам, в особенности развивающимся, возможность участвовать в цифровой экономике;</w:t>
      </w:r>
    </w:p>
    <w:p w14:paraId="11F9C77B" w14:textId="77777777" w:rsidR="00407D49" w:rsidRPr="00407D49" w:rsidRDefault="00407D49" w:rsidP="00407D49">
      <w:pPr>
        <w:rPr>
          <w:rFonts w:eastAsiaTheme="minorEastAsia"/>
          <w:lang w:val="ru-RU" w:eastAsia="zh-CN"/>
        </w:rPr>
      </w:pPr>
      <w:r w:rsidRPr="00407D49">
        <w:rPr>
          <w:rFonts w:eastAsiaTheme="minorEastAsia"/>
          <w:lang w:val="ru-RU" w:eastAsia="zh-CN"/>
        </w:rPr>
        <w:t>3</w:t>
      </w:r>
      <w:r w:rsidRPr="00407D49">
        <w:rPr>
          <w:rFonts w:eastAsiaTheme="minorEastAsia"/>
          <w:lang w:val="ru-RU" w:eastAsia="zh-CN"/>
        </w:rPr>
        <w:tab/>
        <w:t>далее укреплять координацию между тремя Секторами в их работе по реализации зеленой цифровой трансформации;</w:t>
      </w:r>
    </w:p>
    <w:p w14:paraId="36668609" w14:textId="77777777" w:rsidR="00407D49" w:rsidRPr="00407D49" w:rsidRDefault="00407D49" w:rsidP="00407D49">
      <w:pPr>
        <w:rPr>
          <w:rFonts w:eastAsiaTheme="minorEastAsia"/>
          <w:lang w:val="ru-RU" w:eastAsia="zh-CN"/>
        </w:rPr>
      </w:pPr>
      <w:r w:rsidRPr="00407D49">
        <w:rPr>
          <w:lang w:val="ru-RU"/>
        </w:rPr>
        <w:t>4</w:t>
      </w:r>
      <w:r w:rsidRPr="00407D49">
        <w:rPr>
          <w:lang w:val="ru-RU"/>
        </w:rPr>
        <w:tab/>
      </w:r>
      <w:r w:rsidRPr="00407D49">
        <w:rPr>
          <w:rFonts w:eastAsiaTheme="minorEastAsia"/>
          <w:lang w:val="ru-RU" w:eastAsia="zh-CN"/>
        </w:rPr>
        <w:t>содействовать сотрудничеству между Государствами-Членами, региональными организациями и другими ключевыми заинтересованными сторонами, обмену знаниями и передовым опытом в целях поддержки укрепления институционального потенциала Государств-Членов для продвижения инициатив в области зеленой цифровой трансформации.</w:t>
      </w:r>
    </w:p>
    <w:p w14:paraId="69DB0B50" w14:textId="77777777" w:rsidR="00407D49" w:rsidRPr="00407D49" w:rsidRDefault="00407D49" w:rsidP="00452AF0">
      <w:pPr>
        <w:spacing w:before="480"/>
        <w:jc w:val="center"/>
        <w:rPr>
          <w:lang w:val="ru-RU"/>
        </w:rPr>
      </w:pPr>
      <w:r w:rsidRPr="00407D49">
        <w:rPr>
          <w:lang w:val="ru-RU"/>
        </w:rPr>
        <w:t>______________</w:t>
      </w:r>
    </w:p>
    <w:sectPr w:rsidR="00407D49" w:rsidRPr="00407D49" w:rsidSect="00172DFB">
      <w:headerReference w:type="default" r:id="rId7"/>
      <w:footerReference w:type="first" r:id="rId8"/>
      <w:pgSz w:w="11913" w:h="16834" w:code="9"/>
      <w:pgMar w:top="1418" w:right="1134" w:bottom="1418" w:left="1134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70FC2" w14:textId="77777777" w:rsidR="002415E4" w:rsidRDefault="002415E4" w:rsidP="0079159C">
      <w:r>
        <w:separator/>
      </w:r>
    </w:p>
    <w:p w14:paraId="438465E9" w14:textId="77777777" w:rsidR="002415E4" w:rsidRDefault="002415E4" w:rsidP="0079159C"/>
    <w:p w14:paraId="49466CB7" w14:textId="77777777" w:rsidR="002415E4" w:rsidRDefault="002415E4" w:rsidP="0079159C"/>
    <w:p w14:paraId="2DC596DA" w14:textId="77777777" w:rsidR="002415E4" w:rsidRDefault="002415E4" w:rsidP="0079159C"/>
    <w:p w14:paraId="1038F207" w14:textId="77777777" w:rsidR="002415E4" w:rsidRDefault="002415E4" w:rsidP="0079159C"/>
    <w:p w14:paraId="73A9BF4C" w14:textId="77777777" w:rsidR="002415E4" w:rsidRDefault="002415E4" w:rsidP="0079159C"/>
    <w:p w14:paraId="521CAEC2" w14:textId="77777777" w:rsidR="002415E4" w:rsidRDefault="002415E4" w:rsidP="0079159C"/>
    <w:p w14:paraId="316934E6" w14:textId="77777777" w:rsidR="002415E4" w:rsidRDefault="002415E4" w:rsidP="0079159C"/>
    <w:p w14:paraId="2C1F2F07" w14:textId="77777777" w:rsidR="002415E4" w:rsidRDefault="002415E4" w:rsidP="0079159C"/>
    <w:p w14:paraId="435BE05B" w14:textId="77777777" w:rsidR="002415E4" w:rsidRDefault="002415E4" w:rsidP="0079159C"/>
    <w:p w14:paraId="36BAE178" w14:textId="77777777" w:rsidR="002415E4" w:rsidRDefault="002415E4" w:rsidP="0079159C"/>
    <w:p w14:paraId="3A688D57" w14:textId="77777777" w:rsidR="002415E4" w:rsidRDefault="002415E4" w:rsidP="0079159C"/>
    <w:p w14:paraId="580306CA" w14:textId="77777777" w:rsidR="002415E4" w:rsidRDefault="002415E4" w:rsidP="0079159C"/>
    <w:p w14:paraId="07285877" w14:textId="77777777" w:rsidR="002415E4" w:rsidRDefault="002415E4" w:rsidP="0079159C"/>
    <w:p w14:paraId="31D681FB" w14:textId="77777777" w:rsidR="002415E4" w:rsidRDefault="002415E4" w:rsidP="004B3A6C"/>
    <w:p w14:paraId="0D454F3B" w14:textId="77777777" w:rsidR="002415E4" w:rsidRDefault="002415E4" w:rsidP="004B3A6C"/>
  </w:endnote>
  <w:endnote w:type="continuationSeparator" w:id="0">
    <w:p w14:paraId="2D2B7A95" w14:textId="77777777" w:rsidR="002415E4" w:rsidRDefault="002415E4" w:rsidP="0079159C">
      <w:r>
        <w:continuationSeparator/>
      </w:r>
    </w:p>
    <w:p w14:paraId="780A82BD" w14:textId="77777777" w:rsidR="002415E4" w:rsidRDefault="002415E4" w:rsidP="0079159C"/>
    <w:p w14:paraId="464679FB" w14:textId="77777777" w:rsidR="002415E4" w:rsidRDefault="002415E4" w:rsidP="0079159C"/>
    <w:p w14:paraId="18C26CA0" w14:textId="77777777" w:rsidR="002415E4" w:rsidRDefault="002415E4" w:rsidP="0079159C"/>
    <w:p w14:paraId="75CDF2D0" w14:textId="77777777" w:rsidR="002415E4" w:rsidRDefault="002415E4" w:rsidP="0079159C"/>
    <w:p w14:paraId="78E91AB5" w14:textId="77777777" w:rsidR="002415E4" w:rsidRDefault="002415E4" w:rsidP="0079159C"/>
    <w:p w14:paraId="21B2896B" w14:textId="77777777" w:rsidR="002415E4" w:rsidRDefault="002415E4" w:rsidP="0079159C"/>
    <w:p w14:paraId="594E847E" w14:textId="77777777" w:rsidR="002415E4" w:rsidRDefault="002415E4" w:rsidP="0079159C"/>
    <w:p w14:paraId="343DBF93" w14:textId="77777777" w:rsidR="002415E4" w:rsidRDefault="002415E4" w:rsidP="0079159C"/>
    <w:p w14:paraId="3FEB3029" w14:textId="77777777" w:rsidR="002415E4" w:rsidRDefault="002415E4" w:rsidP="0079159C"/>
    <w:p w14:paraId="3CA372DB" w14:textId="77777777" w:rsidR="002415E4" w:rsidRDefault="002415E4" w:rsidP="0079159C"/>
    <w:p w14:paraId="657A0CDB" w14:textId="77777777" w:rsidR="002415E4" w:rsidRDefault="002415E4" w:rsidP="0079159C"/>
    <w:p w14:paraId="164C0A79" w14:textId="77777777" w:rsidR="002415E4" w:rsidRDefault="002415E4" w:rsidP="0079159C"/>
    <w:p w14:paraId="7E3A806C" w14:textId="77777777" w:rsidR="002415E4" w:rsidRDefault="002415E4" w:rsidP="0079159C"/>
    <w:p w14:paraId="255D9F7B" w14:textId="77777777" w:rsidR="002415E4" w:rsidRDefault="002415E4" w:rsidP="004B3A6C"/>
    <w:p w14:paraId="13BBE90F" w14:textId="77777777" w:rsidR="002415E4" w:rsidRDefault="002415E4" w:rsidP="004B3A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6D978" w14:textId="77777777" w:rsidR="005C3DE4" w:rsidRPr="00A903C6" w:rsidRDefault="00A903C6" w:rsidP="00A903C6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history="1">
      <w:r w:rsidRPr="00050596">
        <w:rPr>
          <w:rStyle w:val="Hyperlink"/>
          <w:color w:val="0070C0"/>
          <w:sz w:val="22"/>
          <w:szCs w:val="22"/>
          <w:lang w:val="en-GB"/>
        </w:rPr>
        <w:t>www.itu.int/WTPF/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C80B6" w14:textId="77777777" w:rsidR="002415E4" w:rsidRDefault="002415E4" w:rsidP="0079159C">
      <w:r>
        <w:t>____________________</w:t>
      </w:r>
    </w:p>
  </w:footnote>
  <w:footnote w:type="continuationSeparator" w:id="0">
    <w:p w14:paraId="40DBCE78" w14:textId="77777777" w:rsidR="002415E4" w:rsidRDefault="002415E4" w:rsidP="0079159C">
      <w:r>
        <w:continuationSeparator/>
      </w:r>
    </w:p>
    <w:p w14:paraId="4B8CAA29" w14:textId="77777777" w:rsidR="002415E4" w:rsidRDefault="002415E4" w:rsidP="0079159C"/>
    <w:p w14:paraId="6E68B531" w14:textId="77777777" w:rsidR="002415E4" w:rsidRDefault="002415E4" w:rsidP="0079159C"/>
    <w:p w14:paraId="41FC11E3" w14:textId="77777777" w:rsidR="002415E4" w:rsidRDefault="002415E4" w:rsidP="0079159C"/>
    <w:p w14:paraId="7E46F951" w14:textId="77777777" w:rsidR="002415E4" w:rsidRDefault="002415E4" w:rsidP="0079159C"/>
    <w:p w14:paraId="03D7A00D" w14:textId="77777777" w:rsidR="002415E4" w:rsidRDefault="002415E4" w:rsidP="0079159C"/>
    <w:p w14:paraId="0223BD83" w14:textId="77777777" w:rsidR="002415E4" w:rsidRDefault="002415E4" w:rsidP="0079159C"/>
    <w:p w14:paraId="3029F334" w14:textId="77777777" w:rsidR="002415E4" w:rsidRDefault="002415E4" w:rsidP="0079159C"/>
    <w:p w14:paraId="5463D69A" w14:textId="77777777" w:rsidR="002415E4" w:rsidRDefault="002415E4" w:rsidP="0079159C"/>
    <w:p w14:paraId="152CB215" w14:textId="77777777" w:rsidR="002415E4" w:rsidRDefault="002415E4" w:rsidP="0079159C"/>
    <w:p w14:paraId="6EB884D3" w14:textId="77777777" w:rsidR="002415E4" w:rsidRDefault="002415E4" w:rsidP="0079159C"/>
    <w:p w14:paraId="37CC9182" w14:textId="77777777" w:rsidR="002415E4" w:rsidRDefault="002415E4" w:rsidP="0079159C"/>
    <w:p w14:paraId="3DF6EFA2" w14:textId="77777777" w:rsidR="002415E4" w:rsidRDefault="002415E4" w:rsidP="0079159C"/>
    <w:p w14:paraId="4553F7A9" w14:textId="77777777" w:rsidR="002415E4" w:rsidRDefault="002415E4" w:rsidP="0079159C"/>
    <w:p w14:paraId="4150F81E" w14:textId="77777777" w:rsidR="002415E4" w:rsidRDefault="002415E4" w:rsidP="004B3A6C"/>
    <w:p w14:paraId="5A4B7C0D" w14:textId="77777777" w:rsidR="002415E4" w:rsidRDefault="002415E4" w:rsidP="004B3A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676CE" w14:textId="77777777" w:rsidR="00A903C6" w:rsidRDefault="00A903C6" w:rsidP="00A903C6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446"/>
    <w:rsid w:val="00014808"/>
    <w:rsid w:val="00016EB5"/>
    <w:rsid w:val="0002174D"/>
    <w:rsid w:val="000270F5"/>
    <w:rsid w:val="00027300"/>
    <w:rsid w:val="0003029E"/>
    <w:rsid w:val="00050596"/>
    <w:rsid w:val="00055C50"/>
    <w:rsid w:val="000626B1"/>
    <w:rsid w:val="00063CA3"/>
    <w:rsid w:val="00065F00"/>
    <w:rsid w:val="00066DE8"/>
    <w:rsid w:val="00071D10"/>
    <w:rsid w:val="000968F5"/>
    <w:rsid w:val="000A68C5"/>
    <w:rsid w:val="000B062A"/>
    <w:rsid w:val="000B3566"/>
    <w:rsid w:val="000B751C"/>
    <w:rsid w:val="000C4701"/>
    <w:rsid w:val="000C5120"/>
    <w:rsid w:val="000C64BC"/>
    <w:rsid w:val="000C68CB"/>
    <w:rsid w:val="000D42F6"/>
    <w:rsid w:val="000E3AAE"/>
    <w:rsid w:val="000E4C7A"/>
    <w:rsid w:val="000E63E8"/>
    <w:rsid w:val="000F0F87"/>
    <w:rsid w:val="00100DF6"/>
    <w:rsid w:val="00120697"/>
    <w:rsid w:val="00130C1F"/>
    <w:rsid w:val="00137594"/>
    <w:rsid w:val="00142ED7"/>
    <w:rsid w:val="0014768F"/>
    <w:rsid w:val="001636BD"/>
    <w:rsid w:val="00170AC3"/>
    <w:rsid w:val="00171990"/>
    <w:rsid w:val="00171E2E"/>
    <w:rsid w:val="00172DFB"/>
    <w:rsid w:val="001A0EEB"/>
    <w:rsid w:val="001B2BFF"/>
    <w:rsid w:val="001B5341"/>
    <w:rsid w:val="001B5FBF"/>
    <w:rsid w:val="001E31D2"/>
    <w:rsid w:val="001F0B24"/>
    <w:rsid w:val="001F4406"/>
    <w:rsid w:val="00200992"/>
    <w:rsid w:val="00202880"/>
    <w:rsid w:val="0020313F"/>
    <w:rsid w:val="002173B8"/>
    <w:rsid w:val="00232D57"/>
    <w:rsid w:val="002356E7"/>
    <w:rsid w:val="002415E4"/>
    <w:rsid w:val="00241B9A"/>
    <w:rsid w:val="002578B4"/>
    <w:rsid w:val="00273A0B"/>
    <w:rsid w:val="00277F85"/>
    <w:rsid w:val="00297915"/>
    <w:rsid w:val="002A409A"/>
    <w:rsid w:val="002A5402"/>
    <w:rsid w:val="002B033B"/>
    <w:rsid w:val="002B3829"/>
    <w:rsid w:val="002C5477"/>
    <w:rsid w:val="002C78FF"/>
    <w:rsid w:val="002D0055"/>
    <w:rsid w:val="002D024B"/>
    <w:rsid w:val="003429D1"/>
    <w:rsid w:val="00375BBA"/>
    <w:rsid w:val="00384CFC"/>
    <w:rsid w:val="00385F70"/>
    <w:rsid w:val="00395CE4"/>
    <w:rsid w:val="003B04FF"/>
    <w:rsid w:val="003B276A"/>
    <w:rsid w:val="003E7EAA"/>
    <w:rsid w:val="00400701"/>
    <w:rsid w:val="004014B0"/>
    <w:rsid w:val="00407D49"/>
    <w:rsid w:val="00426AC1"/>
    <w:rsid w:val="00452AF0"/>
    <w:rsid w:val="00455F82"/>
    <w:rsid w:val="004676C0"/>
    <w:rsid w:val="00471ABB"/>
    <w:rsid w:val="004805DE"/>
    <w:rsid w:val="004B03E9"/>
    <w:rsid w:val="004B3A6C"/>
    <w:rsid w:val="004B70DA"/>
    <w:rsid w:val="004C029D"/>
    <w:rsid w:val="004C79E4"/>
    <w:rsid w:val="004D15DE"/>
    <w:rsid w:val="004F7D63"/>
    <w:rsid w:val="00513BE3"/>
    <w:rsid w:val="0052010F"/>
    <w:rsid w:val="005356FD"/>
    <w:rsid w:val="00535EDC"/>
    <w:rsid w:val="005374C0"/>
    <w:rsid w:val="00541762"/>
    <w:rsid w:val="00554E24"/>
    <w:rsid w:val="00555396"/>
    <w:rsid w:val="00563711"/>
    <w:rsid w:val="005653D6"/>
    <w:rsid w:val="00567130"/>
    <w:rsid w:val="0057344C"/>
    <w:rsid w:val="00584918"/>
    <w:rsid w:val="00597446"/>
    <w:rsid w:val="005A700C"/>
    <w:rsid w:val="005C3DE4"/>
    <w:rsid w:val="005C67E8"/>
    <w:rsid w:val="005D0C15"/>
    <w:rsid w:val="005F526C"/>
    <w:rsid w:val="00600272"/>
    <w:rsid w:val="006104EA"/>
    <w:rsid w:val="0061434A"/>
    <w:rsid w:val="00617BE4"/>
    <w:rsid w:val="0062155D"/>
    <w:rsid w:val="00627A76"/>
    <w:rsid w:val="006418E6"/>
    <w:rsid w:val="0067722F"/>
    <w:rsid w:val="006B405B"/>
    <w:rsid w:val="006B7F84"/>
    <w:rsid w:val="006C1A71"/>
    <w:rsid w:val="006E57C8"/>
    <w:rsid w:val="00706CC2"/>
    <w:rsid w:val="00710760"/>
    <w:rsid w:val="0073319E"/>
    <w:rsid w:val="00733439"/>
    <w:rsid w:val="007340B5"/>
    <w:rsid w:val="00750829"/>
    <w:rsid w:val="00760830"/>
    <w:rsid w:val="007649C2"/>
    <w:rsid w:val="00770834"/>
    <w:rsid w:val="0079159C"/>
    <w:rsid w:val="007919C2"/>
    <w:rsid w:val="007C50AF"/>
    <w:rsid w:val="007E4D0F"/>
    <w:rsid w:val="008034F1"/>
    <w:rsid w:val="008048D3"/>
    <w:rsid w:val="008102A6"/>
    <w:rsid w:val="00822C54"/>
    <w:rsid w:val="00826A7C"/>
    <w:rsid w:val="00842BD1"/>
    <w:rsid w:val="00850AEF"/>
    <w:rsid w:val="008560B8"/>
    <w:rsid w:val="00870059"/>
    <w:rsid w:val="0087080B"/>
    <w:rsid w:val="008715E3"/>
    <w:rsid w:val="008A2FB3"/>
    <w:rsid w:val="008D2EB4"/>
    <w:rsid w:val="008D3134"/>
    <w:rsid w:val="008D3BE2"/>
    <w:rsid w:val="008F5F4D"/>
    <w:rsid w:val="009125CE"/>
    <w:rsid w:val="0093377B"/>
    <w:rsid w:val="00934241"/>
    <w:rsid w:val="00950E0F"/>
    <w:rsid w:val="00962CCF"/>
    <w:rsid w:val="0097690C"/>
    <w:rsid w:val="00977F6A"/>
    <w:rsid w:val="00996435"/>
    <w:rsid w:val="009A47A2"/>
    <w:rsid w:val="009A6D9A"/>
    <w:rsid w:val="009E09E0"/>
    <w:rsid w:val="009E4F4B"/>
    <w:rsid w:val="009F0BA9"/>
    <w:rsid w:val="009F3A10"/>
    <w:rsid w:val="00A27A55"/>
    <w:rsid w:val="00A3200E"/>
    <w:rsid w:val="00A44307"/>
    <w:rsid w:val="00A54F56"/>
    <w:rsid w:val="00A75EAA"/>
    <w:rsid w:val="00A903C6"/>
    <w:rsid w:val="00AB190D"/>
    <w:rsid w:val="00AC20C0"/>
    <w:rsid w:val="00AD6841"/>
    <w:rsid w:val="00AE27A9"/>
    <w:rsid w:val="00B1156A"/>
    <w:rsid w:val="00B14377"/>
    <w:rsid w:val="00B1733E"/>
    <w:rsid w:val="00B45785"/>
    <w:rsid w:val="00B52354"/>
    <w:rsid w:val="00B62568"/>
    <w:rsid w:val="00BA154E"/>
    <w:rsid w:val="00BE52B6"/>
    <w:rsid w:val="00BF252A"/>
    <w:rsid w:val="00BF720B"/>
    <w:rsid w:val="00C04511"/>
    <w:rsid w:val="00C1004D"/>
    <w:rsid w:val="00C16846"/>
    <w:rsid w:val="00C40979"/>
    <w:rsid w:val="00C46ECA"/>
    <w:rsid w:val="00C62242"/>
    <w:rsid w:val="00C6326D"/>
    <w:rsid w:val="00C84D0B"/>
    <w:rsid w:val="00CA38C9"/>
    <w:rsid w:val="00CC6362"/>
    <w:rsid w:val="00CD163A"/>
    <w:rsid w:val="00CD367F"/>
    <w:rsid w:val="00CE40BB"/>
    <w:rsid w:val="00D37275"/>
    <w:rsid w:val="00D37469"/>
    <w:rsid w:val="00D50E12"/>
    <w:rsid w:val="00D55DD9"/>
    <w:rsid w:val="00D57F41"/>
    <w:rsid w:val="00D955EF"/>
    <w:rsid w:val="00D97CC5"/>
    <w:rsid w:val="00DC1B1E"/>
    <w:rsid w:val="00DC7337"/>
    <w:rsid w:val="00DD26B1"/>
    <w:rsid w:val="00DD6770"/>
    <w:rsid w:val="00DE24EF"/>
    <w:rsid w:val="00DF23FC"/>
    <w:rsid w:val="00DF39CD"/>
    <w:rsid w:val="00DF449B"/>
    <w:rsid w:val="00DF4F81"/>
    <w:rsid w:val="00E17F8D"/>
    <w:rsid w:val="00E227E4"/>
    <w:rsid w:val="00E2538B"/>
    <w:rsid w:val="00E313E9"/>
    <w:rsid w:val="00E33188"/>
    <w:rsid w:val="00E54E66"/>
    <w:rsid w:val="00E56E57"/>
    <w:rsid w:val="00E86DC6"/>
    <w:rsid w:val="00E91D24"/>
    <w:rsid w:val="00EC064C"/>
    <w:rsid w:val="00ED2157"/>
    <w:rsid w:val="00ED279F"/>
    <w:rsid w:val="00ED4CB2"/>
    <w:rsid w:val="00EF2642"/>
    <w:rsid w:val="00EF3681"/>
    <w:rsid w:val="00F06FDE"/>
    <w:rsid w:val="00F076D9"/>
    <w:rsid w:val="00F20BC2"/>
    <w:rsid w:val="00F23DBF"/>
    <w:rsid w:val="00F27805"/>
    <w:rsid w:val="00F34194"/>
    <w:rsid w:val="00F342E4"/>
    <w:rsid w:val="00F421A6"/>
    <w:rsid w:val="00F44625"/>
    <w:rsid w:val="00F44B70"/>
    <w:rsid w:val="00F649D6"/>
    <w:rsid w:val="00F654DD"/>
    <w:rsid w:val="00F96AB4"/>
    <w:rsid w:val="00F97481"/>
    <w:rsid w:val="00FA551C"/>
    <w:rsid w:val="00FD7B1D"/>
    <w:rsid w:val="00FE3CC7"/>
    <w:rsid w:val="00FE6822"/>
    <w:rsid w:val="00FF3218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FAB96"/>
  <w15:docId w15:val="{7CC5618A-77D5-45A3-9FF8-39DB7F7E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4B7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44B70"/>
    <w:pPr>
      <w:keepNext/>
      <w:keepLines/>
      <w:spacing w:before="480"/>
      <w:ind w:left="567" w:hanging="567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0626B1"/>
    <w:pPr>
      <w:spacing w:before="32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0626B1"/>
    <w:pPr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4B3A6C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4B3A6C"/>
    <w:pPr>
      <w:outlineLvl w:val="4"/>
    </w:pPr>
  </w:style>
  <w:style w:type="paragraph" w:styleId="Heading6">
    <w:name w:val="heading 6"/>
    <w:basedOn w:val="Heading4"/>
    <w:next w:val="Normal"/>
    <w:qFormat/>
    <w:rsid w:val="004B3A6C"/>
    <w:pPr>
      <w:outlineLvl w:val="5"/>
    </w:pPr>
  </w:style>
  <w:style w:type="paragraph" w:styleId="Heading7">
    <w:name w:val="heading 7"/>
    <w:basedOn w:val="Heading4"/>
    <w:next w:val="Normal"/>
    <w:qFormat/>
    <w:rsid w:val="004B3A6C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4B3A6C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4B3A6C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">
    <w:name w:val="Annex_No"/>
    <w:basedOn w:val="Normal"/>
    <w:next w:val="Normal"/>
    <w:rsid w:val="004B3A6C"/>
    <w:pPr>
      <w:spacing w:before="720"/>
      <w:jc w:val="center"/>
    </w:pPr>
    <w:rPr>
      <w:caps/>
      <w:sz w:val="26"/>
    </w:rPr>
  </w:style>
  <w:style w:type="paragraph" w:customStyle="1" w:styleId="AnnexNoS2">
    <w:name w:val="Annex_No_S2"/>
    <w:basedOn w:val="Annex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Annexref">
    <w:name w:val="Annex_ref"/>
    <w:basedOn w:val="Normal"/>
    <w:next w:val="Normal"/>
    <w:rsid w:val="004B3A6C"/>
    <w:pPr>
      <w:jc w:val="center"/>
    </w:pPr>
    <w:rPr>
      <w:sz w:val="26"/>
    </w:rPr>
  </w:style>
  <w:style w:type="paragraph" w:customStyle="1" w:styleId="AnnexrefS2">
    <w:name w:val="Annex_ref_S2"/>
    <w:basedOn w:val="Annexref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Annextitle">
    <w:name w:val="Annex_title"/>
    <w:basedOn w:val="Normal"/>
    <w:next w:val="Normal"/>
    <w:rsid w:val="004B3A6C"/>
    <w:pPr>
      <w:spacing w:before="240" w:after="240"/>
      <w:jc w:val="center"/>
    </w:pPr>
    <w:rPr>
      <w:b/>
      <w:sz w:val="26"/>
    </w:rPr>
  </w:style>
  <w:style w:type="paragraph" w:customStyle="1" w:styleId="AnnextitleS2">
    <w:name w:val="Annex_title_S2"/>
    <w:basedOn w:val="Annextitle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AppendixNo">
    <w:name w:val="Appendix_No"/>
    <w:basedOn w:val="AnnexNo"/>
    <w:next w:val="Normal"/>
    <w:rsid w:val="004B3A6C"/>
  </w:style>
  <w:style w:type="paragraph" w:customStyle="1" w:styleId="AppendixNoS2">
    <w:name w:val="Appendix_No_S2"/>
    <w:basedOn w:val="Appendix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">
    <w:name w:val="Appendix_ref"/>
    <w:basedOn w:val="Annexref"/>
    <w:next w:val="Normal"/>
    <w:rsid w:val="004B3A6C"/>
  </w:style>
  <w:style w:type="paragraph" w:customStyle="1" w:styleId="AppendixrefS2">
    <w:name w:val="Appendix_ref_S2"/>
    <w:basedOn w:val="Appendixref"/>
    <w:next w:val="AnnextitleS2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Appendixtitle">
    <w:name w:val="Appendix_title"/>
    <w:basedOn w:val="Annextitle"/>
    <w:next w:val="Normal"/>
    <w:rsid w:val="00172DFB"/>
  </w:style>
  <w:style w:type="paragraph" w:customStyle="1" w:styleId="AppendixtitleS2">
    <w:name w:val="Appendix_title_S2"/>
    <w:basedOn w:val="Appendixtitle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</w:style>
  <w:style w:type="paragraph" w:customStyle="1" w:styleId="Artheading">
    <w:name w:val="Art_heading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"/>
    <w:rsid w:val="004B3A6C"/>
    <w:pPr>
      <w:tabs>
        <w:tab w:val="left" w:pos="851"/>
      </w:tabs>
      <w:jc w:val="left"/>
    </w:pPr>
  </w:style>
  <w:style w:type="paragraph" w:customStyle="1" w:styleId="ArtNo">
    <w:name w:val="Art_No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6"/>
    </w:rPr>
  </w:style>
  <w:style w:type="paragraph" w:customStyle="1" w:styleId="ArtNoS2">
    <w:name w:val="Art_No_S2"/>
    <w:basedOn w:val="ArtNo"/>
    <w:next w:val="Normal"/>
    <w:rsid w:val="000626B1"/>
    <w:pPr>
      <w:tabs>
        <w:tab w:val="left" w:pos="851"/>
      </w:tabs>
      <w:jc w:val="left"/>
    </w:pPr>
    <w:rPr>
      <w:b/>
      <w:sz w:val="22"/>
    </w:rPr>
  </w:style>
  <w:style w:type="paragraph" w:customStyle="1" w:styleId="Arttitle">
    <w:name w:val="Art_title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6"/>
    </w:rPr>
  </w:style>
  <w:style w:type="paragraph" w:customStyle="1" w:styleId="ArttitleS2">
    <w:name w:val="Art_title_S2"/>
    <w:basedOn w:val="Arttitle"/>
    <w:next w:val="Normal"/>
    <w:rsid w:val="000626B1"/>
    <w:pPr>
      <w:tabs>
        <w:tab w:val="left" w:pos="851"/>
      </w:tabs>
      <w:jc w:val="left"/>
    </w:pPr>
    <w:rPr>
      <w:sz w:val="22"/>
    </w:rPr>
  </w:style>
  <w:style w:type="paragraph" w:customStyle="1" w:styleId="Call">
    <w:name w:val="Call"/>
    <w:basedOn w:val="Normal"/>
    <w:next w:val="Normal"/>
    <w:rsid w:val="004B3A6C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ChapNo">
    <w:name w:val="Chap_No"/>
    <w:basedOn w:val="ArtNo"/>
    <w:next w:val="Normal"/>
    <w:rsid w:val="004B3A6C"/>
  </w:style>
  <w:style w:type="paragraph" w:customStyle="1" w:styleId="ChapNoS2">
    <w:name w:val="Chap_No_S2"/>
    <w:basedOn w:val="ChapNo"/>
    <w:next w:val="Normal"/>
    <w:rsid w:val="00F44B70"/>
    <w:pPr>
      <w:tabs>
        <w:tab w:val="left" w:pos="851"/>
      </w:tabs>
      <w:jc w:val="left"/>
    </w:pPr>
    <w:rPr>
      <w:b/>
      <w:sz w:val="22"/>
    </w:rPr>
  </w:style>
  <w:style w:type="paragraph" w:customStyle="1" w:styleId="Chaptitle">
    <w:name w:val="Chap_title"/>
    <w:basedOn w:val="Arttitle"/>
    <w:next w:val="Normal"/>
    <w:rsid w:val="004B3A6C"/>
  </w:style>
  <w:style w:type="paragraph" w:customStyle="1" w:styleId="ChaptitleS2">
    <w:name w:val="Chap_title_S2"/>
    <w:basedOn w:val="Chaptitle"/>
    <w:next w:val="Normal"/>
    <w:rsid w:val="004B3A6C"/>
    <w:pPr>
      <w:tabs>
        <w:tab w:val="left" w:pos="851"/>
      </w:tabs>
      <w:jc w:val="left"/>
    </w:pPr>
    <w:rPr>
      <w:sz w:val="24"/>
    </w:rPr>
  </w:style>
  <w:style w:type="paragraph" w:styleId="Date">
    <w:name w:val="Date"/>
    <w:basedOn w:val="Normal"/>
    <w:rsid w:val="004B3A6C"/>
    <w:pPr>
      <w:framePr w:hSpace="181" w:wrap="notBeside" w:vAnchor="page" w:hAnchor="page" w:x="1135" w:y="852"/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paragraph" w:customStyle="1" w:styleId="enumlev1">
    <w:name w:val="enumlev1"/>
    <w:basedOn w:val="Normal"/>
    <w:rsid w:val="004B3A6C"/>
    <w:pPr>
      <w:spacing w:before="86"/>
      <w:ind w:left="567" w:hanging="567"/>
    </w:pPr>
  </w:style>
  <w:style w:type="paragraph" w:customStyle="1" w:styleId="enumlev1S2">
    <w:name w:val="enumlev1_S2"/>
    <w:basedOn w:val="enumlev1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">
    <w:name w:val="enumlev2"/>
    <w:basedOn w:val="enumlev1"/>
    <w:rsid w:val="004B3A6C"/>
    <w:pPr>
      <w:ind w:left="1134"/>
    </w:pPr>
  </w:style>
  <w:style w:type="paragraph" w:customStyle="1" w:styleId="enumlev2S2">
    <w:name w:val="enumlev2_S2"/>
    <w:basedOn w:val="enumlev2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">
    <w:name w:val="enumlev3"/>
    <w:basedOn w:val="enumlev2"/>
    <w:rsid w:val="004B3A6C"/>
    <w:pPr>
      <w:ind w:left="1701"/>
    </w:pPr>
  </w:style>
  <w:style w:type="paragraph" w:customStyle="1" w:styleId="enumlev3S2">
    <w:name w:val="enumlev3_S2"/>
    <w:basedOn w:val="enumlev3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styleId="Footer">
    <w:name w:val="footer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4B3A6C"/>
    <w:rPr>
      <w:caps w:val="0"/>
    </w:rPr>
  </w:style>
  <w:style w:type="character" w:styleId="FollowedHyperlink">
    <w:name w:val="FollowedHyperlink"/>
    <w:basedOn w:val="DefaultParagraphFont"/>
    <w:rsid w:val="004B3A6C"/>
    <w:rPr>
      <w:color w:val="800080"/>
      <w:u w:val="single"/>
    </w:rPr>
  </w:style>
  <w:style w:type="paragraph" w:customStyle="1" w:styleId="FooterS2">
    <w:name w:val="Footer_S2"/>
    <w:basedOn w:val="Footer"/>
    <w:rsid w:val="004B3A6C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character" w:styleId="FootnoteReference">
    <w:name w:val="footnote reference"/>
    <w:basedOn w:val="DefaultParagraphFont"/>
    <w:rsid w:val="00F44B70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172DFB"/>
    <w:pPr>
      <w:keepLines/>
      <w:tabs>
        <w:tab w:val="left" w:pos="256"/>
      </w:tabs>
      <w:spacing w:before="60"/>
      <w:ind w:left="284" w:hanging="284"/>
    </w:pPr>
    <w:rPr>
      <w:sz w:val="20"/>
    </w:rPr>
  </w:style>
  <w:style w:type="paragraph" w:customStyle="1" w:styleId="FootnoteTextS2">
    <w:name w:val="Footnote Text_S2"/>
    <w:basedOn w:val="FootnoteText"/>
    <w:rsid w:val="004B3A6C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styleId="Header">
    <w:name w:val="header"/>
    <w:basedOn w:val="Normal"/>
    <w:link w:val="HeaderChar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paragraph" w:customStyle="1" w:styleId="HeaderS2">
    <w:name w:val="Header_S2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</w:style>
  <w:style w:type="paragraph" w:customStyle="1" w:styleId="Heading1S2">
    <w:name w:val="Heading 1_S2"/>
    <w:basedOn w:val="Heading1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</w:style>
  <w:style w:type="paragraph" w:customStyle="1" w:styleId="Heading1c">
    <w:name w:val="Heading 1c"/>
    <w:basedOn w:val="Heading1"/>
    <w:next w:val="Normal"/>
    <w:rsid w:val="00F44B70"/>
    <w:pPr>
      <w:ind w:left="0" w:firstLine="0"/>
      <w:jc w:val="center"/>
      <w:outlineLvl w:val="9"/>
    </w:pPr>
  </w:style>
  <w:style w:type="paragraph" w:customStyle="1" w:styleId="Heading1cS2">
    <w:name w:val="Heading 1c_S2"/>
    <w:basedOn w:val="Heading1c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Heading1pv">
    <w:name w:val="Heading 1pv"/>
    <w:basedOn w:val="Heading1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S2">
    <w:name w:val="Heading 2_S2"/>
    <w:basedOn w:val="Heading2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2i">
    <w:name w:val="Heading 2i"/>
    <w:basedOn w:val="Heading2"/>
    <w:next w:val="Normal"/>
    <w:rsid w:val="00F44B70"/>
    <w:rPr>
      <w:b w:val="0"/>
      <w:i/>
    </w:rPr>
  </w:style>
  <w:style w:type="paragraph" w:customStyle="1" w:styleId="Heading2iS2">
    <w:name w:val="Heading 2i_S2"/>
    <w:basedOn w:val="Heading2i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2pv">
    <w:name w:val="Heading 2pv"/>
    <w:basedOn w:val="Heading1pv"/>
    <w:next w:val="Normal"/>
    <w:rsid w:val="000626B1"/>
    <w:pPr>
      <w:spacing w:before="320"/>
      <w:outlineLvl w:val="1"/>
    </w:pPr>
    <w:rPr>
      <w:sz w:val="22"/>
    </w:rPr>
  </w:style>
  <w:style w:type="paragraph" w:customStyle="1" w:styleId="Heading3S2">
    <w:name w:val="Heading 3_S2"/>
    <w:basedOn w:val="Heading3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pv">
    <w:name w:val="Heading 3pv"/>
    <w:basedOn w:val="Heading1pv"/>
    <w:next w:val="Normal"/>
    <w:rsid w:val="004B3A6C"/>
    <w:pPr>
      <w:spacing w:before="200"/>
      <w:outlineLvl w:val="2"/>
    </w:pPr>
    <w:rPr>
      <w:sz w:val="24"/>
    </w:rPr>
  </w:style>
  <w:style w:type="paragraph" w:customStyle="1" w:styleId="Heading4S2">
    <w:name w:val="Heading 4_S2"/>
    <w:basedOn w:val="Heading4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4B3A6C"/>
    <w:pPr>
      <w:spacing w:before="160"/>
      <w:outlineLvl w:val="0"/>
    </w:pPr>
  </w:style>
  <w:style w:type="paragraph" w:customStyle="1" w:styleId="Headingi">
    <w:name w:val="Heading_i"/>
    <w:basedOn w:val="Heading3"/>
    <w:next w:val="Normal"/>
    <w:rsid w:val="00F44B70"/>
    <w:pPr>
      <w:spacing w:before="160"/>
      <w:outlineLvl w:val="0"/>
    </w:pPr>
    <w:rPr>
      <w:b w:val="0"/>
      <w:i/>
    </w:rPr>
  </w:style>
  <w:style w:type="paragraph" w:customStyle="1" w:styleId="HeadingbS2">
    <w:name w:val="Headingb_S2"/>
    <w:basedOn w:val="Headingb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iS2">
    <w:name w:val="Headingi_S2"/>
    <w:basedOn w:val="Headingi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character" w:styleId="Hyperlink">
    <w:name w:val="Hyperlink"/>
    <w:basedOn w:val="DefaultParagraphFont"/>
    <w:rsid w:val="004B3A6C"/>
    <w:rPr>
      <w:color w:val="0000FF"/>
      <w:u w:val="single"/>
    </w:rPr>
  </w:style>
  <w:style w:type="paragraph" w:customStyle="1" w:styleId="MinusFootnote">
    <w:name w:val="MinusFootnote"/>
    <w:basedOn w:val="Normal"/>
    <w:rsid w:val="004B3A6C"/>
    <w:pPr>
      <w:ind w:left="-1701" w:hanging="284"/>
    </w:pPr>
  </w:style>
  <w:style w:type="paragraph" w:customStyle="1" w:styleId="Normalaftertitle">
    <w:name w:val="Normal after title"/>
    <w:basedOn w:val="Normal"/>
    <w:next w:val="Normal"/>
    <w:rsid w:val="004B3A6C"/>
    <w:pPr>
      <w:spacing w:before="240"/>
    </w:pPr>
  </w:style>
  <w:style w:type="paragraph" w:customStyle="1" w:styleId="NormalaftertitleS2">
    <w:name w:val="Normal after title_S2"/>
    <w:basedOn w:val="Normalaftertitle"/>
    <w:next w:val="Normal"/>
    <w:rsid w:val="004B3A6C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styleId="NormalIndent">
    <w:name w:val="Normal Indent"/>
    <w:basedOn w:val="Normal"/>
    <w:rsid w:val="004B3A6C"/>
    <w:pPr>
      <w:ind w:left="567"/>
    </w:pPr>
  </w:style>
  <w:style w:type="paragraph" w:customStyle="1" w:styleId="NormalIndentS2">
    <w:name w:val="Normal Indent_S2"/>
    <w:basedOn w:val="NormalInden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Normalpv">
    <w:name w:val="Normal pv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NormalS2">
    <w:name w:val="Normal_S2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te">
    <w:name w:val="Note"/>
    <w:basedOn w:val="Normal"/>
    <w:rsid w:val="004B3A6C"/>
    <w:pPr>
      <w:tabs>
        <w:tab w:val="clear" w:pos="567"/>
        <w:tab w:val="left" w:pos="851"/>
      </w:tabs>
    </w:pPr>
  </w:style>
  <w:style w:type="paragraph" w:customStyle="1" w:styleId="NoteS2">
    <w:name w:val="Note_S2"/>
    <w:basedOn w:val="Note"/>
    <w:rsid w:val="004B3A6C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character" w:styleId="PageNumber">
    <w:name w:val="page number"/>
    <w:basedOn w:val="DefaultParagraphFont"/>
    <w:rsid w:val="00F44B70"/>
    <w:rPr>
      <w:rFonts w:ascii="Calibri" w:hAnsi="Calibri"/>
    </w:rPr>
  </w:style>
  <w:style w:type="paragraph" w:customStyle="1" w:styleId="Part">
    <w:name w:val="Part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6"/>
    </w:rPr>
  </w:style>
  <w:style w:type="paragraph" w:customStyle="1" w:styleId="Reasons">
    <w:name w:val="Reasons"/>
    <w:basedOn w:val="Normal"/>
    <w:qFormat/>
    <w:rsid w:val="004B3A6C"/>
  </w:style>
  <w:style w:type="paragraph" w:customStyle="1" w:styleId="ReasonsS2">
    <w:name w:val="Reasons_S2"/>
    <w:basedOn w:val="Reasons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">
    <w:name w:val="Rec_No"/>
    <w:basedOn w:val="Normal"/>
    <w:next w:val="Normal"/>
    <w:rsid w:val="000626B1"/>
    <w:pPr>
      <w:spacing w:before="720"/>
      <w:jc w:val="center"/>
    </w:pPr>
    <w:rPr>
      <w:caps/>
      <w:sz w:val="26"/>
    </w:rPr>
  </w:style>
  <w:style w:type="paragraph" w:customStyle="1" w:styleId="RecNoS2">
    <w:name w:val="Rec_No_S2"/>
    <w:basedOn w:val="RecNo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Rectitle">
    <w:name w:val="Rec_title"/>
    <w:basedOn w:val="Normal"/>
    <w:next w:val="Heading1"/>
    <w:rsid w:val="00F44B70"/>
    <w:pPr>
      <w:spacing w:before="240"/>
      <w:jc w:val="center"/>
    </w:pPr>
    <w:rPr>
      <w:b/>
      <w:sz w:val="26"/>
    </w:rPr>
  </w:style>
  <w:style w:type="paragraph" w:customStyle="1" w:styleId="RectitleS2">
    <w:name w:val="Rec_title_S2"/>
    <w:basedOn w:val="Rectitle"/>
    <w:next w:val="Heading1S2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  <w:sz w:val="22"/>
    </w:rPr>
  </w:style>
  <w:style w:type="paragraph" w:customStyle="1" w:styleId="Reftext">
    <w:name w:val="Ref_text"/>
    <w:basedOn w:val="Normal"/>
    <w:rsid w:val="004B3A6C"/>
    <w:pPr>
      <w:ind w:left="567" w:hanging="567"/>
    </w:pPr>
  </w:style>
  <w:style w:type="paragraph" w:customStyle="1" w:styleId="ReftextS2">
    <w:name w:val="Ref_text_S2"/>
    <w:basedOn w:val="Reftex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">
    <w:name w:val="Ref_title"/>
    <w:basedOn w:val="Normal"/>
    <w:next w:val="Reftext"/>
    <w:rsid w:val="004B3A6C"/>
    <w:pPr>
      <w:spacing w:before="480"/>
      <w:jc w:val="center"/>
    </w:pPr>
    <w:rPr>
      <w:caps/>
      <w:sz w:val="28"/>
    </w:rPr>
  </w:style>
  <w:style w:type="paragraph" w:customStyle="1" w:styleId="ReftitleS2">
    <w:name w:val="Ref_title_S2"/>
    <w:basedOn w:val="Reftitle"/>
    <w:next w:val="ReftextS2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2"/>
    </w:rPr>
  </w:style>
  <w:style w:type="paragraph" w:customStyle="1" w:styleId="ResNo">
    <w:name w:val="Res_No"/>
    <w:basedOn w:val="AnnexNo"/>
    <w:next w:val="Normal"/>
    <w:rsid w:val="004B3A6C"/>
  </w:style>
  <w:style w:type="paragraph" w:customStyle="1" w:styleId="ResNoS2">
    <w:name w:val="Res_No_S2"/>
    <w:basedOn w:val="Res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">
    <w:name w:val="Res_title"/>
    <w:basedOn w:val="Annextitle"/>
    <w:next w:val="Normal"/>
    <w:rsid w:val="00F44B70"/>
  </w:style>
  <w:style w:type="paragraph" w:customStyle="1" w:styleId="RestitleS2">
    <w:name w:val="Res_title_S2"/>
    <w:basedOn w:val="Restitle"/>
    <w:next w:val="NormalS2"/>
    <w:rsid w:val="00F44B7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Section1">
    <w:name w:val="Section 1"/>
    <w:basedOn w:val="ChapNo"/>
    <w:next w:val="Normal"/>
    <w:rsid w:val="004B3A6C"/>
    <w:rPr>
      <w:caps w:val="0"/>
    </w:rPr>
  </w:style>
  <w:style w:type="paragraph" w:customStyle="1" w:styleId="Section1S2">
    <w:name w:val="Section 1_S2"/>
    <w:basedOn w:val="Section1"/>
    <w:next w:val="NormalS2"/>
    <w:rsid w:val="000626B1"/>
    <w:pPr>
      <w:tabs>
        <w:tab w:val="left" w:pos="851"/>
      </w:tabs>
      <w:jc w:val="left"/>
    </w:pPr>
    <w:rPr>
      <w:caps/>
      <w:sz w:val="22"/>
    </w:rPr>
  </w:style>
  <w:style w:type="paragraph" w:customStyle="1" w:styleId="Section2">
    <w:name w:val="Section 2"/>
    <w:basedOn w:val="Section1"/>
    <w:next w:val="Normal"/>
    <w:rsid w:val="004B3A6C"/>
    <w:pPr>
      <w:spacing w:before="240"/>
    </w:pPr>
    <w:rPr>
      <w:b/>
      <w:i/>
    </w:rPr>
  </w:style>
  <w:style w:type="paragraph" w:customStyle="1" w:styleId="Section2S2">
    <w:name w:val="Section 2_S2"/>
    <w:basedOn w:val="Section2"/>
    <w:next w:val="NormalS2"/>
    <w:rsid w:val="00F44B70"/>
    <w:pPr>
      <w:tabs>
        <w:tab w:val="left" w:pos="851"/>
      </w:tabs>
      <w:jc w:val="left"/>
    </w:pPr>
    <w:rPr>
      <w:sz w:val="22"/>
    </w:rPr>
  </w:style>
  <w:style w:type="paragraph" w:customStyle="1" w:styleId="Source">
    <w:name w:val="Source"/>
    <w:basedOn w:val="Normal"/>
    <w:next w:val="Normal"/>
    <w:link w:val="SourceChar"/>
    <w:autoRedefine/>
    <w:rsid w:val="000626B1"/>
    <w:pPr>
      <w:spacing w:before="840"/>
      <w:jc w:val="center"/>
    </w:pPr>
    <w:rPr>
      <w:b/>
      <w:sz w:val="26"/>
    </w:rPr>
  </w:style>
  <w:style w:type="paragraph" w:customStyle="1" w:styleId="Tabletext">
    <w:name w:val="Table_text"/>
    <w:basedOn w:val="Normal"/>
    <w:rsid w:val="008D2EB4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0"/>
    </w:rPr>
  </w:style>
  <w:style w:type="paragraph" w:customStyle="1" w:styleId="Tablehead">
    <w:name w:val="Table_head"/>
    <w:basedOn w:val="Tabletext"/>
    <w:rsid w:val="004B3A6C"/>
    <w:pPr>
      <w:spacing w:before="120" w:after="120"/>
      <w:jc w:val="center"/>
    </w:pPr>
    <w:rPr>
      <w:b/>
    </w:rPr>
  </w:style>
  <w:style w:type="paragraph" w:customStyle="1" w:styleId="Tablelegend">
    <w:name w:val="Table_legend"/>
    <w:basedOn w:val="Tabletext"/>
    <w:rsid w:val="004B3A6C"/>
    <w:pPr>
      <w:spacing w:before="120"/>
    </w:pPr>
  </w:style>
  <w:style w:type="paragraph" w:customStyle="1" w:styleId="TablelegendS2">
    <w:name w:val="Table_legend_S2"/>
    <w:basedOn w:val="Tablelegend"/>
    <w:rsid w:val="004B3A6C"/>
    <w:pPr>
      <w:tabs>
        <w:tab w:val="left" w:pos="851"/>
      </w:tabs>
      <w:spacing w:after="0"/>
    </w:pPr>
    <w:rPr>
      <w:b/>
    </w:rPr>
  </w:style>
  <w:style w:type="paragraph" w:customStyle="1" w:styleId="TableNo">
    <w:name w:val="Table_No"/>
    <w:basedOn w:val="Normal"/>
    <w:next w:val="Normal"/>
    <w:rsid w:val="004B3A6C"/>
    <w:pPr>
      <w:keepNext/>
      <w:spacing w:before="560" w:after="120"/>
      <w:jc w:val="center"/>
    </w:pPr>
    <w:rPr>
      <w:caps/>
    </w:rPr>
  </w:style>
  <w:style w:type="paragraph" w:customStyle="1" w:styleId="TableNoS2">
    <w:name w:val="Table_No_S2"/>
    <w:basedOn w:val="TableNo"/>
    <w:next w:val="Normal"/>
    <w:rsid w:val="004B3A6C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textS2">
    <w:name w:val="Table_text_S2"/>
    <w:basedOn w:val="Tabletext"/>
    <w:rsid w:val="004B3A6C"/>
    <w:pPr>
      <w:tabs>
        <w:tab w:val="left" w:pos="851"/>
      </w:tabs>
    </w:pPr>
    <w:rPr>
      <w:b/>
    </w:rPr>
  </w:style>
  <w:style w:type="paragraph" w:customStyle="1" w:styleId="Tabletitle">
    <w:name w:val="Table_title"/>
    <w:basedOn w:val="TableNo"/>
    <w:next w:val="Tabletex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titleS2">
    <w:name w:val="Table_title_S2"/>
    <w:basedOn w:val="Tabletitle"/>
    <w:next w:val="TabletextS2"/>
    <w:rsid w:val="004B3A6C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Title1">
    <w:name w:val="Title 1"/>
    <w:basedOn w:val="Source"/>
    <w:next w:val="Normal"/>
    <w:link w:val="Title1Char"/>
    <w:rsid w:val="004B3A6C"/>
    <w:pPr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4B3A6C"/>
    <w:pPr>
      <w:spacing w:before="240"/>
    </w:pPr>
    <w:rPr>
      <w:b w:val="0"/>
      <w:caps/>
    </w:rPr>
  </w:style>
  <w:style w:type="paragraph" w:customStyle="1" w:styleId="Title3">
    <w:name w:val="Title 3"/>
    <w:basedOn w:val="Title2"/>
    <w:next w:val="Normalaftertitle"/>
    <w:rsid w:val="004B3A6C"/>
    <w:rPr>
      <w:caps w:val="0"/>
    </w:rPr>
  </w:style>
  <w:style w:type="paragraph" w:customStyle="1" w:styleId="toc0">
    <w:name w:val="toc 0"/>
    <w:basedOn w:val="Normal"/>
    <w:next w:val="TOC1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styleId="TOC1">
    <w:name w:val="toc 1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TOC2">
    <w:name w:val="toc 2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8">
    <w:name w:val="toc 8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customStyle="1" w:styleId="firstfooter0">
    <w:name w:val="firstfooter"/>
    <w:basedOn w:val="Normal"/>
    <w:rsid w:val="005C3DE4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customStyle="1" w:styleId="NormalendS2">
    <w:name w:val="Normal_end_S2"/>
    <w:basedOn w:val="Normal"/>
    <w:qFormat/>
    <w:rsid w:val="008034F1"/>
    <w:rPr>
      <w:lang w:val="en-US"/>
    </w:rPr>
  </w:style>
  <w:style w:type="paragraph" w:customStyle="1" w:styleId="Dectitle">
    <w:name w:val="Dec_title"/>
    <w:basedOn w:val="Restitle"/>
    <w:next w:val="Normalaftertitle"/>
    <w:qFormat/>
    <w:rsid w:val="000C5120"/>
    <w:rPr>
      <w:lang w:val="en-US"/>
    </w:rPr>
  </w:style>
  <w:style w:type="paragraph" w:customStyle="1" w:styleId="DecNo">
    <w:name w:val="Dec_No"/>
    <w:basedOn w:val="ResNo"/>
    <w:next w:val="Dectitle"/>
    <w:qFormat/>
    <w:rsid w:val="000C5120"/>
  </w:style>
  <w:style w:type="paragraph" w:customStyle="1" w:styleId="DectitleS2">
    <w:name w:val="Dec_title_S2"/>
    <w:basedOn w:val="RestitleS2"/>
    <w:next w:val="Normal"/>
    <w:qFormat/>
    <w:rsid w:val="000C5120"/>
  </w:style>
  <w:style w:type="paragraph" w:customStyle="1" w:styleId="DecNoS2">
    <w:name w:val="Dec_No_S2"/>
    <w:basedOn w:val="ResNoS2"/>
    <w:next w:val="DectitleS2"/>
    <w:qFormat/>
    <w:rsid w:val="000C5120"/>
  </w:style>
  <w:style w:type="paragraph" w:customStyle="1" w:styleId="SectionNo">
    <w:name w:val="Section_No"/>
    <w:basedOn w:val="ArtNo"/>
    <w:next w:val="Normal"/>
    <w:qFormat/>
    <w:rsid w:val="00563711"/>
  </w:style>
  <w:style w:type="paragraph" w:customStyle="1" w:styleId="SectionNoS2">
    <w:name w:val="Section_No_S2"/>
    <w:basedOn w:val="ArtNoS2"/>
    <w:next w:val="Normal"/>
    <w:qFormat/>
    <w:rsid w:val="00563711"/>
  </w:style>
  <w:style w:type="paragraph" w:customStyle="1" w:styleId="Sectiontitle">
    <w:name w:val="Section_title"/>
    <w:basedOn w:val="Arttitle"/>
    <w:next w:val="Normalaftertitle"/>
    <w:qFormat/>
    <w:rsid w:val="00563711"/>
  </w:style>
  <w:style w:type="paragraph" w:customStyle="1" w:styleId="SectiontitleS2">
    <w:name w:val="Section_title_S2"/>
    <w:basedOn w:val="ArttitleS2"/>
    <w:next w:val="Normal"/>
    <w:qFormat/>
    <w:rsid w:val="00563711"/>
  </w:style>
  <w:style w:type="paragraph" w:customStyle="1" w:styleId="Proposal">
    <w:name w:val="Proposal"/>
    <w:basedOn w:val="Normal"/>
    <w:next w:val="Normal"/>
    <w:link w:val="ProposalChar"/>
    <w:rsid w:val="00E2538B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Theme="minorHAnsi"/>
      <w:b/>
      <w:lang w:val="ru-RU"/>
    </w:rPr>
  </w:style>
  <w:style w:type="character" w:customStyle="1" w:styleId="ProposalChar">
    <w:name w:val="Proposal Char"/>
    <w:basedOn w:val="DefaultParagraphFont"/>
    <w:link w:val="Proposal"/>
    <w:locked/>
    <w:rsid w:val="00E2538B"/>
    <w:rPr>
      <w:rFonts w:asciiTheme="minorHAnsi" w:hAnsiTheme="minorHAnsi"/>
      <w:b/>
      <w:sz w:val="22"/>
      <w:lang w:val="ru-RU" w:eastAsia="en-US"/>
    </w:rPr>
  </w:style>
  <w:style w:type="character" w:customStyle="1" w:styleId="SourceChar">
    <w:name w:val="Source Char"/>
    <w:basedOn w:val="DefaultParagraphFont"/>
    <w:link w:val="Source"/>
    <w:locked/>
    <w:rsid w:val="00F96AB4"/>
    <w:rPr>
      <w:rFonts w:ascii="Calibri" w:hAnsi="Calibri"/>
      <w:b/>
      <w:sz w:val="26"/>
      <w:lang w:val="en-GB" w:eastAsia="en-US"/>
    </w:rPr>
  </w:style>
  <w:style w:type="paragraph" w:customStyle="1" w:styleId="Agendaitem">
    <w:name w:val="Agenda_item"/>
    <w:basedOn w:val="Normal"/>
    <w:next w:val="Normal"/>
    <w:qFormat/>
    <w:rsid w:val="00F96AB4"/>
    <w:pPr>
      <w:tabs>
        <w:tab w:val="clear" w:pos="567"/>
        <w:tab w:val="clear" w:pos="1701"/>
        <w:tab w:val="clear" w:pos="2835"/>
        <w:tab w:val="left" w:pos="1871"/>
      </w:tabs>
      <w:overflowPunct/>
      <w:autoSpaceDE/>
      <w:autoSpaceDN/>
      <w:adjustRightInd/>
      <w:spacing w:before="240"/>
      <w:jc w:val="center"/>
      <w:textAlignment w:val="auto"/>
    </w:pPr>
    <w:rPr>
      <w:rFonts w:asciiTheme="minorHAnsi" w:hAnsiTheme="minorHAnsi"/>
      <w:sz w:val="26"/>
      <w:szCs w:val="22"/>
      <w:lang w:val="en-US"/>
    </w:rPr>
  </w:style>
  <w:style w:type="character" w:customStyle="1" w:styleId="Title1Char">
    <w:name w:val="Title 1 Char"/>
    <w:basedOn w:val="DefaultParagraphFont"/>
    <w:link w:val="Title1"/>
    <w:locked/>
    <w:rsid w:val="00F96AB4"/>
    <w:rPr>
      <w:rFonts w:ascii="Calibri" w:hAnsi="Calibri"/>
      <w:caps/>
      <w:sz w:val="26"/>
      <w:lang w:val="en-GB" w:eastAsia="en-US"/>
    </w:rPr>
  </w:style>
  <w:style w:type="paragraph" w:customStyle="1" w:styleId="Committee">
    <w:name w:val="Committee"/>
    <w:basedOn w:val="Normal"/>
    <w:qFormat/>
    <w:rsid w:val="00F96AB4"/>
    <w:pPr>
      <w:framePr w:hSpace="180" w:wrap="around" w:hAnchor="margin" w:y="-675"/>
      <w:tabs>
        <w:tab w:val="clear" w:pos="567"/>
        <w:tab w:val="clear" w:pos="1701"/>
        <w:tab w:val="clear" w:pos="2835"/>
        <w:tab w:val="left" w:pos="1871"/>
      </w:tabs>
      <w:spacing w:before="0" w:after="48" w:line="240" w:lineRule="atLeast"/>
    </w:pPr>
    <w:rPr>
      <w:rFonts w:asciiTheme="minorHAnsi" w:hAnsiTheme="minorHAnsi" w:cstheme="minorHAnsi"/>
      <w:b/>
      <w:smallCaps/>
      <w:szCs w:val="28"/>
      <w:lang w:val="en-US"/>
    </w:rPr>
  </w:style>
  <w:style w:type="character" w:customStyle="1" w:styleId="HeaderChar">
    <w:name w:val="Header Char"/>
    <w:basedOn w:val="DefaultParagraphFont"/>
    <w:link w:val="Header"/>
    <w:rsid w:val="00F96AB4"/>
    <w:rPr>
      <w:rFonts w:ascii="Calibri" w:hAnsi="Calibri"/>
      <w:sz w:val="18"/>
      <w:lang w:val="en-GB" w:eastAsia="en-US"/>
    </w:rPr>
  </w:style>
  <w:style w:type="paragraph" w:styleId="BalloonText">
    <w:name w:val="Balloon Text"/>
    <w:basedOn w:val="Normal"/>
    <w:link w:val="BalloonTextChar"/>
    <w:rsid w:val="00D55DD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5DD9"/>
    <w:rPr>
      <w:rFonts w:ascii="Tahoma" w:hAnsi="Tahoma" w:cs="Tahoma"/>
      <w:sz w:val="16"/>
      <w:szCs w:val="16"/>
      <w:lang w:val="en-GB" w:eastAsia="en-US"/>
    </w:rPr>
  </w:style>
  <w:style w:type="paragraph" w:customStyle="1" w:styleId="OP">
    <w:name w:val="OP"/>
    <w:basedOn w:val="Normal"/>
    <w:next w:val="Normal"/>
    <w:rsid w:val="00C1004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680"/>
      </w:tabs>
      <w:overflowPunct/>
      <w:autoSpaceDE/>
      <w:autoSpaceDN/>
      <w:adjustRightInd/>
      <w:jc w:val="center"/>
      <w:textAlignment w:val="auto"/>
    </w:pPr>
    <w:rPr>
      <w:rFonts w:asciiTheme="minorHAnsi" w:hAnsiTheme="minorHAnsi"/>
      <w:b/>
      <w:sz w:val="32"/>
      <w:lang w:val="ru-RU" w:eastAsia="zh-CN"/>
    </w:rPr>
  </w:style>
  <w:style w:type="paragraph" w:customStyle="1" w:styleId="OPtitle">
    <w:name w:val="OP_title"/>
    <w:basedOn w:val="Normal"/>
    <w:next w:val="Normalaftertitle"/>
    <w:rsid w:val="00C1004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680"/>
      </w:tabs>
      <w:overflowPunct/>
      <w:autoSpaceDE/>
      <w:autoSpaceDN/>
      <w:adjustRightInd/>
      <w:jc w:val="center"/>
      <w:textAlignment w:val="auto"/>
    </w:pPr>
    <w:rPr>
      <w:rFonts w:asciiTheme="minorHAnsi" w:hAnsiTheme="minorHAnsi"/>
      <w:b/>
      <w:lang w:val="ru-RU" w:eastAsia="zh-CN"/>
    </w:rPr>
  </w:style>
  <w:style w:type="paragraph" w:customStyle="1" w:styleId="VolumeTitle">
    <w:name w:val="VolumeTitle"/>
    <w:basedOn w:val="Normal"/>
    <w:next w:val="Normal"/>
    <w:rsid w:val="00027300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  <w:style w:type="paragraph" w:customStyle="1" w:styleId="OpNo">
    <w:name w:val="Op_No"/>
    <w:basedOn w:val="ResNo"/>
    <w:rsid w:val="00407D49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851"/>
      </w:tabs>
    </w:pPr>
    <w:rPr>
      <w:lang w:val="ru-RU"/>
    </w:rPr>
  </w:style>
  <w:style w:type="paragraph" w:customStyle="1" w:styleId="Optitle0">
    <w:name w:val="Op_title"/>
    <w:basedOn w:val="Restitle"/>
    <w:rsid w:val="00407D49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851"/>
      </w:tabs>
    </w:pPr>
    <w:rPr>
      <w:rFonts w:eastAsia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RUS\Templates\SG\WTPF26_R-templatef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WTPF26_R-templatefnl.dotx</Template>
  <TotalTime>1</TotalTime>
  <Pages>5</Pages>
  <Words>2044</Words>
  <Characters>11653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ITU</Company>
  <LinksUpToDate>false</LinksUpToDate>
  <CharactersWithSpaces>13670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Opinion 2 - Green digital transformation: climate change and environmental sustainability</dc:title>
  <dc:subject>World telecommunication/information and communication technology policy forum</dc:subject>
  <cp:keywords>WTPF, WTPF-26</cp:keywords>
  <dc:description/>
  <dcterms:created xsi:type="dcterms:W3CDTF">2026-08-20T15:08:00Z</dcterms:created>
  <dcterms:modified xsi:type="dcterms:W3CDTF">2026-08-20T15:09:00Z</dcterms:modified>
  <cp:category>Conference document</cp:category>
</cp:coreProperties>
</file>